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9BD30DF">
      <w:pPr>
        <w:jc w:val="center"/>
        <w:rPr>
          <w:rFonts w:hint="eastAsia" w:eastAsia="宋体"/>
          <w:color w:val="auto"/>
          <w:sz w:val="36"/>
          <w:szCs w:val="36"/>
          <w:highlight w:val="none"/>
          <w:lang w:eastAsia="zh-CN"/>
        </w:rPr>
      </w:pPr>
      <w:r>
        <w:rPr>
          <w:color w:val="auto"/>
          <w:highlight w:val="none"/>
        </w:rPr>
        <w:drawing>
          <wp:inline distT="0" distB="0" distL="114300" distR="114300">
            <wp:extent cx="5932805" cy="8753475"/>
            <wp:effectExtent l="0" t="0" r="10795" b="952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8"/>
                    <a:stretch>
                      <a:fillRect/>
                    </a:stretch>
                  </pic:blipFill>
                  <pic:spPr>
                    <a:xfrm>
                      <a:off x="0" y="0"/>
                      <a:ext cx="5932805" cy="8753475"/>
                    </a:xfrm>
                    <a:prstGeom prst="rect">
                      <a:avLst/>
                    </a:prstGeom>
                    <a:noFill/>
                    <a:ln>
                      <a:noFill/>
                    </a:ln>
                  </pic:spPr>
                </pic:pic>
              </a:graphicData>
            </a:graphic>
          </wp:inline>
        </w:drawing>
      </w:r>
      <w:r>
        <w:rPr>
          <w:rFonts w:hint="eastAsia"/>
          <w:color w:val="auto"/>
          <w:highlight w:val="none"/>
          <w:lang w:val="en-US" w:eastAsia="zh-CN"/>
        </w:rPr>
        <w:t xml:space="preserve"> </w:t>
      </w:r>
      <w:r>
        <w:rPr>
          <w:rFonts w:hint="eastAsia" w:eastAsia="宋体"/>
          <w:color w:val="auto"/>
          <w:sz w:val="36"/>
          <w:szCs w:val="36"/>
          <w:highlight w:val="none"/>
          <w:lang w:eastAsia="zh-CN"/>
        </w:rPr>
        <w:drawing>
          <wp:inline distT="0" distB="0" distL="114300" distR="114300">
            <wp:extent cx="5853430" cy="8275955"/>
            <wp:effectExtent l="0" t="0" r="13970" b="10795"/>
            <wp:docPr id="5" name="图片 5" descr="20260209121627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60209121627_页面_1"/>
                    <pic:cNvPicPr>
                      <a:picLocks noChangeAspect="1"/>
                    </pic:cNvPicPr>
                  </pic:nvPicPr>
                  <pic:blipFill>
                    <a:blip r:embed="rId9"/>
                    <a:stretch>
                      <a:fillRect/>
                    </a:stretch>
                  </pic:blipFill>
                  <pic:spPr>
                    <a:xfrm>
                      <a:off x="0" y="0"/>
                      <a:ext cx="5853430" cy="8275955"/>
                    </a:xfrm>
                    <a:prstGeom prst="rect">
                      <a:avLst/>
                    </a:prstGeom>
                  </pic:spPr>
                </pic:pic>
              </a:graphicData>
            </a:graphic>
          </wp:inline>
        </w:drawing>
      </w:r>
    </w:p>
    <w:p w14:paraId="225FA13D">
      <w:pPr>
        <w:rPr>
          <w:rFonts w:hint="eastAsia" w:eastAsia="宋体"/>
          <w:color w:val="auto"/>
          <w:sz w:val="36"/>
          <w:szCs w:val="36"/>
          <w:highlight w:val="none"/>
          <w:lang w:eastAsia="zh-CN"/>
        </w:rPr>
      </w:pPr>
      <w:r>
        <w:rPr>
          <w:color w:val="auto"/>
          <w:highlight w:val="none"/>
        </w:rPr>
        <w:drawing>
          <wp:inline distT="0" distB="0" distL="114300" distR="114300">
            <wp:extent cx="5909310" cy="8209915"/>
            <wp:effectExtent l="0" t="0" r="15240" b="63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0"/>
                    <a:stretch>
                      <a:fillRect/>
                    </a:stretch>
                  </pic:blipFill>
                  <pic:spPr>
                    <a:xfrm>
                      <a:off x="0" y="0"/>
                      <a:ext cx="5909310" cy="8209915"/>
                    </a:xfrm>
                    <a:prstGeom prst="rect">
                      <a:avLst/>
                    </a:prstGeom>
                    <a:noFill/>
                    <a:ln>
                      <a:noFill/>
                    </a:ln>
                  </pic:spPr>
                </pic:pic>
              </a:graphicData>
            </a:graphic>
          </wp:inline>
        </w:drawing>
      </w:r>
      <w:r>
        <w:rPr>
          <w:rFonts w:hint="eastAsia" w:eastAsia="宋体"/>
          <w:color w:val="auto"/>
          <w:sz w:val="36"/>
          <w:szCs w:val="36"/>
          <w:highlight w:val="none"/>
          <w:lang w:eastAsia="zh-CN"/>
        </w:rPr>
        <w:drawing>
          <wp:inline distT="0" distB="0" distL="114300" distR="114300">
            <wp:extent cx="5760085" cy="8143240"/>
            <wp:effectExtent l="0" t="0" r="12065" b="10160"/>
            <wp:docPr id="14" name="图片 14" descr="20260209121627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60209121627_页面_2"/>
                    <pic:cNvPicPr>
                      <a:picLocks noChangeAspect="1"/>
                    </pic:cNvPicPr>
                  </pic:nvPicPr>
                  <pic:blipFill>
                    <a:blip r:embed="rId11"/>
                    <a:stretch>
                      <a:fillRect/>
                    </a:stretch>
                  </pic:blipFill>
                  <pic:spPr>
                    <a:xfrm>
                      <a:off x="0" y="0"/>
                      <a:ext cx="5760085" cy="8143240"/>
                    </a:xfrm>
                    <a:prstGeom prst="rect">
                      <a:avLst/>
                    </a:prstGeom>
                  </pic:spPr>
                </pic:pic>
              </a:graphicData>
            </a:graphic>
          </wp:inline>
        </w:drawing>
      </w:r>
      <w:r>
        <w:rPr>
          <w:rFonts w:hint="eastAsia" w:eastAsia="宋体"/>
          <w:color w:val="auto"/>
          <w:sz w:val="36"/>
          <w:szCs w:val="36"/>
          <w:highlight w:val="none"/>
          <w:lang w:eastAsia="zh-CN"/>
        </w:rPr>
        <w:drawing>
          <wp:inline distT="0" distB="0" distL="114300" distR="114300">
            <wp:extent cx="5760085" cy="8143240"/>
            <wp:effectExtent l="0" t="0" r="12065" b="10160"/>
            <wp:docPr id="9" name="图片 9" descr="20260209121627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60209121627_页面_3"/>
                    <pic:cNvPicPr>
                      <a:picLocks noChangeAspect="1"/>
                    </pic:cNvPicPr>
                  </pic:nvPicPr>
                  <pic:blipFill>
                    <a:blip r:embed="rId12"/>
                    <a:stretch>
                      <a:fillRect/>
                    </a:stretch>
                  </pic:blipFill>
                  <pic:spPr>
                    <a:xfrm>
                      <a:off x="0" y="0"/>
                      <a:ext cx="5760085" cy="8143240"/>
                    </a:xfrm>
                    <a:prstGeom prst="rect">
                      <a:avLst/>
                    </a:prstGeom>
                  </pic:spPr>
                </pic:pic>
              </a:graphicData>
            </a:graphic>
          </wp:inline>
        </w:drawing>
      </w:r>
      <w:r>
        <w:rPr>
          <w:rFonts w:hint="eastAsia" w:eastAsia="宋体"/>
          <w:color w:val="auto"/>
          <w:sz w:val="36"/>
          <w:szCs w:val="36"/>
          <w:highlight w:val="none"/>
          <w:lang w:eastAsia="zh-CN"/>
        </w:rPr>
        <w:drawing>
          <wp:inline distT="0" distB="0" distL="114300" distR="114300">
            <wp:extent cx="5760085" cy="8143240"/>
            <wp:effectExtent l="0" t="0" r="12065" b="10160"/>
            <wp:docPr id="8" name="图片 8" descr="20260209121627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60209121627_页面_4"/>
                    <pic:cNvPicPr>
                      <a:picLocks noChangeAspect="1"/>
                    </pic:cNvPicPr>
                  </pic:nvPicPr>
                  <pic:blipFill>
                    <a:blip r:embed="rId13"/>
                    <a:stretch>
                      <a:fillRect/>
                    </a:stretch>
                  </pic:blipFill>
                  <pic:spPr>
                    <a:xfrm>
                      <a:off x="0" y="0"/>
                      <a:ext cx="5760085" cy="8143240"/>
                    </a:xfrm>
                    <a:prstGeom prst="rect">
                      <a:avLst/>
                    </a:prstGeom>
                  </pic:spPr>
                </pic:pic>
              </a:graphicData>
            </a:graphic>
          </wp:inline>
        </w:drawing>
      </w:r>
    </w:p>
    <w:p w14:paraId="4ED9DD9C">
      <w:pPr>
        <w:pStyle w:val="19"/>
        <w:ind w:firstLine="480"/>
        <w:rPr>
          <w:color w:val="auto"/>
          <w:highlight w:val="none"/>
        </w:rPr>
        <w:sectPr>
          <w:footerReference r:id="rId3" w:type="default"/>
          <w:pgSz w:w="11905" w:h="16838"/>
          <w:pgMar w:top="1417" w:right="1417" w:bottom="1417" w:left="1417" w:header="851" w:footer="1077" w:gutter="0"/>
          <w:pgNumType w:start="21"/>
          <w:cols w:space="720" w:num="1"/>
          <w:docGrid w:linePitch="312" w:charSpace="0"/>
        </w:sectPr>
      </w:pPr>
    </w:p>
    <w:p w14:paraId="171776A0">
      <w:pPr>
        <w:pStyle w:val="17"/>
        <w:spacing w:before="120" w:beforeLines="50" w:beforeAutospacing="0" w:after="120"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一、建设项目基本情况</w:t>
      </w:r>
    </w:p>
    <w:tbl>
      <w:tblPr>
        <w:tblStyle w:val="20"/>
        <w:tblW w:w="50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08"/>
        <w:gridCol w:w="2083"/>
        <w:gridCol w:w="1899"/>
        <w:gridCol w:w="3254"/>
      </w:tblGrid>
      <w:tr w14:paraId="7A1442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7A2EA081">
            <w:pPr>
              <w:jc w:val="center"/>
              <w:rPr>
                <w:color w:val="auto"/>
                <w:sz w:val="24"/>
                <w:highlight w:val="yellow"/>
              </w:rPr>
            </w:pPr>
            <w:r>
              <w:rPr>
                <w:color w:val="auto"/>
                <w:sz w:val="24"/>
              </w:rPr>
              <w:t>建设项目名称</w:t>
            </w:r>
          </w:p>
        </w:tc>
        <w:tc>
          <w:tcPr>
            <w:tcW w:w="3956" w:type="pct"/>
            <w:gridSpan w:val="3"/>
            <w:vAlign w:val="center"/>
          </w:tcPr>
          <w:p w14:paraId="69D06088">
            <w:pPr>
              <w:jc w:val="center"/>
              <w:rPr>
                <w:color w:val="auto"/>
                <w:sz w:val="24"/>
                <w:highlight w:val="yellow"/>
              </w:rPr>
            </w:pPr>
            <w:r>
              <w:rPr>
                <w:rFonts w:hint="eastAsia"/>
                <w:color w:val="auto"/>
                <w:sz w:val="24"/>
              </w:rPr>
              <w:t>淄博经济开发区防洪排涝体系整治提升工程项目</w:t>
            </w:r>
          </w:p>
        </w:tc>
      </w:tr>
      <w:tr w14:paraId="10638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76428E0C">
            <w:pPr>
              <w:jc w:val="center"/>
              <w:rPr>
                <w:color w:val="auto"/>
                <w:sz w:val="24"/>
                <w:highlight w:val="yellow"/>
              </w:rPr>
            </w:pPr>
            <w:r>
              <w:rPr>
                <w:color w:val="auto"/>
                <w:sz w:val="24"/>
              </w:rPr>
              <w:t>项目代码</w:t>
            </w:r>
          </w:p>
        </w:tc>
        <w:tc>
          <w:tcPr>
            <w:tcW w:w="3956" w:type="pct"/>
            <w:gridSpan w:val="3"/>
            <w:vAlign w:val="center"/>
          </w:tcPr>
          <w:p w14:paraId="72505F43">
            <w:pPr>
              <w:jc w:val="center"/>
              <w:rPr>
                <w:color w:val="auto"/>
                <w:sz w:val="24"/>
                <w:highlight w:val="yellow"/>
              </w:rPr>
            </w:pPr>
            <w:r>
              <w:rPr>
                <w:rFonts w:hint="eastAsia"/>
                <w:color w:val="auto"/>
                <w:sz w:val="24"/>
              </w:rPr>
              <w:t>2511-370393-04-01-319172</w:t>
            </w:r>
          </w:p>
        </w:tc>
      </w:tr>
      <w:tr w14:paraId="4207B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550EECB1">
            <w:pPr>
              <w:jc w:val="center"/>
              <w:rPr>
                <w:color w:val="auto"/>
                <w:sz w:val="24"/>
                <w:highlight w:val="yellow"/>
              </w:rPr>
            </w:pPr>
            <w:r>
              <w:rPr>
                <w:color w:val="auto"/>
                <w:sz w:val="24"/>
              </w:rPr>
              <w:t>建设单位联系人</w:t>
            </w:r>
          </w:p>
        </w:tc>
        <w:tc>
          <w:tcPr>
            <w:tcW w:w="1139" w:type="pct"/>
            <w:vAlign w:val="center"/>
          </w:tcPr>
          <w:p w14:paraId="389B2941">
            <w:pPr>
              <w:jc w:val="center"/>
              <w:rPr>
                <w:color w:val="auto"/>
                <w:sz w:val="24"/>
                <w:highlight w:val="yellow"/>
              </w:rPr>
            </w:pPr>
            <w:r>
              <w:rPr>
                <w:color w:val="auto"/>
                <w:sz w:val="24"/>
                <w:highlight w:val="none"/>
              </w:rPr>
              <w:t>刘正伟</w:t>
            </w:r>
          </w:p>
        </w:tc>
        <w:tc>
          <w:tcPr>
            <w:tcW w:w="1038" w:type="pct"/>
            <w:vAlign w:val="center"/>
          </w:tcPr>
          <w:p w14:paraId="338A6C1E">
            <w:pPr>
              <w:jc w:val="center"/>
              <w:rPr>
                <w:color w:val="auto"/>
                <w:sz w:val="24"/>
                <w:highlight w:val="yellow"/>
              </w:rPr>
            </w:pPr>
            <w:r>
              <w:rPr>
                <w:color w:val="auto"/>
                <w:sz w:val="24"/>
              </w:rPr>
              <w:t>联系方式</w:t>
            </w:r>
          </w:p>
        </w:tc>
        <w:tc>
          <w:tcPr>
            <w:tcW w:w="1779" w:type="pct"/>
            <w:vAlign w:val="center"/>
          </w:tcPr>
          <w:p w14:paraId="60629C01">
            <w:pPr>
              <w:jc w:val="center"/>
              <w:rPr>
                <w:color w:val="auto"/>
                <w:sz w:val="24"/>
                <w:highlight w:val="yellow"/>
              </w:rPr>
            </w:pPr>
            <w:r>
              <w:rPr>
                <w:color w:val="auto"/>
                <w:sz w:val="24"/>
                <w:highlight w:val="none"/>
              </w:rPr>
              <w:t>19806158357</w:t>
            </w:r>
          </w:p>
        </w:tc>
      </w:tr>
      <w:tr w14:paraId="2BB962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43" w:type="pct"/>
            <w:tcMar>
              <w:top w:w="16" w:type="dxa"/>
              <w:left w:w="16" w:type="dxa"/>
              <w:right w:w="16" w:type="dxa"/>
            </w:tcMar>
            <w:vAlign w:val="center"/>
          </w:tcPr>
          <w:p w14:paraId="3DBBFDAA">
            <w:pPr>
              <w:jc w:val="center"/>
              <w:rPr>
                <w:color w:val="auto"/>
                <w:sz w:val="24"/>
                <w:highlight w:val="yellow"/>
              </w:rPr>
            </w:pPr>
            <w:r>
              <w:rPr>
                <w:color w:val="auto"/>
                <w:sz w:val="24"/>
              </w:rPr>
              <w:t>建设地点</w:t>
            </w:r>
          </w:p>
        </w:tc>
        <w:tc>
          <w:tcPr>
            <w:tcW w:w="3956" w:type="pct"/>
            <w:gridSpan w:val="3"/>
            <w:vAlign w:val="center"/>
          </w:tcPr>
          <w:p w14:paraId="6FFF2EF5">
            <w:pPr>
              <w:jc w:val="center"/>
              <w:rPr>
                <w:color w:val="auto"/>
                <w:sz w:val="24"/>
                <w:highlight w:val="yellow"/>
              </w:rPr>
            </w:pPr>
            <w:r>
              <w:rPr>
                <w:color w:val="auto"/>
                <w:sz w:val="24"/>
              </w:rPr>
              <w:t>淄博经济开发区内</w:t>
            </w:r>
          </w:p>
        </w:tc>
      </w:tr>
      <w:tr w14:paraId="50103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020FCDE8">
            <w:pPr>
              <w:jc w:val="center"/>
              <w:rPr>
                <w:color w:val="auto"/>
                <w:sz w:val="24"/>
                <w:highlight w:val="yellow"/>
              </w:rPr>
            </w:pPr>
            <w:r>
              <w:rPr>
                <w:color w:val="auto"/>
                <w:sz w:val="24"/>
              </w:rPr>
              <w:t>地理坐标</w:t>
            </w:r>
          </w:p>
        </w:tc>
        <w:tc>
          <w:tcPr>
            <w:tcW w:w="3956" w:type="pct"/>
            <w:gridSpan w:val="3"/>
            <w:vAlign w:val="center"/>
          </w:tcPr>
          <w:p w14:paraId="335AEDB0">
            <w:pPr>
              <w:ind w:firstLine="480" w:firstLineChars="200"/>
              <w:jc w:val="left"/>
              <w:rPr>
                <w:color w:val="auto"/>
                <w:sz w:val="24"/>
              </w:rPr>
            </w:pPr>
            <w:r>
              <w:rPr>
                <w:color w:val="auto"/>
                <w:sz w:val="24"/>
              </w:rPr>
              <w:t>涝淄河起点坐标：E118°6′12.68</w:t>
            </w:r>
            <w:r>
              <w:rPr>
                <w:rFonts w:hint="eastAsia"/>
                <w:color w:val="auto"/>
                <w:sz w:val="24"/>
              </w:rPr>
              <w:t>7</w:t>
            </w:r>
            <w:r>
              <w:rPr>
                <w:color w:val="auto"/>
                <w:sz w:val="24"/>
              </w:rPr>
              <w:t>″</w:t>
            </w:r>
            <w:r>
              <w:rPr>
                <w:rFonts w:hint="eastAsia"/>
                <w:color w:val="auto"/>
                <w:sz w:val="24"/>
              </w:rPr>
              <w:t>，N</w:t>
            </w:r>
            <w:r>
              <w:rPr>
                <w:color w:val="auto"/>
                <w:sz w:val="24"/>
              </w:rPr>
              <w:t>36°44′57.354″，终点坐标：E118°5′43.00</w:t>
            </w:r>
            <w:r>
              <w:rPr>
                <w:rFonts w:hint="eastAsia"/>
                <w:color w:val="auto"/>
                <w:sz w:val="24"/>
              </w:rPr>
              <w:t>8</w:t>
            </w:r>
            <w:r>
              <w:rPr>
                <w:color w:val="auto"/>
                <w:sz w:val="24"/>
              </w:rPr>
              <w:t>″、N36°46′43.718″；</w:t>
            </w:r>
          </w:p>
          <w:p w14:paraId="425D3974">
            <w:pPr>
              <w:ind w:firstLine="480" w:firstLineChars="200"/>
              <w:jc w:val="left"/>
              <w:rPr>
                <w:color w:val="auto"/>
                <w:sz w:val="24"/>
                <w:highlight w:val="yellow"/>
              </w:rPr>
            </w:pPr>
            <w:r>
              <w:rPr>
                <w:color w:val="auto"/>
                <w:sz w:val="24"/>
              </w:rPr>
              <w:t>漫泗河起点坐标：E118°3′13.714″、N36°43′6.51</w:t>
            </w:r>
            <w:r>
              <w:rPr>
                <w:rFonts w:hint="eastAsia"/>
                <w:color w:val="auto"/>
                <w:sz w:val="24"/>
              </w:rPr>
              <w:t>3</w:t>
            </w:r>
            <w:r>
              <w:rPr>
                <w:color w:val="auto"/>
                <w:sz w:val="24"/>
              </w:rPr>
              <w:t>″，终点坐标：E118°2′19.46</w:t>
            </w:r>
            <w:r>
              <w:rPr>
                <w:rFonts w:hint="eastAsia"/>
                <w:color w:val="auto"/>
                <w:sz w:val="24"/>
              </w:rPr>
              <w:t>4</w:t>
            </w:r>
            <w:r>
              <w:rPr>
                <w:color w:val="auto"/>
                <w:sz w:val="24"/>
              </w:rPr>
              <w:t>″、N36°43′48.29</w:t>
            </w:r>
            <w:r>
              <w:rPr>
                <w:rFonts w:hint="eastAsia"/>
                <w:color w:val="auto"/>
                <w:sz w:val="24"/>
              </w:rPr>
              <w:t>8</w:t>
            </w:r>
            <w:r>
              <w:rPr>
                <w:color w:val="auto"/>
                <w:sz w:val="24"/>
              </w:rPr>
              <w:t>″；</w:t>
            </w:r>
          </w:p>
          <w:p w14:paraId="0D71F0AF">
            <w:pPr>
              <w:ind w:firstLine="480" w:firstLineChars="200"/>
              <w:jc w:val="left"/>
              <w:rPr>
                <w:color w:val="auto"/>
                <w:sz w:val="24"/>
              </w:rPr>
            </w:pPr>
            <w:r>
              <w:rPr>
                <w:rFonts w:hint="eastAsia"/>
                <w:color w:val="auto"/>
                <w:sz w:val="24"/>
              </w:rPr>
              <w:t>东猪龙河上游东支起点坐标：</w:t>
            </w:r>
            <w:r>
              <w:rPr>
                <w:color w:val="auto"/>
                <w:sz w:val="24"/>
              </w:rPr>
              <w:t>E118°4′8.716″、N36°45′46.93</w:t>
            </w:r>
            <w:r>
              <w:rPr>
                <w:rFonts w:hint="eastAsia"/>
                <w:color w:val="auto"/>
                <w:sz w:val="24"/>
              </w:rPr>
              <w:t>4</w:t>
            </w:r>
            <w:r>
              <w:rPr>
                <w:color w:val="auto"/>
                <w:sz w:val="24"/>
              </w:rPr>
              <w:t>″，终点坐标：E118°3′6.99</w:t>
            </w:r>
            <w:r>
              <w:rPr>
                <w:rFonts w:hint="eastAsia"/>
                <w:color w:val="auto"/>
                <w:sz w:val="24"/>
              </w:rPr>
              <w:t>3</w:t>
            </w:r>
            <w:r>
              <w:rPr>
                <w:color w:val="auto"/>
                <w:sz w:val="24"/>
              </w:rPr>
              <w:t>″、N36°46′7.15</w:t>
            </w:r>
            <w:r>
              <w:rPr>
                <w:rFonts w:hint="eastAsia"/>
                <w:color w:val="auto"/>
                <w:sz w:val="24"/>
              </w:rPr>
              <w:t>5</w:t>
            </w:r>
            <w:r>
              <w:rPr>
                <w:color w:val="auto"/>
                <w:sz w:val="24"/>
              </w:rPr>
              <w:t>″；</w:t>
            </w:r>
          </w:p>
          <w:p w14:paraId="672B1F5F">
            <w:pPr>
              <w:pStyle w:val="2"/>
              <w:rPr>
                <w:color w:val="auto"/>
                <w:sz w:val="24"/>
              </w:rPr>
            </w:pPr>
            <w:r>
              <w:rPr>
                <w:rFonts w:hint="eastAsia"/>
                <w:color w:val="auto"/>
                <w:sz w:val="24"/>
              </w:rPr>
              <w:t>东猪龙河上游西支起点坐标：</w:t>
            </w:r>
            <w:r>
              <w:rPr>
                <w:color w:val="auto"/>
                <w:sz w:val="24"/>
              </w:rPr>
              <w:t>E118°4′51.876″、N36°44′37.488″，</w:t>
            </w:r>
          </w:p>
          <w:p w14:paraId="7C5F6962">
            <w:pPr>
              <w:pStyle w:val="2"/>
              <w:ind w:left="0"/>
              <w:rPr>
                <w:color w:val="auto"/>
              </w:rPr>
            </w:pPr>
            <w:r>
              <w:rPr>
                <w:color w:val="auto"/>
                <w:sz w:val="24"/>
              </w:rPr>
              <w:t>终点坐标：E118°2′47.76</w:t>
            </w:r>
            <w:r>
              <w:rPr>
                <w:rFonts w:hint="eastAsia"/>
                <w:color w:val="auto"/>
                <w:sz w:val="24"/>
              </w:rPr>
              <w:t>5</w:t>
            </w:r>
            <w:r>
              <w:rPr>
                <w:color w:val="auto"/>
                <w:sz w:val="24"/>
              </w:rPr>
              <w:t>″、N36°45′45.31</w:t>
            </w:r>
            <w:r>
              <w:rPr>
                <w:rFonts w:hint="eastAsia"/>
                <w:color w:val="auto"/>
                <w:sz w:val="24"/>
              </w:rPr>
              <w:t>8</w:t>
            </w:r>
            <w:r>
              <w:rPr>
                <w:color w:val="auto"/>
                <w:sz w:val="24"/>
              </w:rPr>
              <w:t>″；</w:t>
            </w:r>
          </w:p>
          <w:p w14:paraId="735AC7B0">
            <w:pPr>
              <w:ind w:firstLine="480" w:firstLineChars="200"/>
              <w:jc w:val="left"/>
              <w:rPr>
                <w:color w:val="auto"/>
                <w:sz w:val="24"/>
              </w:rPr>
            </w:pPr>
            <w:r>
              <w:rPr>
                <w:color w:val="auto"/>
                <w:sz w:val="24"/>
              </w:rPr>
              <w:t>瓦村沟起点坐标：E118°1′33.516″、N36°42′21.548″，终点坐标：E118°0′9.12</w:t>
            </w:r>
            <w:r>
              <w:rPr>
                <w:rFonts w:hint="eastAsia"/>
                <w:color w:val="auto"/>
                <w:sz w:val="24"/>
              </w:rPr>
              <w:t>5</w:t>
            </w:r>
            <w:r>
              <w:rPr>
                <w:color w:val="auto"/>
                <w:sz w:val="24"/>
              </w:rPr>
              <w:t>″、N36°43′52.32</w:t>
            </w:r>
            <w:r>
              <w:rPr>
                <w:rFonts w:hint="eastAsia"/>
                <w:color w:val="auto"/>
                <w:sz w:val="24"/>
              </w:rPr>
              <w:t>8</w:t>
            </w:r>
            <w:r>
              <w:rPr>
                <w:color w:val="auto"/>
                <w:sz w:val="24"/>
              </w:rPr>
              <w:t>″；</w:t>
            </w:r>
          </w:p>
          <w:p w14:paraId="7CABAB23">
            <w:pPr>
              <w:ind w:firstLine="480" w:firstLineChars="200"/>
              <w:jc w:val="left"/>
              <w:rPr>
                <w:color w:val="auto"/>
                <w:sz w:val="24"/>
              </w:rPr>
            </w:pPr>
            <w:r>
              <w:rPr>
                <w:color w:val="auto"/>
                <w:sz w:val="24"/>
              </w:rPr>
              <w:t>暖水河起点坐标：E118°2′24.97</w:t>
            </w:r>
            <w:r>
              <w:rPr>
                <w:rFonts w:hint="eastAsia"/>
                <w:color w:val="auto"/>
                <w:sz w:val="24"/>
              </w:rPr>
              <w:t>4</w:t>
            </w:r>
            <w:r>
              <w:rPr>
                <w:color w:val="auto"/>
                <w:sz w:val="24"/>
              </w:rPr>
              <w:t>″、N36°42′32.66</w:t>
            </w:r>
            <w:r>
              <w:rPr>
                <w:rFonts w:hint="eastAsia"/>
                <w:color w:val="auto"/>
                <w:sz w:val="24"/>
              </w:rPr>
              <w:t>3</w:t>
            </w:r>
            <w:r>
              <w:rPr>
                <w:color w:val="auto"/>
                <w:sz w:val="24"/>
              </w:rPr>
              <w:t>″，终点坐标：E118°1′59.059″、N36°43′55.33</w:t>
            </w:r>
            <w:r>
              <w:rPr>
                <w:rFonts w:hint="eastAsia"/>
                <w:color w:val="auto"/>
                <w:sz w:val="24"/>
              </w:rPr>
              <w:t>6</w:t>
            </w:r>
            <w:r>
              <w:rPr>
                <w:color w:val="auto"/>
                <w:sz w:val="24"/>
              </w:rPr>
              <w:t>″；</w:t>
            </w:r>
          </w:p>
          <w:p w14:paraId="60D155D3">
            <w:pPr>
              <w:ind w:firstLine="480" w:firstLineChars="200"/>
              <w:jc w:val="left"/>
              <w:rPr>
                <w:color w:val="auto"/>
                <w:sz w:val="24"/>
              </w:rPr>
            </w:pPr>
            <w:r>
              <w:rPr>
                <w:color w:val="auto"/>
                <w:sz w:val="24"/>
              </w:rPr>
              <w:t>焕然河起点坐标：E117°56′14.481″、N36°43′43.806″，终点坐标：E117°56′0.390″、N36°44′27.48</w:t>
            </w:r>
            <w:r>
              <w:rPr>
                <w:rFonts w:hint="eastAsia"/>
                <w:color w:val="auto"/>
                <w:sz w:val="24"/>
              </w:rPr>
              <w:t>3</w:t>
            </w:r>
            <w:r>
              <w:rPr>
                <w:color w:val="auto"/>
                <w:sz w:val="24"/>
              </w:rPr>
              <w:t>″；</w:t>
            </w:r>
          </w:p>
          <w:p w14:paraId="59D66015">
            <w:pPr>
              <w:ind w:firstLine="480" w:firstLineChars="200"/>
              <w:jc w:val="left"/>
              <w:rPr>
                <w:color w:val="auto"/>
                <w:sz w:val="24"/>
              </w:rPr>
            </w:pPr>
            <w:r>
              <w:rPr>
                <w:rFonts w:hint="eastAsia"/>
                <w:color w:val="auto"/>
                <w:sz w:val="24"/>
              </w:rPr>
              <w:t>三泉沟</w:t>
            </w:r>
            <w:r>
              <w:rPr>
                <w:color w:val="auto"/>
                <w:sz w:val="24"/>
              </w:rPr>
              <w:t>起点坐标：E118°1′35.24</w:t>
            </w:r>
            <w:r>
              <w:rPr>
                <w:rFonts w:hint="eastAsia"/>
                <w:color w:val="auto"/>
                <w:sz w:val="24"/>
              </w:rPr>
              <w:t>8</w:t>
            </w:r>
            <w:r>
              <w:rPr>
                <w:color w:val="auto"/>
                <w:sz w:val="24"/>
              </w:rPr>
              <w:t>″、N36°45′20.688″，终点坐标：E118°1′14.251″、N36°44′6.87</w:t>
            </w:r>
            <w:r>
              <w:rPr>
                <w:rFonts w:hint="eastAsia"/>
                <w:color w:val="auto"/>
                <w:sz w:val="24"/>
              </w:rPr>
              <w:t>4</w:t>
            </w:r>
            <w:r>
              <w:rPr>
                <w:color w:val="auto"/>
                <w:sz w:val="24"/>
              </w:rPr>
              <w:t>″；</w:t>
            </w:r>
          </w:p>
          <w:p w14:paraId="1030FD11">
            <w:pPr>
              <w:ind w:firstLine="480" w:firstLineChars="200"/>
              <w:jc w:val="left"/>
              <w:rPr>
                <w:color w:val="auto"/>
                <w:sz w:val="24"/>
              </w:rPr>
            </w:pPr>
            <w:r>
              <w:rPr>
                <w:color w:val="auto"/>
                <w:sz w:val="24"/>
              </w:rPr>
              <w:t>白蛇沟起点坐标：E117°55′32.28</w:t>
            </w:r>
            <w:r>
              <w:rPr>
                <w:rFonts w:hint="eastAsia"/>
                <w:color w:val="auto"/>
                <w:sz w:val="24"/>
              </w:rPr>
              <w:t>9</w:t>
            </w:r>
            <w:r>
              <w:rPr>
                <w:color w:val="auto"/>
                <w:sz w:val="24"/>
              </w:rPr>
              <w:t>″、N36°45′51.66</w:t>
            </w:r>
            <w:r>
              <w:rPr>
                <w:rFonts w:hint="eastAsia"/>
                <w:color w:val="auto"/>
                <w:sz w:val="24"/>
              </w:rPr>
              <w:t>8</w:t>
            </w:r>
            <w:r>
              <w:rPr>
                <w:color w:val="auto"/>
                <w:sz w:val="24"/>
              </w:rPr>
              <w:t>″，终点坐标：E117°57′51.9</w:t>
            </w:r>
            <w:r>
              <w:rPr>
                <w:rFonts w:hint="eastAsia"/>
                <w:color w:val="auto"/>
                <w:sz w:val="24"/>
              </w:rPr>
              <w:t>30</w:t>
            </w:r>
            <w:r>
              <w:rPr>
                <w:color w:val="auto"/>
                <w:sz w:val="24"/>
              </w:rPr>
              <w:t>″、N36°46′57.450″；</w:t>
            </w:r>
          </w:p>
          <w:p w14:paraId="42693D2F">
            <w:pPr>
              <w:ind w:firstLine="480" w:firstLineChars="200"/>
              <w:jc w:val="left"/>
              <w:rPr>
                <w:color w:val="auto"/>
                <w:sz w:val="24"/>
              </w:rPr>
            </w:pPr>
            <w:r>
              <w:rPr>
                <w:rFonts w:hint="eastAsia"/>
                <w:color w:val="auto"/>
                <w:sz w:val="24"/>
              </w:rPr>
              <w:t>袁家河</w:t>
            </w:r>
            <w:r>
              <w:rPr>
                <w:color w:val="auto"/>
                <w:sz w:val="24"/>
              </w:rPr>
              <w:t>起点坐标：E117°56′39.67</w:t>
            </w:r>
            <w:r>
              <w:rPr>
                <w:rFonts w:hint="eastAsia"/>
                <w:color w:val="auto"/>
                <w:sz w:val="24"/>
              </w:rPr>
              <w:t>7</w:t>
            </w:r>
            <w:r>
              <w:rPr>
                <w:color w:val="auto"/>
                <w:sz w:val="24"/>
              </w:rPr>
              <w:t>″、N36°42′51.879″，终点坐标：E117°57′30.19</w:t>
            </w:r>
            <w:r>
              <w:rPr>
                <w:rFonts w:hint="eastAsia"/>
                <w:color w:val="auto"/>
                <w:sz w:val="24"/>
              </w:rPr>
              <w:t>3</w:t>
            </w:r>
            <w:r>
              <w:rPr>
                <w:color w:val="auto"/>
                <w:sz w:val="24"/>
              </w:rPr>
              <w:t>″、N36°44′39.306″；</w:t>
            </w:r>
          </w:p>
          <w:p w14:paraId="5A5CFCE7">
            <w:pPr>
              <w:ind w:firstLine="480" w:firstLineChars="200"/>
              <w:jc w:val="left"/>
              <w:rPr>
                <w:color w:val="auto"/>
                <w:sz w:val="24"/>
              </w:rPr>
            </w:pPr>
            <w:r>
              <w:rPr>
                <w:rFonts w:hint="eastAsia"/>
                <w:color w:val="auto"/>
                <w:sz w:val="24"/>
              </w:rPr>
              <w:t>天津路排涝沟</w:t>
            </w:r>
            <w:r>
              <w:rPr>
                <w:color w:val="auto"/>
                <w:sz w:val="24"/>
              </w:rPr>
              <w:t>起点坐标：E117°57′58.385″、N36°42′54.006″，终点坐标：E117°57′40.686″、N36°44′52.588″；</w:t>
            </w:r>
          </w:p>
          <w:p w14:paraId="3C5F190A">
            <w:pPr>
              <w:ind w:firstLine="480" w:firstLineChars="200"/>
              <w:jc w:val="left"/>
              <w:rPr>
                <w:color w:val="auto"/>
                <w:sz w:val="24"/>
              </w:rPr>
            </w:pPr>
            <w:r>
              <w:rPr>
                <w:rFonts w:hint="eastAsia"/>
                <w:color w:val="auto"/>
                <w:sz w:val="24"/>
              </w:rPr>
              <w:t>小旦村排涝沟</w:t>
            </w:r>
            <w:r>
              <w:rPr>
                <w:color w:val="auto"/>
                <w:sz w:val="24"/>
              </w:rPr>
              <w:t>起点坐标：E118°2′37.42</w:t>
            </w:r>
            <w:r>
              <w:rPr>
                <w:rFonts w:hint="eastAsia"/>
                <w:color w:val="auto"/>
                <w:sz w:val="24"/>
              </w:rPr>
              <w:t>9</w:t>
            </w:r>
            <w:r>
              <w:rPr>
                <w:color w:val="auto"/>
                <w:sz w:val="24"/>
              </w:rPr>
              <w:t>″、N36°43′13.57</w:t>
            </w:r>
            <w:r>
              <w:rPr>
                <w:rFonts w:hint="eastAsia"/>
                <w:color w:val="auto"/>
                <w:sz w:val="24"/>
              </w:rPr>
              <w:t>4</w:t>
            </w:r>
            <w:r>
              <w:rPr>
                <w:color w:val="auto"/>
                <w:sz w:val="24"/>
              </w:rPr>
              <w:t>″，终点坐标：E118°2′43.360″、N36°43′45.80</w:t>
            </w:r>
            <w:r>
              <w:rPr>
                <w:rFonts w:hint="eastAsia"/>
                <w:color w:val="auto"/>
                <w:sz w:val="24"/>
              </w:rPr>
              <w:t>7</w:t>
            </w:r>
            <w:r>
              <w:rPr>
                <w:color w:val="auto"/>
                <w:sz w:val="24"/>
              </w:rPr>
              <w:t>″；</w:t>
            </w:r>
          </w:p>
          <w:p w14:paraId="2750566C">
            <w:pPr>
              <w:ind w:firstLine="480" w:firstLineChars="200"/>
              <w:jc w:val="left"/>
              <w:rPr>
                <w:color w:val="auto"/>
                <w:sz w:val="24"/>
                <w:highlight w:val="yellow"/>
              </w:rPr>
            </w:pPr>
            <w:r>
              <w:rPr>
                <w:rFonts w:hint="eastAsia"/>
                <w:color w:val="auto"/>
                <w:sz w:val="24"/>
              </w:rPr>
              <w:t>大高村排涝沟</w:t>
            </w:r>
            <w:r>
              <w:rPr>
                <w:color w:val="auto"/>
                <w:sz w:val="24"/>
              </w:rPr>
              <w:t>起点坐标：E118°6′34.197″、N36°45′26.86</w:t>
            </w:r>
            <w:r>
              <w:rPr>
                <w:rFonts w:hint="eastAsia"/>
                <w:color w:val="auto"/>
                <w:sz w:val="24"/>
              </w:rPr>
              <w:t>1</w:t>
            </w:r>
            <w:r>
              <w:rPr>
                <w:color w:val="auto"/>
                <w:sz w:val="24"/>
              </w:rPr>
              <w:t>″，终点坐标：E118°6′46.017″、N36°45′50.04</w:t>
            </w:r>
            <w:r>
              <w:rPr>
                <w:rFonts w:hint="eastAsia"/>
                <w:color w:val="auto"/>
                <w:sz w:val="24"/>
              </w:rPr>
              <w:t>2</w:t>
            </w:r>
            <w:r>
              <w:rPr>
                <w:color w:val="auto"/>
                <w:sz w:val="24"/>
              </w:rPr>
              <w:t>″。</w:t>
            </w:r>
          </w:p>
        </w:tc>
      </w:tr>
      <w:tr w14:paraId="6478C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43" w:type="pct"/>
            <w:tcMar>
              <w:top w:w="16" w:type="dxa"/>
              <w:left w:w="16" w:type="dxa"/>
              <w:right w:w="16" w:type="dxa"/>
            </w:tcMar>
            <w:vAlign w:val="center"/>
          </w:tcPr>
          <w:p w14:paraId="1886D7FA">
            <w:pPr>
              <w:jc w:val="center"/>
              <w:rPr>
                <w:color w:val="auto"/>
                <w:sz w:val="24"/>
              </w:rPr>
            </w:pPr>
            <w:r>
              <w:rPr>
                <w:color w:val="auto"/>
                <w:sz w:val="24"/>
              </w:rPr>
              <w:t>建设项目</w:t>
            </w:r>
          </w:p>
          <w:p w14:paraId="08185AE1">
            <w:pPr>
              <w:jc w:val="center"/>
              <w:rPr>
                <w:color w:val="auto"/>
                <w:sz w:val="24"/>
              </w:rPr>
            </w:pPr>
            <w:r>
              <w:rPr>
                <w:color w:val="auto"/>
                <w:sz w:val="24"/>
              </w:rPr>
              <w:t>行业类别</w:t>
            </w:r>
          </w:p>
        </w:tc>
        <w:tc>
          <w:tcPr>
            <w:tcW w:w="1139" w:type="pct"/>
            <w:vAlign w:val="center"/>
          </w:tcPr>
          <w:p w14:paraId="29632109">
            <w:pPr>
              <w:adjustRightInd w:val="0"/>
              <w:snapToGrid w:val="0"/>
              <w:jc w:val="center"/>
              <w:rPr>
                <w:rFonts w:hint="eastAsia" w:eastAsia="宋体"/>
                <w:color w:val="auto"/>
                <w:sz w:val="24"/>
                <w:lang w:eastAsia="zh-CN"/>
              </w:rPr>
            </w:pPr>
            <w:r>
              <w:rPr>
                <w:color w:val="auto"/>
                <w:sz w:val="24"/>
              </w:rPr>
              <w:t>五十一、水利12</w:t>
            </w:r>
            <w:r>
              <w:rPr>
                <w:rFonts w:hint="eastAsia"/>
                <w:color w:val="auto"/>
                <w:sz w:val="24"/>
              </w:rPr>
              <w:t>7</w:t>
            </w:r>
            <w:r>
              <w:rPr>
                <w:color w:val="auto"/>
                <w:sz w:val="24"/>
              </w:rPr>
              <w:t>、</w:t>
            </w:r>
            <w:r>
              <w:rPr>
                <w:rFonts w:hint="eastAsia"/>
                <w:color w:val="auto"/>
                <w:sz w:val="24"/>
              </w:rPr>
              <w:t>防洪除涝工程</w:t>
            </w:r>
            <w:r>
              <w:rPr>
                <w:rFonts w:hint="eastAsia"/>
                <w:color w:val="auto"/>
                <w:sz w:val="24"/>
                <w:lang w:eastAsia="zh-CN"/>
              </w:rPr>
              <w:t>；五十二、交通运输业、管道运输业：</w:t>
            </w:r>
            <w:r>
              <w:rPr>
                <w:rFonts w:hint="eastAsia"/>
                <w:color w:val="auto"/>
                <w:sz w:val="24"/>
                <w:lang w:val="en-US" w:eastAsia="zh-CN"/>
              </w:rPr>
              <w:t>146、城市（镇）管网及管廊建设（不含给水管道；不含光纤；不含1.6兆帕及以下的天然气管道）</w:t>
            </w:r>
          </w:p>
        </w:tc>
        <w:tc>
          <w:tcPr>
            <w:tcW w:w="1038" w:type="pct"/>
            <w:vAlign w:val="center"/>
          </w:tcPr>
          <w:p w14:paraId="5AF7320E">
            <w:pPr>
              <w:jc w:val="center"/>
              <w:rPr>
                <w:color w:val="auto"/>
                <w:sz w:val="24"/>
              </w:rPr>
            </w:pPr>
            <w:r>
              <w:rPr>
                <w:color w:val="auto"/>
                <w:sz w:val="24"/>
              </w:rPr>
              <w:t>长度（km）</w:t>
            </w:r>
          </w:p>
        </w:tc>
        <w:tc>
          <w:tcPr>
            <w:tcW w:w="1779" w:type="pct"/>
            <w:vAlign w:val="center"/>
          </w:tcPr>
          <w:p w14:paraId="5848307B">
            <w:pPr>
              <w:jc w:val="center"/>
              <w:rPr>
                <w:color w:val="auto"/>
              </w:rPr>
            </w:pPr>
            <w:r>
              <w:rPr>
                <w:rFonts w:hint="eastAsia"/>
                <w:color w:val="auto"/>
                <w:sz w:val="24"/>
              </w:rPr>
              <w:t>42.75</w:t>
            </w:r>
          </w:p>
        </w:tc>
      </w:tr>
      <w:tr w14:paraId="4E15ED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076B316C">
            <w:pPr>
              <w:jc w:val="center"/>
              <w:rPr>
                <w:color w:val="auto"/>
                <w:sz w:val="24"/>
              </w:rPr>
            </w:pPr>
            <w:r>
              <w:rPr>
                <w:color w:val="auto"/>
                <w:sz w:val="24"/>
              </w:rPr>
              <w:t>建设性质</w:t>
            </w:r>
          </w:p>
        </w:tc>
        <w:tc>
          <w:tcPr>
            <w:tcW w:w="1139" w:type="pct"/>
            <w:vAlign w:val="center"/>
          </w:tcPr>
          <w:p w14:paraId="3653B927">
            <w:pPr>
              <w:jc w:val="left"/>
              <w:rPr>
                <w:color w:val="auto"/>
                <w:sz w:val="24"/>
              </w:rPr>
            </w:pPr>
            <w:r>
              <w:rPr>
                <w:color w:val="auto"/>
                <w:sz w:val="24"/>
              </w:rPr>
              <w:sym w:font="Wingdings 2" w:char="0052"/>
            </w:r>
            <w:r>
              <w:rPr>
                <w:color w:val="auto"/>
                <w:sz w:val="24"/>
              </w:rPr>
              <w:t>新建（迁建）</w:t>
            </w:r>
          </w:p>
          <w:p w14:paraId="44F2DA7E">
            <w:pPr>
              <w:jc w:val="left"/>
              <w:rPr>
                <w:color w:val="auto"/>
                <w:sz w:val="24"/>
              </w:rPr>
            </w:pPr>
            <w:r>
              <w:rPr>
                <w:color w:val="auto"/>
                <w:sz w:val="24"/>
              </w:rPr>
              <w:sym w:font="Wingdings 2" w:char="00A3"/>
            </w:r>
            <w:r>
              <w:rPr>
                <w:color w:val="auto"/>
                <w:sz w:val="24"/>
              </w:rPr>
              <w:t>改建</w:t>
            </w:r>
          </w:p>
          <w:p w14:paraId="33B4FEFF">
            <w:pPr>
              <w:jc w:val="left"/>
              <w:rPr>
                <w:color w:val="auto"/>
                <w:sz w:val="24"/>
              </w:rPr>
            </w:pPr>
            <w:r>
              <w:rPr>
                <w:color w:val="auto"/>
                <w:sz w:val="24"/>
              </w:rPr>
              <w:sym w:font="Wingdings 2" w:char="00A3"/>
            </w:r>
            <w:r>
              <w:rPr>
                <w:color w:val="auto"/>
                <w:sz w:val="24"/>
              </w:rPr>
              <w:t>扩建</w:t>
            </w:r>
          </w:p>
          <w:p w14:paraId="41A753B4">
            <w:pPr>
              <w:jc w:val="left"/>
              <w:rPr>
                <w:color w:val="auto"/>
                <w:sz w:val="24"/>
              </w:rPr>
            </w:pPr>
            <w:r>
              <w:rPr>
                <w:color w:val="auto"/>
                <w:sz w:val="24"/>
              </w:rPr>
              <w:sym w:font="Wingdings 2" w:char="00A3"/>
            </w:r>
            <w:r>
              <w:rPr>
                <w:color w:val="auto"/>
                <w:sz w:val="24"/>
              </w:rPr>
              <w:t>技术改造</w:t>
            </w:r>
          </w:p>
        </w:tc>
        <w:tc>
          <w:tcPr>
            <w:tcW w:w="1038" w:type="pct"/>
            <w:vAlign w:val="center"/>
          </w:tcPr>
          <w:p w14:paraId="4B42FCC7">
            <w:pPr>
              <w:jc w:val="center"/>
              <w:rPr>
                <w:color w:val="auto"/>
                <w:sz w:val="24"/>
              </w:rPr>
            </w:pPr>
            <w:r>
              <w:rPr>
                <w:color w:val="auto"/>
                <w:sz w:val="24"/>
              </w:rPr>
              <w:t>建设项目</w:t>
            </w:r>
          </w:p>
          <w:p w14:paraId="63E836B5">
            <w:pPr>
              <w:jc w:val="center"/>
              <w:rPr>
                <w:color w:val="auto"/>
                <w:sz w:val="24"/>
              </w:rPr>
            </w:pPr>
            <w:r>
              <w:rPr>
                <w:color w:val="auto"/>
                <w:sz w:val="24"/>
              </w:rPr>
              <w:t>申报情形</w:t>
            </w:r>
          </w:p>
        </w:tc>
        <w:tc>
          <w:tcPr>
            <w:tcW w:w="1779" w:type="pct"/>
            <w:vAlign w:val="center"/>
          </w:tcPr>
          <w:p w14:paraId="5E87A47B">
            <w:pPr>
              <w:jc w:val="left"/>
              <w:rPr>
                <w:color w:val="auto"/>
                <w:sz w:val="24"/>
              </w:rPr>
            </w:pPr>
            <w:r>
              <w:rPr>
                <w:color w:val="auto"/>
                <w:sz w:val="24"/>
              </w:rPr>
              <w:sym w:font="Wingdings 2" w:char="0052"/>
            </w:r>
            <w:r>
              <w:rPr>
                <w:color w:val="auto"/>
                <w:sz w:val="24"/>
              </w:rPr>
              <w:t>首次申报项目</w:t>
            </w:r>
          </w:p>
          <w:p w14:paraId="14BDDDA6">
            <w:pPr>
              <w:jc w:val="left"/>
              <w:rPr>
                <w:color w:val="auto"/>
                <w:sz w:val="24"/>
              </w:rPr>
            </w:pPr>
            <w:r>
              <w:rPr>
                <w:color w:val="auto"/>
                <w:sz w:val="24"/>
              </w:rPr>
              <w:sym w:font="Wingdings 2" w:char="00A3"/>
            </w:r>
            <w:r>
              <w:rPr>
                <w:color w:val="auto"/>
                <w:sz w:val="24"/>
              </w:rPr>
              <w:t>不予批准后再次申报项目</w:t>
            </w:r>
          </w:p>
          <w:p w14:paraId="52ECF069">
            <w:pPr>
              <w:jc w:val="left"/>
              <w:rPr>
                <w:color w:val="auto"/>
                <w:sz w:val="24"/>
              </w:rPr>
            </w:pPr>
            <w:r>
              <w:rPr>
                <w:color w:val="auto"/>
                <w:sz w:val="24"/>
              </w:rPr>
              <w:sym w:font="Wingdings 2" w:char="00A3"/>
            </w:r>
            <w:r>
              <w:rPr>
                <w:color w:val="auto"/>
                <w:sz w:val="24"/>
              </w:rPr>
              <w:t>超五年重新审核项目</w:t>
            </w:r>
          </w:p>
          <w:p w14:paraId="66CFD471">
            <w:pPr>
              <w:jc w:val="left"/>
              <w:rPr>
                <w:color w:val="auto"/>
                <w:sz w:val="24"/>
              </w:rPr>
            </w:pPr>
            <w:r>
              <w:rPr>
                <w:color w:val="auto"/>
                <w:sz w:val="24"/>
              </w:rPr>
              <w:sym w:font="Wingdings 2" w:char="00A3"/>
            </w:r>
            <w:r>
              <w:rPr>
                <w:color w:val="auto"/>
                <w:sz w:val="24"/>
              </w:rPr>
              <w:t>重大变动重新报批项目</w:t>
            </w:r>
          </w:p>
        </w:tc>
      </w:tr>
      <w:tr w14:paraId="7D8AFB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3A3BE0A2">
            <w:pPr>
              <w:jc w:val="center"/>
              <w:rPr>
                <w:color w:val="auto"/>
                <w:sz w:val="24"/>
              </w:rPr>
            </w:pPr>
            <w:r>
              <w:rPr>
                <w:color w:val="auto"/>
                <w:sz w:val="24"/>
              </w:rPr>
              <w:t>项目审批（核准/备案）部门（选填）</w:t>
            </w:r>
          </w:p>
        </w:tc>
        <w:tc>
          <w:tcPr>
            <w:tcW w:w="1139" w:type="pct"/>
            <w:vAlign w:val="center"/>
          </w:tcPr>
          <w:p w14:paraId="262570A8">
            <w:pPr>
              <w:jc w:val="center"/>
              <w:rPr>
                <w:color w:val="auto"/>
                <w:sz w:val="24"/>
              </w:rPr>
            </w:pPr>
            <w:r>
              <w:rPr>
                <w:rFonts w:hint="eastAsia"/>
                <w:color w:val="auto"/>
                <w:sz w:val="24"/>
              </w:rPr>
              <w:t>淄博经济开发区管理委员会经济发展局</w:t>
            </w:r>
          </w:p>
        </w:tc>
        <w:tc>
          <w:tcPr>
            <w:tcW w:w="1038" w:type="pct"/>
            <w:vAlign w:val="center"/>
          </w:tcPr>
          <w:p w14:paraId="055FB3A7">
            <w:pPr>
              <w:jc w:val="center"/>
              <w:rPr>
                <w:color w:val="auto"/>
                <w:sz w:val="24"/>
              </w:rPr>
            </w:pPr>
            <w:r>
              <w:rPr>
                <w:color w:val="auto"/>
                <w:sz w:val="24"/>
              </w:rPr>
              <w:t>项目审批（核准/备案）文号（选填）</w:t>
            </w:r>
          </w:p>
        </w:tc>
        <w:tc>
          <w:tcPr>
            <w:tcW w:w="1779" w:type="pct"/>
            <w:vAlign w:val="center"/>
          </w:tcPr>
          <w:p w14:paraId="437BC03F">
            <w:pPr>
              <w:jc w:val="center"/>
              <w:rPr>
                <w:color w:val="auto"/>
                <w:sz w:val="24"/>
              </w:rPr>
            </w:pPr>
            <w:r>
              <w:rPr>
                <w:rFonts w:hint="eastAsia"/>
                <w:color w:val="auto"/>
                <w:sz w:val="24"/>
              </w:rPr>
              <w:t>淄经开经发项审[2025]8号</w:t>
            </w:r>
          </w:p>
        </w:tc>
      </w:tr>
      <w:tr w14:paraId="626343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57E58D3C">
            <w:pPr>
              <w:jc w:val="center"/>
              <w:rPr>
                <w:color w:val="auto"/>
                <w:sz w:val="24"/>
              </w:rPr>
            </w:pPr>
            <w:r>
              <w:rPr>
                <w:color w:val="auto"/>
                <w:sz w:val="24"/>
              </w:rPr>
              <w:t>总投资（万元）</w:t>
            </w:r>
          </w:p>
        </w:tc>
        <w:tc>
          <w:tcPr>
            <w:tcW w:w="1139" w:type="pct"/>
            <w:vAlign w:val="center"/>
          </w:tcPr>
          <w:p w14:paraId="1C6826F8">
            <w:pPr>
              <w:jc w:val="center"/>
              <w:rPr>
                <w:color w:val="auto"/>
                <w:sz w:val="24"/>
              </w:rPr>
            </w:pPr>
            <w:r>
              <w:rPr>
                <w:rFonts w:hint="eastAsia"/>
                <w:color w:val="auto"/>
                <w:sz w:val="24"/>
              </w:rPr>
              <w:t>46365.7</w:t>
            </w:r>
          </w:p>
        </w:tc>
        <w:tc>
          <w:tcPr>
            <w:tcW w:w="1038" w:type="pct"/>
            <w:tcMar>
              <w:top w:w="16" w:type="dxa"/>
              <w:left w:w="16" w:type="dxa"/>
              <w:right w:w="16" w:type="dxa"/>
            </w:tcMar>
            <w:vAlign w:val="center"/>
          </w:tcPr>
          <w:p w14:paraId="62ABA859">
            <w:pPr>
              <w:jc w:val="center"/>
              <w:rPr>
                <w:color w:val="auto"/>
                <w:sz w:val="24"/>
              </w:rPr>
            </w:pPr>
            <w:r>
              <w:rPr>
                <w:color w:val="auto"/>
                <w:sz w:val="24"/>
              </w:rPr>
              <w:t>环保投资（万元）</w:t>
            </w:r>
          </w:p>
        </w:tc>
        <w:tc>
          <w:tcPr>
            <w:tcW w:w="1779" w:type="pct"/>
            <w:vAlign w:val="center"/>
          </w:tcPr>
          <w:p w14:paraId="6E663745">
            <w:pPr>
              <w:jc w:val="center"/>
              <w:rPr>
                <w:color w:val="auto"/>
                <w:sz w:val="24"/>
              </w:rPr>
            </w:pPr>
            <w:r>
              <w:rPr>
                <w:color w:val="auto"/>
                <w:sz w:val="24"/>
              </w:rPr>
              <w:t>542.69</w:t>
            </w:r>
          </w:p>
        </w:tc>
      </w:tr>
      <w:tr w14:paraId="0896F1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43" w:type="pct"/>
            <w:tcMar>
              <w:top w:w="16" w:type="dxa"/>
              <w:left w:w="16" w:type="dxa"/>
              <w:right w:w="16" w:type="dxa"/>
            </w:tcMar>
            <w:vAlign w:val="center"/>
          </w:tcPr>
          <w:p w14:paraId="15162CE3">
            <w:pPr>
              <w:jc w:val="center"/>
              <w:rPr>
                <w:color w:val="auto"/>
                <w:sz w:val="24"/>
              </w:rPr>
            </w:pPr>
            <w:r>
              <w:rPr>
                <w:color w:val="auto"/>
                <w:sz w:val="24"/>
              </w:rPr>
              <w:t>环保投资占比（%）</w:t>
            </w:r>
          </w:p>
        </w:tc>
        <w:tc>
          <w:tcPr>
            <w:tcW w:w="1139" w:type="pct"/>
            <w:vAlign w:val="center"/>
          </w:tcPr>
          <w:p w14:paraId="0EC4B1C5">
            <w:pPr>
              <w:jc w:val="center"/>
              <w:rPr>
                <w:color w:val="auto"/>
                <w:sz w:val="24"/>
              </w:rPr>
            </w:pPr>
            <w:r>
              <w:rPr>
                <w:rFonts w:hint="eastAsia"/>
                <w:color w:val="auto"/>
                <w:sz w:val="24"/>
              </w:rPr>
              <w:t>1.28</w:t>
            </w:r>
          </w:p>
        </w:tc>
        <w:tc>
          <w:tcPr>
            <w:tcW w:w="1038" w:type="pct"/>
            <w:tcMar>
              <w:top w:w="16" w:type="dxa"/>
              <w:left w:w="16" w:type="dxa"/>
              <w:right w:w="16" w:type="dxa"/>
            </w:tcMar>
            <w:vAlign w:val="center"/>
          </w:tcPr>
          <w:p w14:paraId="2AE499FA">
            <w:pPr>
              <w:jc w:val="center"/>
              <w:rPr>
                <w:color w:val="auto"/>
                <w:sz w:val="24"/>
              </w:rPr>
            </w:pPr>
            <w:r>
              <w:rPr>
                <w:color w:val="auto"/>
                <w:sz w:val="24"/>
              </w:rPr>
              <w:t>施工工期</w:t>
            </w:r>
          </w:p>
        </w:tc>
        <w:tc>
          <w:tcPr>
            <w:tcW w:w="1779" w:type="pct"/>
            <w:vAlign w:val="center"/>
          </w:tcPr>
          <w:p w14:paraId="1EF3C345">
            <w:pPr>
              <w:jc w:val="center"/>
              <w:rPr>
                <w:color w:val="auto"/>
                <w:sz w:val="24"/>
              </w:rPr>
            </w:pPr>
            <w:r>
              <w:rPr>
                <w:rFonts w:hint="eastAsia"/>
                <w:color w:val="auto"/>
                <w:sz w:val="24"/>
                <w:lang w:val="en-US" w:eastAsia="zh-CN"/>
              </w:rPr>
              <w:t>21</w:t>
            </w:r>
            <w:r>
              <w:rPr>
                <w:color w:val="auto"/>
                <w:sz w:val="24"/>
              </w:rPr>
              <w:t>个月</w:t>
            </w:r>
          </w:p>
        </w:tc>
      </w:tr>
      <w:tr w14:paraId="5453B8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043" w:type="pct"/>
            <w:tcMar>
              <w:top w:w="16" w:type="dxa"/>
              <w:left w:w="16" w:type="dxa"/>
              <w:right w:w="16" w:type="dxa"/>
            </w:tcMar>
            <w:vAlign w:val="center"/>
          </w:tcPr>
          <w:p w14:paraId="21B8C7C1">
            <w:pPr>
              <w:jc w:val="center"/>
              <w:rPr>
                <w:color w:val="auto"/>
                <w:sz w:val="24"/>
              </w:rPr>
            </w:pPr>
            <w:r>
              <w:rPr>
                <w:color w:val="auto"/>
                <w:sz w:val="24"/>
              </w:rPr>
              <w:t>是否开工建设</w:t>
            </w:r>
          </w:p>
        </w:tc>
        <w:tc>
          <w:tcPr>
            <w:tcW w:w="3956" w:type="pct"/>
            <w:gridSpan w:val="3"/>
            <w:vAlign w:val="center"/>
          </w:tcPr>
          <w:p w14:paraId="48D3F2D5">
            <w:pPr>
              <w:jc w:val="left"/>
              <w:rPr>
                <w:color w:val="auto"/>
                <w:sz w:val="24"/>
              </w:rPr>
            </w:pPr>
            <w:r>
              <w:rPr>
                <w:color w:val="auto"/>
                <w:sz w:val="24"/>
              </w:rPr>
              <w:sym w:font="Wingdings 2" w:char="0052"/>
            </w:r>
            <w:r>
              <w:rPr>
                <w:color w:val="auto"/>
                <w:sz w:val="24"/>
              </w:rPr>
              <w:t>否</w:t>
            </w:r>
          </w:p>
          <w:p w14:paraId="0617A64E">
            <w:pPr>
              <w:jc w:val="left"/>
              <w:rPr>
                <w:color w:val="auto"/>
              </w:rPr>
            </w:pPr>
            <w:r>
              <w:rPr>
                <w:color w:val="auto"/>
                <w:sz w:val="24"/>
              </w:rPr>
              <w:sym w:font="Wingdings 2" w:char="00A3"/>
            </w:r>
            <w:r>
              <w:rPr>
                <w:color w:val="auto"/>
                <w:sz w:val="24"/>
              </w:rPr>
              <w:t>是：</w:t>
            </w:r>
          </w:p>
        </w:tc>
      </w:tr>
      <w:tr w14:paraId="6A9A64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9" w:hRule="atLeast"/>
          <w:jc w:val="center"/>
        </w:trPr>
        <w:tc>
          <w:tcPr>
            <w:tcW w:w="1043" w:type="pct"/>
            <w:tcMar>
              <w:top w:w="16" w:type="dxa"/>
              <w:left w:w="16" w:type="dxa"/>
              <w:right w:w="16" w:type="dxa"/>
            </w:tcMar>
            <w:vAlign w:val="center"/>
          </w:tcPr>
          <w:p w14:paraId="2AD63EDB">
            <w:pPr>
              <w:autoSpaceDE w:val="0"/>
              <w:autoSpaceDN w:val="0"/>
              <w:jc w:val="center"/>
              <w:rPr>
                <w:color w:val="auto"/>
                <w:kern w:val="0"/>
                <w:sz w:val="24"/>
              </w:rPr>
            </w:pPr>
            <w:r>
              <w:rPr>
                <w:color w:val="auto"/>
                <w:kern w:val="0"/>
                <w:sz w:val="24"/>
              </w:rPr>
              <w:t>专项评价设置</w:t>
            </w:r>
          </w:p>
          <w:p w14:paraId="78361F90">
            <w:pPr>
              <w:autoSpaceDE w:val="0"/>
              <w:autoSpaceDN w:val="0"/>
              <w:jc w:val="center"/>
              <w:rPr>
                <w:color w:val="auto"/>
                <w:kern w:val="0"/>
                <w:sz w:val="24"/>
                <w:highlight w:val="yellow"/>
              </w:rPr>
            </w:pPr>
            <w:r>
              <w:rPr>
                <w:color w:val="auto"/>
                <w:kern w:val="0"/>
                <w:sz w:val="24"/>
              </w:rPr>
              <w:t>情况</w:t>
            </w:r>
          </w:p>
        </w:tc>
        <w:tc>
          <w:tcPr>
            <w:tcW w:w="3956" w:type="pct"/>
            <w:gridSpan w:val="3"/>
            <w:tcMar>
              <w:top w:w="16" w:type="dxa"/>
              <w:left w:w="16" w:type="dxa"/>
              <w:right w:w="16" w:type="dxa"/>
            </w:tcMar>
            <w:vAlign w:val="center"/>
          </w:tcPr>
          <w:p w14:paraId="4F65C681">
            <w:pPr>
              <w:pStyle w:val="43"/>
              <w:jc w:val="center"/>
              <w:rPr>
                <w:rFonts w:hint="default" w:ascii="Times New Roman" w:hAnsi="Times New Roman"/>
                <w:color w:val="auto"/>
              </w:rPr>
            </w:pPr>
            <w:r>
              <w:rPr>
                <w:rFonts w:hint="default" w:ascii="Times New Roman" w:hAnsi="Times New Roman"/>
                <w:b/>
                <w:bCs/>
                <w:color w:val="auto"/>
                <w:sz w:val="21"/>
                <w:szCs w:val="21"/>
              </w:rPr>
              <w:t>表1-1  专项评价设置原则表</w:t>
            </w:r>
          </w:p>
          <w:tbl>
            <w:tblPr>
              <w:tblStyle w:val="20"/>
              <w:tblW w:w="48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3499"/>
              <w:gridCol w:w="1959"/>
            </w:tblGrid>
            <w:tr w14:paraId="1E1064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0E7D31FC">
                  <w:pPr>
                    <w:autoSpaceDE w:val="0"/>
                    <w:autoSpaceDN w:val="0"/>
                    <w:adjustRightInd w:val="0"/>
                    <w:snapToGrid w:val="0"/>
                    <w:jc w:val="center"/>
                    <w:rPr>
                      <w:color w:val="auto"/>
                      <w:kern w:val="0"/>
                      <w:szCs w:val="21"/>
                    </w:rPr>
                  </w:pPr>
                  <w:r>
                    <w:rPr>
                      <w:color w:val="auto"/>
                      <w:kern w:val="0"/>
                      <w:szCs w:val="21"/>
                    </w:rPr>
                    <w:t>专项评价类别</w:t>
                  </w:r>
                </w:p>
              </w:tc>
              <w:tc>
                <w:tcPr>
                  <w:tcW w:w="2489" w:type="pct"/>
                  <w:vAlign w:val="center"/>
                </w:tcPr>
                <w:p w14:paraId="73F35255">
                  <w:pPr>
                    <w:autoSpaceDE w:val="0"/>
                    <w:autoSpaceDN w:val="0"/>
                    <w:adjustRightInd w:val="0"/>
                    <w:snapToGrid w:val="0"/>
                    <w:jc w:val="center"/>
                    <w:rPr>
                      <w:color w:val="auto"/>
                      <w:kern w:val="0"/>
                      <w:szCs w:val="21"/>
                    </w:rPr>
                  </w:pPr>
                  <w:r>
                    <w:rPr>
                      <w:color w:val="auto"/>
                      <w:kern w:val="0"/>
                      <w:szCs w:val="21"/>
                    </w:rPr>
                    <w:t>设置原则</w:t>
                  </w:r>
                </w:p>
              </w:tc>
              <w:tc>
                <w:tcPr>
                  <w:tcW w:w="1393" w:type="pct"/>
                  <w:vAlign w:val="center"/>
                </w:tcPr>
                <w:p w14:paraId="58AA7326">
                  <w:pPr>
                    <w:autoSpaceDE w:val="0"/>
                    <w:autoSpaceDN w:val="0"/>
                    <w:adjustRightInd w:val="0"/>
                    <w:snapToGrid w:val="0"/>
                    <w:jc w:val="center"/>
                    <w:rPr>
                      <w:color w:val="auto"/>
                      <w:kern w:val="0"/>
                      <w:szCs w:val="21"/>
                    </w:rPr>
                  </w:pPr>
                  <w:r>
                    <w:rPr>
                      <w:color w:val="auto"/>
                      <w:kern w:val="0"/>
                      <w:szCs w:val="21"/>
                    </w:rPr>
                    <w:t>本项目情况</w:t>
                  </w:r>
                </w:p>
              </w:tc>
            </w:tr>
            <w:tr w14:paraId="33DBB2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75F6F650">
                  <w:pPr>
                    <w:autoSpaceDE w:val="0"/>
                    <w:autoSpaceDN w:val="0"/>
                    <w:adjustRightInd w:val="0"/>
                    <w:snapToGrid w:val="0"/>
                    <w:jc w:val="center"/>
                    <w:rPr>
                      <w:color w:val="auto"/>
                      <w:kern w:val="0"/>
                      <w:szCs w:val="21"/>
                    </w:rPr>
                  </w:pPr>
                  <w:r>
                    <w:rPr>
                      <w:color w:val="auto"/>
                      <w:kern w:val="0"/>
                      <w:szCs w:val="21"/>
                    </w:rPr>
                    <w:t>地表水</w:t>
                  </w:r>
                </w:p>
              </w:tc>
              <w:tc>
                <w:tcPr>
                  <w:tcW w:w="2489" w:type="pct"/>
                  <w:vAlign w:val="center"/>
                </w:tcPr>
                <w:p w14:paraId="1E545AF8">
                  <w:pPr>
                    <w:autoSpaceDE w:val="0"/>
                    <w:autoSpaceDN w:val="0"/>
                    <w:adjustRightInd w:val="0"/>
                    <w:snapToGrid w:val="0"/>
                    <w:jc w:val="left"/>
                    <w:rPr>
                      <w:color w:val="auto"/>
                      <w:kern w:val="0"/>
                      <w:szCs w:val="21"/>
                    </w:rPr>
                  </w:pPr>
                  <w:r>
                    <w:rPr>
                      <w:color w:val="auto"/>
                      <w:kern w:val="0"/>
                      <w:szCs w:val="21"/>
                    </w:rPr>
                    <w:t>水力发电：引水式发电、涉及调峰发电的项目；</w:t>
                  </w:r>
                </w:p>
                <w:p w14:paraId="253291F8">
                  <w:pPr>
                    <w:autoSpaceDE w:val="0"/>
                    <w:autoSpaceDN w:val="0"/>
                    <w:adjustRightInd w:val="0"/>
                    <w:snapToGrid w:val="0"/>
                    <w:jc w:val="left"/>
                    <w:rPr>
                      <w:color w:val="auto"/>
                      <w:kern w:val="0"/>
                      <w:szCs w:val="21"/>
                    </w:rPr>
                  </w:pPr>
                  <w:r>
                    <w:rPr>
                      <w:color w:val="auto"/>
                      <w:kern w:val="0"/>
                      <w:szCs w:val="21"/>
                    </w:rPr>
                    <w:t>人工湖、人工湿地：全部；</w:t>
                  </w:r>
                </w:p>
                <w:p w14:paraId="2016A193">
                  <w:pPr>
                    <w:autoSpaceDE w:val="0"/>
                    <w:autoSpaceDN w:val="0"/>
                    <w:adjustRightInd w:val="0"/>
                    <w:snapToGrid w:val="0"/>
                    <w:jc w:val="left"/>
                    <w:rPr>
                      <w:color w:val="auto"/>
                      <w:kern w:val="0"/>
                      <w:szCs w:val="21"/>
                    </w:rPr>
                  </w:pPr>
                  <w:r>
                    <w:rPr>
                      <w:color w:val="auto"/>
                      <w:kern w:val="0"/>
                      <w:szCs w:val="21"/>
                    </w:rPr>
                    <w:t>水库：全部；</w:t>
                  </w:r>
                </w:p>
                <w:p w14:paraId="1F414D03">
                  <w:pPr>
                    <w:autoSpaceDE w:val="0"/>
                    <w:autoSpaceDN w:val="0"/>
                    <w:adjustRightInd w:val="0"/>
                    <w:snapToGrid w:val="0"/>
                    <w:jc w:val="left"/>
                    <w:rPr>
                      <w:color w:val="auto"/>
                      <w:kern w:val="0"/>
                      <w:szCs w:val="21"/>
                    </w:rPr>
                  </w:pPr>
                  <w:r>
                    <w:rPr>
                      <w:color w:val="auto"/>
                      <w:kern w:val="0"/>
                      <w:szCs w:val="21"/>
                    </w:rPr>
                    <w:t>引水工程：全部（配套的管线工程除外）；</w:t>
                  </w:r>
                </w:p>
                <w:p w14:paraId="27341FF1">
                  <w:pPr>
                    <w:autoSpaceDE w:val="0"/>
                    <w:autoSpaceDN w:val="0"/>
                    <w:adjustRightInd w:val="0"/>
                    <w:snapToGrid w:val="0"/>
                    <w:jc w:val="left"/>
                    <w:rPr>
                      <w:color w:val="auto"/>
                      <w:kern w:val="0"/>
                      <w:szCs w:val="21"/>
                    </w:rPr>
                  </w:pPr>
                  <w:r>
                    <w:rPr>
                      <w:color w:val="auto"/>
                      <w:kern w:val="0"/>
                      <w:szCs w:val="21"/>
                    </w:rPr>
                    <w:t>防洪除涝工程：包含水库的项目；</w:t>
                  </w:r>
                </w:p>
                <w:p w14:paraId="15BA2EB4">
                  <w:pPr>
                    <w:autoSpaceDE w:val="0"/>
                    <w:autoSpaceDN w:val="0"/>
                    <w:adjustRightInd w:val="0"/>
                    <w:snapToGrid w:val="0"/>
                    <w:jc w:val="left"/>
                    <w:rPr>
                      <w:color w:val="auto"/>
                      <w:kern w:val="0"/>
                      <w:szCs w:val="21"/>
                    </w:rPr>
                  </w:pPr>
                  <w:r>
                    <w:rPr>
                      <w:color w:val="auto"/>
                      <w:kern w:val="0"/>
                      <w:szCs w:val="21"/>
                    </w:rPr>
                    <w:t>河湖整治：涉及清淤且底泥存在重金属污染的项目</w:t>
                  </w:r>
                </w:p>
              </w:tc>
              <w:tc>
                <w:tcPr>
                  <w:tcW w:w="1393" w:type="pct"/>
                  <w:vAlign w:val="center"/>
                </w:tcPr>
                <w:p w14:paraId="229E742D">
                  <w:pPr>
                    <w:autoSpaceDE w:val="0"/>
                    <w:autoSpaceDN w:val="0"/>
                    <w:adjustRightInd w:val="0"/>
                    <w:snapToGrid w:val="0"/>
                    <w:jc w:val="center"/>
                    <w:rPr>
                      <w:color w:val="auto"/>
                      <w:kern w:val="0"/>
                      <w:szCs w:val="21"/>
                    </w:rPr>
                  </w:pPr>
                  <w:r>
                    <w:rPr>
                      <w:color w:val="auto"/>
                      <w:kern w:val="0"/>
                      <w:szCs w:val="21"/>
                    </w:rPr>
                    <w:t>本项目为</w:t>
                  </w:r>
                  <w:r>
                    <w:rPr>
                      <w:rFonts w:hint="eastAsia"/>
                      <w:color w:val="auto"/>
                      <w:kern w:val="0"/>
                      <w:szCs w:val="21"/>
                    </w:rPr>
                    <w:t>防洪除涝工程</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kern w:val="0"/>
                      <w:szCs w:val="21"/>
                    </w:rPr>
                    <w:t>，</w:t>
                  </w:r>
                  <w:r>
                    <w:rPr>
                      <w:rFonts w:hint="eastAsia"/>
                      <w:color w:val="auto"/>
                      <w:lang w:val="en-US" w:eastAsia="zh-CN"/>
                    </w:rPr>
                    <w:t>涉及清淤的河道根据底泥检测报告不存在重金属污染</w:t>
                  </w:r>
                  <w:r>
                    <w:rPr>
                      <w:color w:val="auto"/>
                      <w:kern w:val="0"/>
                      <w:szCs w:val="21"/>
                    </w:rPr>
                    <w:t>，淤泥检测报告详见附件</w:t>
                  </w:r>
                  <w:r>
                    <w:rPr>
                      <w:rFonts w:hint="eastAsia"/>
                      <w:color w:val="auto"/>
                      <w:kern w:val="0"/>
                      <w:szCs w:val="21"/>
                    </w:rPr>
                    <w:t>6</w:t>
                  </w:r>
                  <w:r>
                    <w:rPr>
                      <w:color w:val="auto"/>
                      <w:kern w:val="0"/>
                      <w:szCs w:val="21"/>
                    </w:rPr>
                    <w:t>。</w:t>
                  </w:r>
                </w:p>
              </w:tc>
            </w:tr>
            <w:tr w14:paraId="4995D4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0E599FED">
                  <w:pPr>
                    <w:autoSpaceDE w:val="0"/>
                    <w:autoSpaceDN w:val="0"/>
                    <w:adjustRightInd w:val="0"/>
                    <w:snapToGrid w:val="0"/>
                    <w:jc w:val="center"/>
                    <w:rPr>
                      <w:color w:val="auto"/>
                      <w:kern w:val="0"/>
                      <w:szCs w:val="21"/>
                    </w:rPr>
                  </w:pPr>
                  <w:r>
                    <w:rPr>
                      <w:color w:val="auto"/>
                      <w:kern w:val="0"/>
                      <w:szCs w:val="21"/>
                    </w:rPr>
                    <w:t>地下水</w:t>
                  </w:r>
                </w:p>
              </w:tc>
              <w:tc>
                <w:tcPr>
                  <w:tcW w:w="2489" w:type="pct"/>
                  <w:vAlign w:val="center"/>
                </w:tcPr>
                <w:p w14:paraId="1F58F8C7">
                  <w:pPr>
                    <w:autoSpaceDE w:val="0"/>
                    <w:autoSpaceDN w:val="0"/>
                    <w:adjustRightInd w:val="0"/>
                    <w:snapToGrid w:val="0"/>
                    <w:jc w:val="left"/>
                    <w:rPr>
                      <w:color w:val="auto"/>
                      <w:kern w:val="0"/>
                      <w:szCs w:val="21"/>
                    </w:rPr>
                  </w:pPr>
                  <w:r>
                    <w:rPr>
                      <w:color w:val="auto"/>
                      <w:kern w:val="0"/>
                      <w:szCs w:val="21"/>
                    </w:rPr>
                    <w:t>陆地石油和天然气开采：全部；</w:t>
                  </w:r>
                </w:p>
                <w:p w14:paraId="334CAE2E">
                  <w:pPr>
                    <w:autoSpaceDE w:val="0"/>
                    <w:autoSpaceDN w:val="0"/>
                    <w:adjustRightInd w:val="0"/>
                    <w:snapToGrid w:val="0"/>
                    <w:jc w:val="left"/>
                    <w:rPr>
                      <w:color w:val="auto"/>
                      <w:kern w:val="0"/>
                      <w:szCs w:val="21"/>
                    </w:rPr>
                  </w:pPr>
                  <w:r>
                    <w:rPr>
                      <w:color w:val="auto"/>
                      <w:kern w:val="0"/>
                      <w:szCs w:val="21"/>
                    </w:rPr>
                    <w:t>地下水（含矿泉水）开采：全部；</w:t>
                  </w:r>
                </w:p>
                <w:p w14:paraId="1FC2E3EB">
                  <w:pPr>
                    <w:autoSpaceDE w:val="0"/>
                    <w:autoSpaceDN w:val="0"/>
                    <w:adjustRightInd w:val="0"/>
                    <w:snapToGrid w:val="0"/>
                    <w:jc w:val="left"/>
                    <w:rPr>
                      <w:color w:val="auto"/>
                      <w:kern w:val="0"/>
                      <w:szCs w:val="21"/>
                    </w:rPr>
                  </w:pPr>
                  <w:r>
                    <w:rPr>
                      <w:color w:val="auto"/>
                      <w:kern w:val="0"/>
                      <w:szCs w:val="21"/>
                    </w:rPr>
                    <w:t>水利、水利、交通等：含穿越可溶岩地层隧道的项目</w:t>
                  </w:r>
                </w:p>
              </w:tc>
              <w:tc>
                <w:tcPr>
                  <w:tcW w:w="1393" w:type="pct"/>
                  <w:vAlign w:val="center"/>
                </w:tcPr>
                <w:p w14:paraId="12AE739C">
                  <w:pPr>
                    <w:autoSpaceDE w:val="0"/>
                    <w:autoSpaceDN w:val="0"/>
                    <w:adjustRightInd w:val="0"/>
                    <w:snapToGrid w:val="0"/>
                    <w:jc w:val="center"/>
                    <w:rPr>
                      <w:color w:val="auto"/>
                      <w:kern w:val="0"/>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kern w:val="0"/>
                      <w:szCs w:val="21"/>
                    </w:rPr>
                    <w:t>，不涉及。</w:t>
                  </w:r>
                </w:p>
              </w:tc>
            </w:tr>
            <w:tr w14:paraId="59D1D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14139D58">
                  <w:pPr>
                    <w:autoSpaceDE w:val="0"/>
                    <w:autoSpaceDN w:val="0"/>
                    <w:adjustRightInd w:val="0"/>
                    <w:snapToGrid w:val="0"/>
                    <w:jc w:val="center"/>
                    <w:rPr>
                      <w:color w:val="auto"/>
                      <w:kern w:val="0"/>
                      <w:szCs w:val="21"/>
                    </w:rPr>
                  </w:pPr>
                  <w:r>
                    <w:rPr>
                      <w:color w:val="auto"/>
                      <w:kern w:val="0"/>
                      <w:szCs w:val="21"/>
                    </w:rPr>
                    <w:t>生态</w:t>
                  </w:r>
                </w:p>
              </w:tc>
              <w:tc>
                <w:tcPr>
                  <w:tcW w:w="2489" w:type="pct"/>
                  <w:vAlign w:val="center"/>
                </w:tcPr>
                <w:p w14:paraId="4F87ECE5">
                  <w:pPr>
                    <w:autoSpaceDE w:val="0"/>
                    <w:autoSpaceDN w:val="0"/>
                    <w:adjustRightInd w:val="0"/>
                    <w:snapToGrid w:val="0"/>
                    <w:jc w:val="left"/>
                    <w:rPr>
                      <w:color w:val="auto"/>
                      <w:kern w:val="0"/>
                      <w:szCs w:val="21"/>
                    </w:rPr>
                  </w:pPr>
                  <w:r>
                    <w:rPr>
                      <w:color w:val="auto"/>
                      <w:kern w:val="0"/>
                      <w:szCs w:val="21"/>
                    </w:rPr>
                    <w:t>涉及环境敏感区（不包括饮用水水源保护区，以居住、医疗卫生、文化教育、科研、行政办公为主要功能的区域，以及文物保护单位）的项目</w:t>
                  </w:r>
                </w:p>
              </w:tc>
              <w:tc>
                <w:tcPr>
                  <w:tcW w:w="1393" w:type="pct"/>
                  <w:vAlign w:val="center"/>
                </w:tcPr>
                <w:p w14:paraId="2C97E250">
                  <w:pPr>
                    <w:autoSpaceDE w:val="0"/>
                    <w:autoSpaceDN w:val="0"/>
                    <w:adjustRightInd w:val="0"/>
                    <w:snapToGrid w:val="0"/>
                    <w:rPr>
                      <w:color w:val="auto"/>
                      <w:kern w:val="0"/>
                      <w:szCs w:val="21"/>
                      <w:highlight w:val="yellow"/>
                    </w:rPr>
                  </w:pPr>
                  <w:r>
                    <w:rPr>
                      <w:color w:val="auto"/>
                      <w:kern w:val="0"/>
                      <w:szCs w:val="21"/>
                    </w:rPr>
                    <w:t>本项目建设位置不涉及饮用水水源保护区，以居住、医疗卫生、文化教育、科研、行政办公为主要功能的区域，以及文物保护单位以外的法定生态保护区域、重要生境以及其他具有重要生态功能、对保护生物多样性具有重要意义的区域，不需要做专项。</w:t>
                  </w:r>
                </w:p>
              </w:tc>
            </w:tr>
            <w:tr w14:paraId="0F6BCE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624DCB0B">
                  <w:pPr>
                    <w:autoSpaceDE w:val="0"/>
                    <w:autoSpaceDN w:val="0"/>
                    <w:adjustRightInd w:val="0"/>
                    <w:snapToGrid w:val="0"/>
                    <w:jc w:val="center"/>
                    <w:rPr>
                      <w:color w:val="auto"/>
                      <w:kern w:val="0"/>
                      <w:szCs w:val="21"/>
                    </w:rPr>
                  </w:pPr>
                  <w:r>
                    <w:rPr>
                      <w:color w:val="auto"/>
                      <w:kern w:val="0"/>
                      <w:szCs w:val="21"/>
                    </w:rPr>
                    <w:t>大气</w:t>
                  </w:r>
                </w:p>
              </w:tc>
              <w:tc>
                <w:tcPr>
                  <w:tcW w:w="2489" w:type="pct"/>
                  <w:vAlign w:val="center"/>
                </w:tcPr>
                <w:p w14:paraId="5D7341FB">
                  <w:pPr>
                    <w:autoSpaceDE w:val="0"/>
                    <w:autoSpaceDN w:val="0"/>
                    <w:adjustRightInd w:val="0"/>
                    <w:snapToGrid w:val="0"/>
                    <w:jc w:val="left"/>
                    <w:rPr>
                      <w:color w:val="auto"/>
                      <w:kern w:val="0"/>
                      <w:szCs w:val="21"/>
                    </w:rPr>
                  </w:pPr>
                  <w:r>
                    <w:rPr>
                      <w:color w:val="auto"/>
                      <w:kern w:val="0"/>
                      <w:szCs w:val="21"/>
                    </w:rPr>
                    <w:t>油气、液体化工码头：全部；</w:t>
                  </w:r>
                </w:p>
                <w:p w14:paraId="29B723FC">
                  <w:pPr>
                    <w:autoSpaceDE w:val="0"/>
                    <w:autoSpaceDN w:val="0"/>
                    <w:adjustRightInd w:val="0"/>
                    <w:snapToGrid w:val="0"/>
                    <w:jc w:val="left"/>
                    <w:rPr>
                      <w:color w:val="auto"/>
                      <w:kern w:val="0"/>
                      <w:szCs w:val="21"/>
                    </w:rPr>
                  </w:pPr>
                  <w:r>
                    <w:rPr>
                      <w:color w:val="auto"/>
                      <w:kern w:val="0"/>
                      <w:szCs w:val="21"/>
                    </w:rPr>
                    <w:t>干散货（含煤炭、矿石）、件杂、多用途、通用码头：涉及粉尘、挥发性有机物排放的项目</w:t>
                  </w:r>
                </w:p>
              </w:tc>
              <w:tc>
                <w:tcPr>
                  <w:tcW w:w="1393" w:type="pct"/>
                  <w:vAlign w:val="center"/>
                </w:tcPr>
                <w:p w14:paraId="71EC404D">
                  <w:pPr>
                    <w:autoSpaceDE w:val="0"/>
                    <w:autoSpaceDN w:val="0"/>
                    <w:adjustRightInd w:val="0"/>
                    <w:snapToGrid w:val="0"/>
                    <w:jc w:val="center"/>
                    <w:rPr>
                      <w:color w:val="auto"/>
                      <w:kern w:val="0"/>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kern w:val="0"/>
                      <w:szCs w:val="21"/>
                    </w:rPr>
                    <w:t>，不涉及。</w:t>
                  </w:r>
                </w:p>
              </w:tc>
            </w:tr>
            <w:tr w14:paraId="3F721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35D60B0F">
                  <w:pPr>
                    <w:autoSpaceDE w:val="0"/>
                    <w:autoSpaceDN w:val="0"/>
                    <w:adjustRightInd w:val="0"/>
                    <w:snapToGrid w:val="0"/>
                    <w:jc w:val="center"/>
                    <w:rPr>
                      <w:color w:val="auto"/>
                      <w:kern w:val="0"/>
                      <w:szCs w:val="21"/>
                    </w:rPr>
                  </w:pPr>
                  <w:r>
                    <w:rPr>
                      <w:color w:val="auto"/>
                      <w:kern w:val="0"/>
                      <w:szCs w:val="21"/>
                    </w:rPr>
                    <w:t>噪声</w:t>
                  </w:r>
                </w:p>
              </w:tc>
              <w:tc>
                <w:tcPr>
                  <w:tcW w:w="2489" w:type="pct"/>
                  <w:vAlign w:val="center"/>
                </w:tcPr>
                <w:p w14:paraId="6F7302EE">
                  <w:pPr>
                    <w:autoSpaceDE w:val="0"/>
                    <w:autoSpaceDN w:val="0"/>
                    <w:adjustRightInd w:val="0"/>
                    <w:snapToGrid w:val="0"/>
                    <w:jc w:val="left"/>
                    <w:rPr>
                      <w:color w:val="auto"/>
                      <w:kern w:val="0"/>
                      <w:szCs w:val="21"/>
                    </w:rPr>
                  </w:pPr>
                  <w:r>
                    <w:rPr>
                      <w:color w:val="auto"/>
                      <w:kern w:val="0"/>
                      <w:szCs w:val="21"/>
                    </w:rPr>
                    <w:t>公路、铁路、机场等交通运输业涉及环境敏感区（以居住、医疗卫生、文化教育、科研、行政办公为主要功能的区域）的项目；</w:t>
                  </w:r>
                </w:p>
                <w:p w14:paraId="2A44656A">
                  <w:pPr>
                    <w:autoSpaceDE w:val="0"/>
                    <w:autoSpaceDN w:val="0"/>
                    <w:adjustRightInd w:val="0"/>
                    <w:snapToGrid w:val="0"/>
                    <w:jc w:val="left"/>
                    <w:rPr>
                      <w:color w:val="auto"/>
                      <w:kern w:val="0"/>
                      <w:szCs w:val="21"/>
                    </w:rPr>
                  </w:pPr>
                  <w:r>
                    <w:rPr>
                      <w:color w:val="auto"/>
                      <w:kern w:val="0"/>
                      <w:szCs w:val="21"/>
                    </w:rPr>
                    <w:t>城市道路（不含维护，不含支路、人行天桥、人行地道）：全部</w:t>
                  </w:r>
                </w:p>
              </w:tc>
              <w:tc>
                <w:tcPr>
                  <w:tcW w:w="1393" w:type="pct"/>
                  <w:vAlign w:val="center"/>
                </w:tcPr>
                <w:p w14:paraId="1CF35E37">
                  <w:pPr>
                    <w:autoSpaceDE w:val="0"/>
                    <w:autoSpaceDN w:val="0"/>
                    <w:adjustRightInd w:val="0"/>
                    <w:snapToGrid w:val="0"/>
                    <w:jc w:val="center"/>
                    <w:rPr>
                      <w:color w:val="auto"/>
                      <w:kern w:val="0"/>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kern w:val="0"/>
                      <w:szCs w:val="21"/>
                    </w:rPr>
                    <w:t>，不涉及。</w:t>
                  </w:r>
                </w:p>
              </w:tc>
            </w:tr>
            <w:tr w14:paraId="0BC82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7" w:type="pct"/>
                  <w:vAlign w:val="center"/>
                </w:tcPr>
                <w:p w14:paraId="17878ED7">
                  <w:pPr>
                    <w:autoSpaceDE w:val="0"/>
                    <w:autoSpaceDN w:val="0"/>
                    <w:adjustRightInd w:val="0"/>
                    <w:snapToGrid w:val="0"/>
                    <w:jc w:val="center"/>
                    <w:rPr>
                      <w:color w:val="auto"/>
                      <w:kern w:val="0"/>
                      <w:szCs w:val="21"/>
                    </w:rPr>
                  </w:pPr>
                  <w:r>
                    <w:rPr>
                      <w:color w:val="auto"/>
                      <w:kern w:val="0"/>
                      <w:szCs w:val="21"/>
                    </w:rPr>
                    <w:t>环境风险</w:t>
                  </w:r>
                </w:p>
              </w:tc>
              <w:tc>
                <w:tcPr>
                  <w:tcW w:w="2489" w:type="pct"/>
                  <w:vAlign w:val="center"/>
                </w:tcPr>
                <w:p w14:paraId="467F9D61">
                  <w:pPr>
                    <w:autoSpaceDE w:val="0"/>
                    <w:autoSpaceDN w:val="0"/>
                    <w:adjustRightInd w:val="0"/>
                    <w:snapToGrid w:val="0"/>
                    <w:jc w:val="left"/>
                    <w:rPr>
                      <w:color w:val="auto"/>
                      <w:kern w:val="0"/>
                      <w:szCs w:val="21"/>
                    </w:rPr>
                  </w:pPr>
                  <w:r>
                    <w:rPr>
                      <w:color w:val="auto"/>
                      <w:kern w:val="0"/>
                      <w:szCs w:val="21"/>
                    </w:rPr>
                    <w:t>石油和天然气开采：全部；</w:t>
                  </w:r>
                </w:p>
                <w:p w14:paraId="28C572D3">
                  <w:pPr>
                    <w:autoSpaceDE w:val="0"/>
                    <w:autoSpaceDN w:val="0"/>
                    <w:adjustRightInd w:val="0"/>
                    <w:snapToGrid w:val="0"/>
                    <w:jc w:val="left"/>
                    <w:rPr>
                      <w:color w:val="auto"/>
                      <w:kern w:val="0"/>
                      <w:szCs w:val="21"/>
                    </w:rPr>
                  </w:pPr>
                  <w:r>
                    <w:rPr>
                      <w:color w:val="auto"/>
                      <w:kern w:val="0"/>
                      <w:szCs w:val="21"/>
                    </w:rPr>
                    <w:t>油气、液体化工码头：全部；</w:t>
                  </w:r>
                </w:p>
                <w:p w14:paraId="39D2C14D">
                  <w:pPr>
                    <w:autoSpaceDE w:val="0"/>
                    <w:autoSpaceDN w:val="0"/>
                    <w:adjustRightInd w:val="0"/>
                    <w:snapToGrid w:val="0"/>
                    <w:jc w:val="left"/>
                    <w:rPr>
                      <w:color w:val="auto"/>
                      <w:kern w:val="0"/>
                      <w:szCs w:val="21"/>
                    </w:rPr>
                  </w:pPr>
                  <w:r>
                    <w:rPr>
                      <w:color w:val="auto"/>
                      <w:kern w:val="0"/>
                      <w:szCs w:val="21"/>
                    </w:rPr>
                    <w:t>原油、成品油、天然气管线（不含城镇天然气管线、企业厂区内管线），危险化学品输送管线（不含企业厂区内管线）：全部</w:t>
                  </w:r>
                </w:p>
              </w:tc>
              <w:tc>
                <w:tcPr>
                  <w:tcW w:w="1393" w:type="pct"/>
                  <w:vAlign w:val="center"/>
                </w:tcPr>
                <w:p w14:paraId="654E66BC">
                  <w:pPr>
                    <w:autoSpaceDE w:val="0"/>
                    <w:autoSpaceDN w:val="0"/>
                    <w:adjustRightInd w:val="0"/>
                    <w:snapToGrid w:val="0"/>
                    <w:jc w:val="center"/>
                    <w:rPr>
                      <w:color w:val="auto"/>
                      <w:kern w:val="0"/>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kern w:val="0"/>
                      <w:szCs w:val="21"/>
                    </w:rPr>
                    <w:t>，不涉及。</w:t>
                  </w:r>
                </w:p>
              </w:tc>
            </w:tr>
          </w:tbl>
          <w:p w14:paraId="19094E3D">
            <w:pPr>
              <w:autoSpaceDE w:val="0"/>
              <w:autoSpaceDN w:val="0"/>
              <w:spacing w:line="360" w:lineRule="auto"/>
              <w:ind w:firstLine="480" w:firstLineChars="200"/>
              <w:rPr>
                <w:color w:val="auto"/>
                <w:kern w:val="0"/>
                <w:sz w:val="24"/>
              </w:rPr>
            </w:pPr>
            <w:r>
              <w:rPr>
                <w:color w:val="auto"/>
                <w:kern w:val="0"/>
                <w:sz w:val="24"/>
              </w:rPr>
              <w:t>山东天智环境监测有限公司于2024年7月23日</w:t>
            </w:r>
            <w:r>
              <w:rPr>
                <w:rFonts w:hint="eastAsia"/>
                <w:color w:val="auto"/>
                <w:kern w:val="0"/>
                <w:sz w:val="24"/>
              </w:rPr>
              <w:t>、2025年12月26日</w:t>
            </w:r>
            <w:r>
              <w:rPr>
                <w:color w:val="auto"/>
                <w:kern w:val="0"/>
                <w:sz w:val="24"/>
              </w:rPr>
              <w:t>对项目各河道底泥中重金属进行了检测。检测结果表明项目区各河道底泥中重金属指标均满足山东省《底泥重金属污染状况评价技术指南》（DB37/T4471-2021）附录A中筛选值标准。河道疏浚淤泥不存在重金属污染，</w:t>
            </w:r>
          </w:p>
          <w:p w14:paraId="150B391A">
            <w:pPr>
              <w:autoSpaceDE w:val="0"/>
              <w:autoSpaceDN w:val="0"/>
              <w:spacing w:line="360" w:lineRule="auto"/>
              <w:ind w:firstLine="480" w:firstLineChars="200"/>
              <w:rPr>
                <w:color w:val="auto"/>
                <w:highlight w:val="yellow"/>
              </w:rPr>
            </w:pPr>
            <w:r>
              <w:rPr>
                <w:color w:val="auto"/>
                <w:kern w:val="0"/>
                <w:sz w:val="24"/>
              </w:rPr>
              <w:t>淤泥检测报告详见附件</w:t>
            </w:r>
            <w:r>
              <w:rPr>
                <w:rFonts w:hint="eastAsia"/>
                <w:color w:val="auto"/>
                <w:kern w:val="0"/>
                <w:sz w:val="24"/>
              </w:rPr>
              <w:t>6</w:t>
            </w:r>
            <w:r>
              <w:rPr>
                <w:color w:val="auto"/>
                <w:kern w:val="0"/>
                <w:sz w:val="24"/>
              </w:rPr>
              <w:t>。</w:t>
            </w:r>
          </w:p>
        </w:tc>
      </w:tr>
      <w:tr w14:paraId="11D1DD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9" w:hRule="atLeast"/>
          <w:jc w:val="center"/>
        </w:trPr>
        <w:tc>
          <w:tcPr>
            <w:tcW w:w="1043" w:type="pct"/>
            <w:tcMar>
              <w:top w:w="16" w:type="dxa"/>
              <w:left w:w="16" w:type="dxa"/>
              <w:right w:w="16" w:type="dxa"/>
            </w:tcMar>
            <w:vAlign w:val="center"/>
          </w:tcPr>
          <w:p w14:paraId="3FFF0220">
            <w:pPr>
              <w:autoSpaceDE w:val="0"/>
              <w:autoSpaceDN w:val="0"/>
              <w:jc w:val="center"/>
              <w:rPr>
                <w:color w:val="auto"/>
                <w:kern w:val="0"/>
                <w:sz w:val="24"/>
              </w:rPr>
            </w:pPr>
            <w:r>
              <w:rPr>
                <w:color w:val="auto"/>
                <w:sz w:val="24"/>
              </w:rPr>
              <w:t>规划情况</w:t>
            </w:r>
          </w:p>
        </w:tc>
        <w:tc>
          <w:tcPr>
            <w:tcW w:w="3956" w:type="pct"/>
            <w:gridSpan w:val="3"/>
            <w:tcMar>
              <w:top w:w="16" w:type="dxa"/>
              <w:left w:w="16" w:type="dxa"/>
              <w:right w:w="16" w:type="dxa"/>
            </w:tcMar>
            <w:vAlign w:val="center"/>
          </w:tcPr>
          <w:p w14:paraId="350166CF">
            <w:pPr>
              <w:autoSpaceDE w:val="0"/>
              <w:autoSpaceDN w:val="0"/>
              <w:jc w:val="center"/>
              <w:rPr>
                <w:color w:val="auto"/>
                <w:kern w:val="0"/>
                <w:sz w:val="24"/>
              </w:rPr>
            </w:pPr>
            <w:r>
              <w:rPr>
                <w:color w:val="auto"/>
                <w:kern w:val="0"/>
                <w:sz w:val="24"/>
              </w:rPr>
              <w:t>无</w:t>
            </w:r>
          </w:p>
        </w:tc>
      </w:tr>
      <w:tr w14:paraId="42C457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1043" w:type="pct"/>
            <w:tcMar>
              <w:top w:w="16" w:type="dxa"/>
              <w:left w:w="16" w:type="dxa"/>
              <w:right w:w="16" w:type="dxa"/>
            </w:tcMar>
            <w:vAlign w:val="center"/>
          </w:tcPr>
          <w:p w14:paraId="3B20E598">
            <w:pPr>
              <w:autoSpaceDE w:val="0"/>
              <w:autoSpaceDN w:val="0"/>
              <w:jc w:val="center"/>
              <w:rPr>
                <w:color w:val="auto"/>
                <w:sz w:val="24"/>
              </w:rPr>
            </w:pPr>
            <w:r>
              <w:rPr>
                <w:color w:val="auto"/>
                <w:sz w:val="24"/>
              </w:rPr>
              <w:t>规划环境影响</w:t>
            </w:r>
          </w:p>
          <w:p w14:paraId="7814C4CB">
            <w:pPr>
              <w:autoSpaceDE w:val="0"/>
              <w:autoSpaceDN w:val="0"/>
              <w:jc w:val="center"/>
              <w:rPr>
                <w:color w:val="auto"/>
                <w:kern w:val="0"/>
                <w:sz w:val="24"/>
              </w:rPr>
            </w:pPr>
            <w:r>
              <w:rPr>
                <w:color w:val="auto"/>
                <w:sz w:val="24"/>
              </w:rPr>
              <w:t>评价情况</w:t>
            </w:r>
          </w:p>
        </w:tc>
        <w:tc>
          <w:tcPr>
            <w:tcW w:w="3956" w:type="pct"/>
            <w:gridSpan w:val="3"/>
            <w:tcMar>
              <w:top w:w="16" w:type="dxa"/>
              <w:left w:w="16" w:type="dxa"/>
              <w:right w:w="16" w:type="dxa"/>
            </w:tcMar>
            <w:vAlign w:val="center"/>
          </w:tcPr>
          <w:p w14:paraId="4FCE9203">
            <w:pPr>
              <w:jc w:val="center"/>
              <w:rPr>
                <w:color w:val="auto"/>
                <w:kern w:val="0"/>
                <w:sz w:val="24"/>
              </w:rPr>
            </w:pPr>
            <w:r>
              <w:rPr>
                <w:bCs/>
                <w:color w:val="auto"/>
                <w:sz w:val="24"/>
              </w:rPr>
              <w:t>无</w:t>
            </w:r>
          </w:p>
        </w:tc>
      </w:tr>
      <w:tr w14:paraId="5CAF7E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77" w:hRule="atLeast"/>
          <w:jc w:val="center"/>
        </w:trPr>
        <w:tc>
          <w:tcPr>
            <w:tcW w:w="1043" w:type="pct"/>
            <w:tcMar>
              <w:top w:w="16" w:type="dxa"/>
              <w:left w:w="16" w:type="dxa"/>
              <w:right w:w="16" w:type="dxa"/>
            </w:tcMar>
            <w:vAlign w:val="center"/>
          </w:tcPr>
          <w:p w14:paraId="014D79E1">
            <w:pPr>
              <w:autoSpaceDE w:val="0"/>
              <w:autoSpaceDN w:val="0"/>
              <w:jc w:val="center"/>
              <w:rPr>
                <w:color w:val="auto"/>
                <w:kern w:val="0"/>
                <w:sz w:val="24"/>
              </w:rPr>
            </w:pPr>
            <w:r>
              <w:rPr>
                <w:color w:val="auto"/>
                <w:kern w:val="0"/>
                <w:sz w:val="24"/>
              </w:rPr>
              <w:t>规划及</w:t>
            </w:r>
            <w:r>
              <w:rPr>
                <w:color w:val="auto"/>
                <w:sz w:val="24"/>
              </w:rPr>
              <w:t>规划环境影响评价</w:t>
            </w:r>
            <w:r>
              <w:rPr>
                <w:color w:val="auto"/>
                <w:kern w:val="0"/>
                <w:sz w:val="24"/>
              </w:rPr>
              <w:t>符合性分析</w:t>
            </w:r>
          </w:p>
        </w:tc>
        <w:tc>
          <w:tcPr>
            <w:tcW w:w="3956" w:type="pct"/>
            <w:gridSpan w:val="3"/>
            <w:tcMar>
              <w:top w:w="16" w:type="dxa"/>
              <w:left w:w="16" w:type="dxa"/>
              <w:right w:w="16" w:type="dxa"/>
            </w:tcMar>
            <w:vAlign w:val="center"/>
          </w:tcPr>
          <w:p w14:paraId="14495786">
            <w:pPr>
              <w:autoSpaceDE w:val="0"/>
              <w:autoSpaceDN w:val="0"/>
              <w:jc w:val="center"/>
              <w:rPr>
                <w:color w:val="auto"/>
                <w:kern w:val="0"/>
                <w:sz w:val="24"/>
              </w:rPr>
            </w:pPr>
            <w:r>
              <w:rPr>
                <w:color w:val="auto"/>
                <w:kern w:val="0"/>
                <w:sz w:val="24"/>
              </w:rPr>
              <w:t>无</w:t>
            </w:r>
          </w:p>
        </w:tc>
      </w:tr>
      <w:tr w14:paraId="68A274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043" w:type="pct"/>
            <w:tcMar>
              <w:top w:w="16" w:type="dxa"/>
              <w:left w:w="16" w:type="dxa"/>
              <w:right w:w="16" w:type="dxa"/>
            </w:tcMar>
            <w:vAlign w:val="center"/>
          </w:tcPr>
          <w:p w14:paraId="539AC33E">
            <w:pPr>
              <w:autoSpaceDE w:val="0"/>
              <w:autoSpaceDN w:val="0"/>
              <w:jc w:val="center"/>
              <w:rPr>
                <w:color w:val="auto"/>
                <w:kern w:val="0"/>
                <w:sz w:val="24"/>
              </w:rPr>
            </w:pPr>
            <w:bookmarkStart w:id="0" w:name="_Hlk56690880"/>
            <w:r>
              <w:rPr>
                <w:color w:val="auto"/>
                <w:kern w:val="0"/>
                <w:sz w:val="24"/>
              </w:rPr>
              <w:t>其</w:t>
            </w:r>
          </w:p>
          <w:p w14:paraId="7340F956">
            <w:pPr>
              <w:autoSpaceDE w:val="0"/>
              <w:autoSpaceDN w:val="0"/>
              <w:jc w:val="center"/>
              <w:rPr>
                <w:color w:val="auto"/>
                <w:kern w:val="0"/>
                <w:sz w:val="24"/>
              </w:rPr>
            </w:pPr>
            <w:r>
              <w:rPr>
                <w:color w:val="auto"/>
                <w:kern w:val="0"/>
                <w:sz w:val="24"/>
              </w:rPr>
              <w:t>他</w:t>
            </w:r>
          </w:p>
          <w:p w14:paraId="1EAA53F3">
            <w:pPr>
              <w:autoSpaceDE w:val="0"/>
              <w:autoSpaceDN w:val="0"/>
              <w:jc w:val="center"/>
              <w:rPr>
                <w:color w:val="auto"/>
                <w:kern w:val="0"/>
                <w:sz w:val="24"/>
              </w:rPr>
            </w:pPr>
            <w:r>
              <w:rPr>
                <w:color w:val="auto"/>
                <w:kern w:val="0"/>
                <w:sz w:val="24"/>
              </w:rPr>
              <w:t>符</w:t>
            </w:r>
          </w:p>
          <w:p w14:paraId="076366ED">
            <w:pPr>
              <w:autoSpaceDE w:val="0"/>
              <w:autoSpaceDN w:val="0"/>
              <w:jc w:val="center"/>
              <w:rPr>
                <w:color w:val="auto"/>
                <w:kern w:val="0"/>
                <w:sz w:val="24"/>
              </w:rPr>
            </w:pPr>
            <w:r>
              <w:rPr>
                <w:color w:val="auto"/>
                <w:kern w:val="0"/>
                <w:sz w:val="24"/>
              </w:rPr>
              <w:t>合</w:t>
            </w:r>
          </w:p>
          <w:p w14:paraId="0B7036D1">
            <w:pPr>
              <w:autoSpaceDE w:val="0"/>
              <w:autoSpaceDN w:val="0"/>
              <w:jc w:val="center"/>
              <w:rPr>
                <w:color w:val="auto"/>
                <w:kern w:val="0"/>
                <w:sz w:val="24"/>
              </w:rPr>
            </w:pPr>
            <w:r>
              <w:rPr>
                <w:color w:val="auto"/>
                <w:kern w:val="0"/>
                <w:sz w:val="24"/>
              </w:rPr>
              <w:t>性</w:t>
            </w:r>
          </w:p>
          <w:p w14:paraId="6AF3A38D">
            <w:pPr>
              <w:autoSpaceDE w:val="0"/>
              <w:autoSpaceDN w:val="0"/>
              <w:jc w:val="center"/>
              <w:rPr>
                <w:color w:val="auto"/>
                <w:kern w:val="0"/>
                <w:sz w:val="24"/>
              </w:rPr>
            </w:pPr>
            <w:r>
              <w:rPr>
                <w:color w:val="auto"/>
                <w:kern w:val="0"/>
                <w:sz w:val="24"/>
              </w:rPr>
              <w:t>分</w:t>
            </w:r>
          </w:p>
          <w:p w14:paraId="1FD637D5">
            <w:pPr>
              <w:autoSpaceDE w:val="0"/>
              <w:autoSpaceDN w:val="0"/>
              <w:jc w:val="center"/>
              <w:rPr>
                <w:color w:val="auto"/>
                <w:kern w:val="0"/>
                <w:sz w:val="24"/>
                <w:highlight w:val="yellow"/>
              </w:rPr>
            </w:pPr>
            <w:r>
              <w:rPr>
                <w:color w:val="auto"/>
                <w:kern w:val="0"/>
                <w:sz w:val="24"/>
              </w:rPr>
              <w:t>析</w:t>
            </w:r>
          </w:p>
        </w:tc>
        <w:tc>
          <w:tcPr>
            <w:tcW w:w="3956" w:type="pct"/>
            <w:gridSpan w:val="3"/>
            <w:tcMar>
              <w:top w:w="16" w:type="dxa"/>
              <w:left w:w="16" w:type="dxa"/>
              <w:right w:w="16" w:type="dxa"/>
            </w:tcMar>
            <w:vAlign w:val="center"/>
          </w:tcPr>
          <w:p w14:paraId="7828B786">
            <w:pPr>
              <w:spacing w:before="120" w:beforeLines="50" w:line="360" w:lineRule="auto"/>
              <w:ind w:left="105" w:leftChars="50" w:right="105" w:rightChars="50" w:firstLine="482" w:firstLineChars="200"/>
              <w:textAlignment w:val="baseline"/>
              <w:rPr>
                <w:b/>
                <w:color w:val="auto"/>
                <w:sz w:val="24"/>
              </w:rPr>
            </w:pPr>
            <w:r>
              <w:rPr>
                <w:b/>
                <w:color w:val="auto"/>
                <w:sz w:val="24"/>
                <w:lang w:bidi="ar"/>
              </w:rPr>
              <w:t>一、产业政策符合性分析</w:t>
            </w:r>
          </w:p>
          <w:p w14:paraId="53A1B617">
            <w:pPr>
              <w:pStyle w:val="46"/>
              <w:rPr>
                <w:rFonts w:ascii="Times New Roman" w:hAnsi="Times New Roman" w:eastAsia="宋体" w:cs="Times New Roman"/>
                <w:color w:val="auto"/>
                <w:kern w:val="0"/>
                <w:sz w:val="24"/>
                <w:szCs w:val="24"/>
                <w:lang w:val="en-US" w:eastAsia="zh-CN" w:bidi="ar"/>
              </w:rPr>
            </w:pPr>
            <w:r>
              <w:rPr>
                <w:rFonts w:ascii="Times New Roman" w:hAnsi="Times New Roman" w:eastAsia="宋体" w:cs="Times New Roman"/>
                <w:color w:val="auto"/>
                <w:kern w:val="0"/>
                <w:sz w:val="24"/>
                <w:szCs w:val="24"/>
                <w:lang w:val="en-US" w:eastAsia="zh-CN" w:bidi="ar"/>
              </w:rPr>
              <w:t>本项目属</w:t>
            </w:r>
            <w:r>
              <w:rPr>
                <w:rFonts w:hint="eastAsia" w:ascii="Times New Roman" w:hAnsi="Times New Roman" w:eastAsia="宋体" w:cs="Times New Roman"/>
                <w:color w:val="auto"/>
                <w:kern w:val="0"/>
                <w:sz w:val="24"/>
                <w:szCs w:val="24"/>
                <w:lang w:val="en-US" w:eastAsia="zh-CN" w:bidi="ar"/>
              </w:rPr>
              <w:t>于</w:t>
            </w:r>
            <w:r>
              <w:rPr>
                <w:rFonts w:ascii="Times New Roman" w:hAnsi="Times New Roman" w:eastAsia="宋体" w:cs="Times New Roman"/>
                <w:color w:val="auto"/>
                <w:kern w:val="0"/>
                <w:sz w:val="24"/>
                <w:szCs w:val="24"/>
                <w:lang w:val="en-US" w:eastAsia="zh-CN" w:bidi="ar"/>
              </w:rPr>
              <w:t>《产业结构调整指导目录（2024年本）》鼓励类项目，符合目录（二）水利3、防洪提升工程</w:t>
            </w:r>
            <w:r>
              <w:rPr>
                <w:rFonts w:hint="eastAsia" w:ascii="Times New Roman" w:hAnsi="Times New Roman" w:eastAsia="宋体" w:cs="Times New Roman"/>
                <w:color w:val="auto"/>
                <w:kern w:val="0"/>
                <w:sz w:val="24"/>
                <w:szCs w:val="24"/>
                <w:lang w:val="en-US" w:eastAsia="zh-CN" w:bidi="ar"/>
              </w:rPr>
              <w:t>，（二十二）</w:t>
            </w:r>
            <w:r>
              <w:rPr>
                <w:rFonts w:ascii="Times New Roman" w:hAnsi="Times New Roman" w:eastAsia="宋体" w:cs="Times New Roman"/>
                <w:color w:val="auto"/>
                <w:kern w:val="0"/>
                <w:sz w:val="24"/>
                <w:szCs w:val="24"/>
                <w:lang w:val="en-US" w:eastAsia="zh-CN" w:bidi="ar"/>
              </w:rPr>
              <w:t>城市基础设施2</w:t>
            </w:r>
            <w:r>
              <w:rPr>
                <w:rFonts w:hint="eastAsia" w:ascii="Times New Roman" w:hAnsi="Times New Roman" w:eastAsia="宋体" w:cs="Times New Roman"/>
                <w:color w:val="auto"/>
                <w:kern w:val="0"/>
                <w:sz w:val="24"/>
                <w:szCs w:val="24"/>
                <w:lang w:val="en-US" w:eastAsia="zh-CN" w:bidi="ar"/>
              </w:rPr>
              <w:t>、</w:t>
            </w:r>
            <w:r>
              <w:rPr>
                <w:rFonts w:ascii="Times New Roman" w:hAnsi="Times New Roman" w:eastAsia="宋体" w:cs="Times New Roman"/>
                <w:color w:val="auto"/>
                <w:kern w:val="0"/>
                <w:sz w:val="24"/>
                <w:szCs w:val="24"/>
                <w:lang w:val="en-US" w:eastAsia="zh-CN" w:bidi="ar"/>
              </w:rPr>
              <w:t>城镇供排水工程及相关设备生产，符合国家的产业政策</w:t>
            </w:r>
            <w:r>
              <w:rPr>
                <w:rFonts w:hint="eastAsia" w:ascii="Times New Roman" w:hAnsi="Times New Roman" w:eastAsia="宋体" w:cs="Times New Roman"/>
                <w:color w:val="auto"/>
                <w:kern w:val="0"/>
                <w:sz w:val="24"/>
                <w:szCs w:val="24"/>
                <w:lang w:val="en-US" w:eastAsia="zh-CN" w:bidi="ar"/>
              </w:rPr>
              <w:t>。</w:t>
            </w:r>
          </w:p>
          <w:p w14:paraId="4D9CD5AD">
            <w:pPr>
              <w:autoSpaceDE w:val="0"/>
              <w:autoSpaceDN w:val="0"/>
              <w:adjustRightInd w:val="0"/>
              <w:snapToGrid w:val="0"/>
              <w:spacing w:line="360" w:lineRule="auto"/>
              <w:ind w:firstLine="482" w:firstLineChars="200"/>
              <w:rPr>
                <w:b/>
                <w:bCs/>
                <w:color w:val="auto"/>
                <w:kern w:val="0"/>
                <w:sz w:val="24"/>
                <w:lang w:bidi="ar"/>
              </w:rPr>
            </w:pPr>
            <w:r>
              <w:rPr>
                <w:b/>
                <w:bCs/>
                <w:color w:val="auto"/>
                <w:kern w:val="0"/>
                <w:sz w:val="24"/>
                <w:lang w:bidi="ar"/>
              </w:rPr>
              <w:t>二、用地规划符合性分析</w:t>
            </w:r>
          </w:p>
          <w:p w14:paraId="20A44CBD">
            <w:pPr>
              <w:autoSpaceDE w:val="0"/>
              <w:autoSpaceDN w:val="0"/>
              <w:adjustRightInd w:val="0"/>
              <w:snapToGrid w:val="0"/>
              <w:spacing w:line="360" w:lineRule="auto"/>
              <w:ind w:firstLine="480" w:firstLineChars="200"/>
              <w:rPr>
                <w:rFonts w:hint="eastAsia"/>
                <w:color w:val="auto"/>
                <w:kern w:val="0"/>
                <w:sz w:val="24"/>
                <w:highlight w:val="none"/>
                <w:lang w:val="en-US" w:eastAsia="zh-CN" w:bidi="ar"/>
              </w:rPr>
            </w:pPr>
            <w:r>
              <w:rPr>
                <w:color w:val="auto"/>
                <w:kern w:val="0"/>
                <w:sz w:val="24"/>
                <w:lang w:val="en-US" w:eastAsia="zh-CN" w:bidi="ar"/>
              </w:rPr>
              <w:t>本</w:t>
            </w:r>
            <w:r>
              <w:rPr>
                <w:rFonts w:hint="eastAsia"/>
                <w:color w:val="auto"/>
                <w:kern w:val="0"/>
                <w:sz w:val="24"/>
                <w:lang w:val="en-US" w:eastAsia="zh-CN" w:bidi="ar"/>
              </w:rPr>
              <w:t>项目</w:t>
            </w:r>
            <w:r>
              <w:rPr>
                <w:color w:val="auto"/>
                <w:kern w:val="0"/>
                <w:sz w:val="24"/>
                <w:lang w:val="en-US" w:eastAsia="zh-CN" w:bidi="ar"/>
              </w:rPr>
              <w:t>位于淄博经济开发区内，</w:t>
            </w:r>
            <w:r>
              <w:rPr>
                <w:rFonts w:hint="eastAsia"/>
                <w:color w:val="auto"/>
                <w:kern w:val="0"/>
                <w:sz w:val="24"/>
                <w:lang w:val="en-US" w:eastAsia="zh-CN" w:bidi="ar"/>
              </w:rPr>
              <w:t>项目对经开区现有河道进行防洪排涝能力提升，不新建河道、水库，同</w:t>
            </w:r>
            <w:r>
              <w:rPr>
                <w:rFonts w:hint="eastAsia" w:ascii="Times New Roman" w:hAnsi="Times New Roman" w:eastAsia="宋体" w:cs="Times New Roman"/>
                <w:color w:val="auto"/>
                <w:kern w:val="0"/>
                <w:sz w:val="24"/>
                <w:lang w:val="en-US" w:eastAsia="zh-CN" w:bidi="ar"/>
              </w:rPr>
              <w:t>时对经开区范围内涝淄河、东猪龙河上游东西支沿河截污管道，</w:t>
            </w:r>
            <w:r>
              <w:rPr>
                <w:rFonts w:hint="eastAsia" w:ascii="Times New Roman" w:hAnsi="Times New Roman" w:eastAsia="宋体" w:cs="Times New Roman"/>
                <w:color w:val="auto"/>
                <w:kern w:val="0"/>
                <w:sz w:val="24"/>
                <w:highlight w:val="none"/>
                <w:lang w:val="en-US" w:eastAsia="zh-CN" w:bidi="ar"/>
              </w:rPr>
              <w:t>根</w:t>
            </w:r>
            <w:r>
              <w:rPr>
                <w:rFonts w:hint="eastAsia"/>
                <w:color w:val="auto"/>
                <w:kern w:val="0"/>
                <w:sz w:val="24"/>
                <w:highlight w:val="none"/>
                <w:lang w:val="en-US" w:eastAsia="zh-CN" w:bidi="ar"/>
              </w:rPr>
              <w:t>据《淄博市国土空间规划（2021-2035）-市域国土空间控制线规划图》（附图3），不涉及生态红线。</w:t>
            </w:r>
          </w:p>
          <w:p w14:paraId="5D9B0165">
            <w:pPr>
              <w:spacing w:line="360" w:lineRule="auto"/>
              <w:ind w:left="105" w:leftChars="50" w:right="105" w:rightChars="50" w:firstLine="482" w:firstLineChars="200"/>
              <w:textAlignment w:val="baseline"/>
              <w:rPr>
                <w:b/>
                <w:color w:val="auto"/>
                <w:sz w:val="24"/>
              </w:rPr>
            </w:pPr>
            <w:r>
              <w:rPr>
                <w:b/>
                <w:color w:val="auto"/>
                <w:sz w:val="24"/>
                <w:lang w:bidi="ar"/>
              </w:rPr>
              <w:t>三、与“</w:t>
            </w:r>
            <w:r>
              <w:rPr>
                <w:rFonts w:hint="eastAsia"/>
                <w:b/>
                <w:color w:val="auto"/>
                <w:sz w:val="24"/>
                <w:lang w:bidi="ar"/>
              </w:rPr>
              <w:t>生态环境分区管控</w:t>
            </w:r>
            <w:r>
              <w:rPr>
                <w:b/>
                <w:color w:val="auto"/>
                <w:sz w:val="24"/>
                <w:lang w:bidi="ar"/>
              </w:rPr>
              <w:t>”的符合性分析</w:t>
            </w:r>
          </w:p>
          <w:p w14:paraId="1E91581C">
            <w:pPr>
              <w:autoSpaceDE w:val="0"/>
              <w:autoSpaceDN w:val="0"/>
              <w:adjustRightInd w:val="0"/>
              <w:snapToGrid w:val="0"/>
              <w:spacing w:line="360" w:lineRule="auto"/>
              <w:ind w:firstLine="480" w:firstLineChars="200"/>
              <w:rPr>
                <w:color w:val="auto"/>
                <w:kern w:val="0"/>
                <w:sz w:val="24"/>
              </w:rPr>
            </w:pPr>
            <w:r>
              <w:rPr>
                <w:color w:val="auto"/>
                <w:kern w:val="0"/>
                <w:sz w:val="24"/>
                <w:lang w:bidi="ar"/>
              </w:rPr>
              <w:t>根据《淄博市人民政府关于印发淄博市“三线一单”生态环境分区管控方案的通知》（淄政字[2021]49号）和淄博市生态环境委员会办公室关于印发《淄博市2023年生态环境分区管控成果动态更新项目生态环境准入清单》的通知内划定的生态环境分区范围可知，本项目</w:t>
            </w:r>
            <w:r>
              <w:rPr>
                <w:bCs/>
                <w:color w:val="auto"/>
                <w:sz w:val="24"/>
                <w:lang w:bidi="ar"/>
              </w:rPr>
              <w:t>选址</w:t>
            </w:r>
            <w:r>
              <w:rPr>
                <w:color w:val="auto"/>
                <w:kern w:val="0"/>
                <w:sz w:val="24"/>
                <w:lang w:bidi="ar"/>
              </w:rPr>
              <w:t>位于淄博经济开发区内，其中涝淄河所属环境管控单元为沣水镇，编码为ZH37030330001，属于一般管控单元</w:t>
            </w:r>
            <w:r>
              <w:rPr>
                <w:rFonts w:hint="eastAsia"/>
                <w:color w:val="auto"/>
                <w:kern w:val="0"/>
                <w:sz w:val="24"/>
                <w:lang w:bidi="ar"/>
              </w:rPr>
              <w:t>；</w:t>
            </w:r>
            <w:r>
              <w:rPr>
                <w:color w:val="auto"/>
                <w:kern w:val="0"/>
                <w:sz w:val="24"/>
              </w:rPr>
              <w:t>漫泗河所属环境管控单元为南定镇，编码分别为ZH37030320007，属于重点管控单元；</w:t>
            </w:r>
            <w:r>
              <w:rPr>
                <w:rFonts w:hint="eastAsia"/>
                <w:color w:val="auto"/>
                <w:kern w:val="0"/>
                <w:sz w:val="24"/>
                <w:lang w:bidi="ar"/>
              </w:rPr>
              <w:t>东猪龙河所属环境管控单元为沣水镇、南定镇，</w:t>
            </w:r>
            <w:r>
              <w:rPr>
                <w:color w:val="auto"/>
                <w:kern w:val="0"/>
                <w:sz w:val="24"/>
              </w:rPr>
              <w:t>编码分别为</w:t>
            </w:r>
            <w:r>
              <w:rPr>
                <w:color w:val="auto"/>
                <w:kern w:val="0"/>
                <w:sz w:val="24"/>
                <w:lang w:bidi="ar"/>
              </w:rPr>
              <w:t>ZH37030330001</w:t>
            </w:r>
            <w:r>
              <w:rPr>
                <w:color w:val="auto"/>
                <w:kern w:val="0"/>
                <w:sz w:val="24"/>
              </w:rPr>
              <w:t>、ZH37030320007，</w:t>
            </w:r>
            <w:r>
              <w:rPr>
                <w:rFonts w:hint="eastAsia"/>
                <w:color w:val="auto"/>
                <w:kern w:val="0"/>
                <w:sz w:val="24"/>
              </w:rPr>
              <w:t>沣水镇属于一般管控单元，南定镇</w:t>
            </w:r>
            <w:r>
              <w:rPr>
                <w:color w:val="auto"/>
                <w:kern w:val="0"/>
                <w:sz w:val="24"/>
              </w:rPr>
              <w:t>属于重点管控单元；瓦村沟所属环境管控单元为双杨镇、傅家镇和罗村镇，编码分别为ZH37030220003、ZH37030320008、ZH37030220004，均属于重点管控单元；暖水河所属环境管控单元为南定镇和罗村镇，编码分别为ZH37030320007、ZH37030220004，均属于重点管控单元；焕然河所属环境管控单元为萌水镇和双杨镇，编码分别为ZH37030630002、ZH37030220003，分别属于一般管控单元、重点管控单元；</w:t>
            </w:r>
            <w:r>
              <w:rPr>
                <w:rFonts w:hint="eastAsia"/>
                <w:color w:val="auto"/>
                <w:sz w:val="24"/>
              </w:rPr>
              <w:t>三泉沟</w:t>
            </w:r>
            <w:r>
              <w:rPr>
                <w:color w:val="auto"/>
                <w:kern w:val="0"/>
                <w:sz w:val="24"/>
              </w:rPr>
              <w:t>所属环境管控单元为</w:t>
            </w:r>
            <w:r>
              <w:rPr>
                <w:rFonts w:hint="eastAsia"/>
                <w:color w:val="auto"/>
                <w:kern w:val="0"/>
                <w:sz w:val="24"/>
                <w:lang w:bidi="ar"/>
              </w:rPr>
              <w:t>南定镇</w:t>
            </w:r>
            <w:r>
              <w:rPr>
                <w:color w:val="auto"/>
                <w:kern w:val="0"/>
                <w:sz w:val="24"/>
              </w:rPr>
              <w:t>，编码为ZH37030320007，属于重点管控单元；白蛇沟所属环境管控单元为南郊镇，编码为ZH37030630001，属于一般管控单元</w:t>
            </w:r>
            <w:r>
              <w:rPr>
                <w:rFonts w:hint="eastAsia"/>
                <w:color w:val="auto"/>
                <w:kern w:val="0"/>
                <w:sz w:val="24"/>
              </w:rPr>
              <w:t>；</w:t>
            </w:r>
            <w:r>
              <w:rPr>
                <w:rFonts w:hint="eastAsia"/>
                <w:color w:val="auto"/>
                <w:sz w:val="24"/>
              </w:rPr>
              <w:t>袁家河</w:t>
            </w:r>
            <w:r>
              <w:rPr>
                <w:color w:val="auto"/>
                <w:kern w:val="0"/>
                <w:sz w:val="24"/>
              </w:rPr>
              <w:t>所属环境管控单元为萌水镇和双杨镇，编码分别为ZH37030630002、ZH37030220003，分别属于一般管控单元、重点管控单元；</w:t>
            </w:r>
            <w:r>
              <w:rPr>
                <w:rFonts w:hint="eastAsia"/>
                <w:color w:val="auto"/>
                <w:sz w:val="24"/>
              </w:rPr>
              <w:t>天津路排涝沟</w:t>
            </w:r>
            <w:r>
              <w:rPr>
                <w:color w:val="auto"/>
                <w:kern w:val="0"/>
                <w:sz w:val="24"/>
              </w:rPr>
              <w:t>所属环境管控单元为双杨镇，编码为ZH37030220003，属于重点管控单元；</w:t>
            </w:r>
            <w:r>
              <w:rPr>
                <w:rFonts w:hint="eastAsia"/>
                <w:color w:val="auto"/>
                <w:sz w:val="24"/>
              </w:rPr>
              <w:t>小旦村排涝沟</w:t>
            </w:r>
            <w:r>
              <w:rPr>
                <w:color w:val="auto"/>
                <w:kern w:val="0"/>
                <w:sz w:val="24"/>
              </w:rPr>
              <w:t>所属环境管控单元为</w:t>
            </w:r>
            <w:r>
              <w:rPr>
                <w:rFonts w:hint="eastAsia"/>
                <w:color w:val="auto"/>
                <w:kern w:val="0"/>
                <w:sz w:val="24"/>
                <w:lang w:bidi="ar"/>
              </w:rPr>
              <w:t>南定镇</w:t>
            </w:r>
            <w:r>
              <w:rPr>
                <w:color w:val="auto"/>
                <w:kern w:val="0"/>
                <w:sz w:val="24"/>
              </w:rPr>
              <w:t>，编码为ZH37030320007，属于</w:t>
            </w:r>
            <w:r>
              <w:rPr>
                <w:rFonts w:hint="eastAsia"/>
                <w:color w:val="auto"/>
                <w:kern w:val="0"/>
                <w:sz w:val="24"/>
              </w:rPr>
              <w:t>重点</w:t>
            </w:r>
            <w:r>
              <w:rPr>
                <w:color w:val="auto"/>
                <w:kern w:val="0"/>
                <w:sz w:val="24"/>
              </w:rPr>
              <w:t>管控单元</w:t>
            </w:r>
            <w:r>
              <w:rPr>
                <w:rFonts w:hint="eastAsia"/>
                <w:color w:val="auto"/>
                <w:kern w:val="0"/>
                <w:sz w:val="24"/>
              </w:rPr>
              <w:t>；大高村排涝沟</w:t>
            </w:r>
            <w:r>
              <w:rPr>
                <w:color w:val="auto"/>
                <w:kern w:val="0"/>
                <w:sz w:val="24"/>
              </w:rPr>
              <w:t>所属环境管控单元为</w:t>
            </w:r>
            <w:r>
              <w:rPr>
                <w:rFonts w:hint="eastAsia"/>
                <w:color w:val="auto"/>
                <w:kern w:val="0"/>
                <w:sz w:val="24"/>
              </w:rPr>
              <w:t>沣水镇</w:t>
            </w:r>
            <w:r>
              <w:rPr>
                <w:color w:val="auto"/>
                <w:kern w:val="0"/>
                <w:sz w:val="24"/>
              </w:rPr>
              <w:t>，编码为ZH37030330001，属于一般管控单元。</w:t>
            </w:r>
          </w:p>
          <w:p w14:paraId="48EDEA89">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故本项目涉及沣水镇、</w:t>
            </w:r>
            <w:r>
              <w:rPr>
                <w:color w:val="auto"/>
                <w:kern w:val="0"/>
                <w:sz w:val="24"/>
              </w:rPr>
              <w:t>南定镇、罗村镇</w:t>
            </w:r>
            <w:r>
              <w:rPr>
                <w:rFonts w:hint="eastAsia"/>
                <w:color w:val="auto"/>
                <w:kern w:val="0"/>
                <w:sz w:val="24"/>
              </w:rPr>
              <w:t>、</w:t>
            </w:r>
            <w:r>
              <w:rPr>
                <w:color w:val="auto"/>
                <w:kern w:val="0"/>
                <w:sz w:val="24"/>
              </w:rPr>
              <w:t>傅家镇</w:t>
            </w:r>
            <w:r>
              <w:rPr>
                <w:rFonts w:hint="eastAsia"/>
                <w:color w:val="auto"/>
                <w:kern w:val="0"/>
                <w:sz w:val="24"/>
              </w:rPr>
              <w:t>、</w:t>
            </w:r>
            <w:r>
              <w:rPr>
                <w:color w:val="auto"/>
                <w:kern w:val="0"/>
                <w:sz w:val="24"/>
              </w:rPr>
              <w:t>双杨镇</w:t>
            </w:r>
            <w:r>
              <w:rPr>
                <w:rFonts w:hint="eastAsia"/>
                <w:color w:val="auto"/>
                <w:kern w:val="0"/>
                <w:sz w:val="24"/>
              </w:rPr>
              <w:t>、</w:t>
            </w:r>
            <w:r>
              <w:rPr>
                <w:color w:val="auto"/>
                <w:kern w:val="0"/>
                <w:sz w:val="24"/>
              </w:rPr>
              <w:t>萌水镇</w:t>
            </w:r>
            <w:r>
              <w:rPr>
                <w:rFonts w:hint="eastAsia"/>
                <w:color w:val="auto"/>
                <w:kern w:val="0"/>
                <w:sz w:val="24"/>
              </w:rPr>
              <w:t>、</w:t>
            </w:r>
            <w:r>
              <w:rPr>
                <w:color w:val="auto"/>
                <w:kern w:val="0"/>
                <w:sz w:val="24"/>
              </w:rPr>
              <w:t>南郊镇</w:t>
            </w:r>
            <w:r>
              <w:rPr>
                <w:rFonts w:hint="eastAsia"/>
                <w:color w:val="auto"/>
                <w:kern w:val="0"/>
                <w:sz w:val="24"/>
              </w:rPr>
              <w:t>。</w:t>
            </w:r>
          </w:p>
          <w:p w14:paraId="6A4B64BB">
            <w:pPr>
              <w:autoSpaceDE w:val="0"/>
              <w:autoSpaceDN w:val="0"/>
              <w:adjustRightInd w:val="0"/>
              <w:snapToGrid w:val="0"/>
              <w:spacing w:line="360" w:lineRule="auto"/>
              <w:ind w:firstLine="480" w:firstLineChars="200"/>
              <w:rPr>
                <w:color w:val="auto"/>
                <w:kern w:val="0"/>
                <w:sz w:val="24"/>
              </w:rPr>
            </w:pPr>
            <w:r>
              <w:rPr>
                <w:color w:val="auto"/>
                <w:kern w:val="0"/>
                <w:sz w:val="24"/>
              </w:rPr>
              <w:t>本项目与“</w:t>
            </w:r>
            <w:r>
              <w:rPr>
                <w:rFonts w:hint="eastAsia"/>
                <w:color w:val="auto"/>
                <w:kern w:val="0"/>
                <w:sz w:val="24"/>
                <w:lang w:eastAsia="zh-CN"/>
              </w:rPr>
              <w:t>生态分区管控</w:t>
            </w:r>
            <w:r>
              <w:rPr>
                <w:color w:val="auto"/>
                <w:kern w:val="0"/>
                <w:sz w:val="24"/>
              </w:rPr>
              <w:t>”要求符合性分析见表1-1。</w:t>
            </w:r>
          </w:p>
          <w:p w14:paraId="69644767">
            <w:pPr>
              <w:pStyle w:val="8"/>
              <w:snapToGrid/>
              <w:spacing w:before="0" w:after="0" w:line="240" w:lineRule="auto"/>
              <w:ind w:right="105" w:rightChars="50"/>
              <w:jc w:val="center"/>
              <w:rPr>
                <w:b/>
                <w:bCs/>
                <w:color w:val="auto"/>
                <w:sz w:val="24"/>
                <w:szCs w:val="24"/>
              </w:rPr>
            </w:pPr>
            <w:r>
              <w:rPr>
                <w:b/>
                <w:bCs/>
                <w:color w:val="auto"/>
                <w:sz w:val="21"/>
                <w:szCs w:val="21"/>
              </w:rPr>
              <w:t>表1-1  本</w:t>
            </w:r>
            <w:r>
              <w:rPr>
                <w:b/>
                <w:color w:val="auto"/>
                <w:sz w:val="21"/>
                <w:szCs w:val="21"/>
              </w:rPr>
              <w:t>项目与“</w:t>
            </w:r>
            <w:r>
              <w:rPr>
                <w:rFonts w:hint="eastAsia"/>
                <w:b/>
                <w:color w:val="auto"/>
                <w:sz w:val="21"/>
                <w:szCs w:val="21"/>
                <w:lang w:eastAsia="zh-CN"/>
              </w:rPr>
              <w:t>生态分区管控</w:t>
            </w:r>
            <w:r>
              <w:rPr>
                <w:b/>
                <w:color w:val="auto"/>
                <w:sz w:val="21"/>
                <w:szCs w:val="21"/>
              </w:rPr>
              <w:t>”要求符合性分析</w:t>
            </w:r>
          </w:p>
          <w:tbl>
            <w:tblPr>
              <w:tblStyle w:val="20"/>
              <w:tblW w:w="495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459"/>
              <w:gridCol w:w="3119"/>
              <w:gridCol w:w="2403"/>
              <w:gridCol w:w="687"/>
            </w:tblGrid>
            <w:tr w14:paraId="3053A8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2827" w:type="pct"/>
                  <w:gridSpan w:val="3"/>
                  <w:tcBorders>
                    <w:tl2br w:val="nil"/>
                    <w:tr2bl w:val="nil"/>
                  </w:tcBorders>
                  <w:vAlign w:val="center"/>
                </w:tcPr>
                <w:p w14:paraId="471422B8">
                  <w:pPr>
                    <w:topLinePunct/>
                    <w:jc w:val="center"/>
                    <w:rPr>
                      <w:b/>
                      <w:bCs/>
                      <w:color w:val="auto"/>
                      <w:szCs w:val="21"/>
                    </w:rPr>
                  </w:pPr>
                  <w:r>
                    <w:rPr>
                      <w:b/>
                      <w:bCs/>
                      <w:color w:val="auto"/>
                      <w:szCs w:val="21"/>
                    </w:rPr>
                    <w:t>淄政字[2021]49号文件要求</w:t>
                  </w:r>
                </w:p>
              </w:tc>
              <w:tc>
                <w:tcPr>
                  <w:tcW w:w="1690" w:type="pct"/>
                  <w:tcBorders>
                    <w:tl2br w:val="nil"/>
                    <w:tr2bl w:val="nil"/>
                  </w:tcBorders>
                  <w:vAlign w:val="center"/>
                </w:tcPr>
                <w:p w14:paraId="6A84C0B0">
                  <w:pPr>
                    <w:topLinePunct/>
                    <w:jc w:val="center"/>
                    <w:rPr>
                      <w:b/>
                      <w:bCs/>
                      <w:color w:val="auto"/>
                      <w:szCs w:val="21"/>
                    </w:rPr>
                  </w:pPr>
                  <w:r>
                    <w:rPr>
                      <w:b/>
                      <w:bCs/>
                      <w:color w:val="auto"/>
                      <w:szCs w:val="21"/>
                    </w:rPr>
                    <w:t>本项目实际情况</w:t>
                  </w:r>
                </w:p>
              </w:tc>
              <w:tc>
                <w:tcPr>
                  <w:tcW w:w="481" w:type="pct"/>
                  <w:tcBorders>
                    <w:tl2br w:val="nil"/>
                    <w:tr2bl w:val="nil"/>
                  </w:tcBorders>
                  <w:vAlign w:val="center"/>
                </w:tcPr>
                <w:p w14:paraId="01E10399">
                  <w:pPr>
                    <w:topLinePunct/>
                    <w:jc w:val="center"/>
                    <w:rPr>
                      <w:b/>
                      <w:bCs/>
                      <w:color w:val="auto"/>
                      <w:szCs w:val="21"/>
                    </w:rPr>
                  </w:pPr>
                  <w:r>
                    <w:rPr>
                      <w:b/>
                      <w:bCs/>
                      <w:color w:val="auto"/>
                      <w:szCs w:val="21"/>
                    </w:rPr>
                    <w:t>符合性</w:t>
                  </w:r>
                </w:p>
              </w:tc>
            </w:tr>
            <w:tr w14:paraId="05C7B6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5000" w:type="pct"/>
                  <w:gridSpan w:val="5"/>
                  <w:tcBorders>
                    <w:tl2br w:val="nil"/>
                    <w:tr2bl w:val="nil"/>
                  </w:tcBorders>
                  <w:vAlign w:val="center"/>
                </w:tcPr>
                <w:p w14:paraId="1461C4CD">
                  <w:pPr>
                    <w:topLinePunct/>
                    <w:jc w:val="center"/>
                    <w:rPr>
                      <w:color w:val="auto"/>
                      <w:szCs w:val="21"/>
                      <w:highlight w:val="yellow"/>
                    </w:rPr>
                  </w:pPr>
                  <w:r>
                    <w:rPr>
                      <w:b/>
                      <w:bCs/>
                      <w:color w:val="auto"/>
                      <w:szCs w:val="21"/>
                    </w:rPr>
                    <w:t>1.生态保护红线</w:t>
                  </w:r>
                </w:p>
              </w:tc>
            </w:tr>
            <w:tr w14:paraId="28A296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33" w:type="pct"/>
                  <w:gridSpan w:val="2"/>
                  <w:tcBorders>
                    <w:tl2br w:val="nil"/>
                    <w:tr2bl w:val="nil"/>
                  </w:tcBorders>
                  <w:vAlign w:val="center"/>
                </w:tcPr>
                <w:p w14:paraId="599FF8CC">
                  <w:pPr>
                    <w:topLinePunct/>
                    <w:jc w:val="center"/>
                    <w:rPr>
                      <w:color w:val="auto"/>
                      <w:szCs w:val="21"/>
                    </w:rPr>
                  </w:pPr>
                  <w:r>
                    <w:rPr>
                      <w:color w:val="auto"/>
                      <w:szCs w:val="21"/>
                    </w:rPr>
                    <w:t>生态保护红线及一般生态空间主要目标</w:t>
                  </w:r>
                </w:p>
              </w:tc>
              <w:tc>
                <w:tcPr>
                  <w:tcW w:w="2194" w:type="pct"/>
                  <w:tcBorders>
                    <w:tl2br w:val="nil"/>
                    <w:tr2bl w:val="nil"/>
                  </w:tcBorders>
                  <w:vAlign w:val="center"/>
                </w:tcPr>
                <w:p w14:paraId="69188F69">
                  <w:pPr>
                    <w:topLinePunct/>
                    <w:jc w:val="center"/>
                    <w:rPr>
                      <w:color w:val="auto"/>
                      <w:szCs w:val="21"/>
                    </w:rPr>
                  </w:pPr>
                  <w:r>
                    <w:rPr>
                      <w:color w:val="auto"/>
                      <w:szCs w:val="21"/>
                    </w:rPr>
                    <w:t>全市生态保护红线充分衔接最新成果数据，主要生态系统服务功能为防风固沙、水土保持及水源涵养。一般生态空间涵盖水产种质资源保护区、城市集中式饮用水水源保护区等各类受保护区域，以及生态公益林等其他需保护区。</w:t>
                  </w:r>
                </w:p>
              </w:tc>
              <w:tc>
                <w:tcPr>
                  <w:tcW w:w="1690" w:type="pct"/>
                  <w:tcBorders>
                    <w:tl2br w:val="nil"/>
                    <w:tr2bl w:val="nil"/>
                  </w:tcBorders>
                  <w:vAlign w:val="center"/>
                </w:tcPr>
                <w:p w14:paraId="6E429F29">
                  <w:pPr>
                    <w:topLinePunct/>
                    <w:rPr>
                      <w:color w:val="auto"/>
                      <w:szCs w:val="21"/>
                      <w:highlight w:val="yellow"/>
                    </w:rPr>
                  </w:pPr>
                  <w:r>
                    <w:rPr>
                      <w:color w:val="auto"/>
                      <w:szCs w:val="21"/>
                    </w:rPr>
                    <w:t>根据淄博市国土空间总体规划（2021-2035）（附图3），项目不占用生态保护红线、不占用永久基本农田。本项目为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项目，项目完成后不会对外环境产生影响。</w:t>
                  </w:r>
                </w:p>
              </w:tc>
              <w:tc>
                <w:tcPr>
                  <w:tcW w:w="481" w:type="pct"/>
                  <w:tcBorders>
                    <w:tl2br w:val="nil"/>
                    <w:tr2bl w:val="nil"/>
                  </w:tcBorders>
                  <w:vAlign w:val="center"/>
                </w:tcPr>
                <w:p w14:paraId="0CE0D6F1">
                  <w:pPr>
                    <w:topLinePunct/>
                    <w:jc w:val="center"/>
                    <w:rPr>
                      <w:color w:val="auto"/>
                      <w:szCs w:val="21"/>
                    </w:rPr>
                  </w:pPr>
                  <w:r>
                    <w:rPr>
                      <w:color w:val="auto"/>
                      <w:szCs w:val="21"/>
                    </w:rPr>
                    <w:t>符合</w:t>
                  </w:r>
                </w:p>
              </w:tc>
            </w:tr>
            <w:tr w14:paraId="2DC96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5000" w:type="pct"/>
                  <w:gridSpan w:val="5"/>
                  <w:tcBorders>
                    <w:tl2br w:val="nil"/>
                    <w:tr2bl w:val="nil"/>
                  </w:tcBorders>
                  <w:vAlign w:val="center"/>
                </w:tcPr>
                <w:p w14:paraId="00754449">
                  <w:pPr>
                    <w:topLinePunct/>
                    <w:jc w:val="center"/>
                    <w:rPr>
                      <w:color w:val="auto"/>
                      <w:szCs w:val="21"/>
                      <w:highlight w:val="yellow"/>
                    </w:rPr>
                  </w:pPr>
                  <w:r>
                    <w:rPr>
                      <w:b/>
                      <w:bCs/>
                      <w:color w:val="auto"/>
                      <w:szCs w:val="21"/>
                    </w:rPr>
                    <w:t>2.环境质量底线</w:t>
                  </w:r>
                </w:p>
              </w:tc>
            </w:tr>
            <w:tr w14:paraId="084945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3" w:type="pct"/>
                  <w:gridSpan w:val="2"/>
                  <w:vMerge w:val="restart"/>
                  <w:tcBorders>
                    <w:tl2br w:val="nil"/>
                    <w:tr2bl w:val="nil"/>
                  </w:tcBorders>
                  <w:vAlign w:val="center"/>
                </w:tcPr>
                <w:p w14:paraId="21ABD304">
                  <w:pPr>
                    <w:topLinePunct/>
                    <w:jc w:val="center"/>
                    <w:rPr>
                      <w:color w:val="auto"/>
                      <w:szCs w:val="21"/>
                    </w:rPr>
                  </w:pPr>
                  <w:r>
                    <w:rPr>
                      <w:color w:val="auto"/>
                      <w:szCs w:val="21"/>
                    </w:rPr>
                    <w:t>环境质量底线主要目标</w:t>
                  </w:r>
                </w:p>
              </w:tc>
              <w:tc>
                <w:tcPr>
                  <w:tcW w:w="2194" w:type="pct"/>
                  <w:tcBorders>
                    <w:tl2br w:val="nil"/>
                    <w:tr2bl w:val="nil"/>
                  </w:tcBorders>
                  <w:vAlign w:val="center"/>
                </w:tcPr>
                <w:p w14:paraId="57CB10D0">
                  <w:pPr>
                    <w:topLinePunct/>
                    <w:jc w:val="center"/>
                    <w:rPr>
                      <w:color w:val="auto"/>
                      <w:szCs w:val="21"/>
                    </w:rPr>
                  </w:pPr>
                  <w:r>
                    <w:rPr>
                      <w:color w:val="auto"/>
                      <w:szCs w:val="21"/>
                    </w:rPr>
                    <w:t>全市水环境质量持续改善，国控、省控、市控断面优良水质比例稳步提升，全面消除劣Ⅴ类水质控制断面，国控断面优良水质比例不低于50%，省控及以上断面优良水质比例不低于30%；县级及以上城市集中式饮用水水源水质全部达到或优于Ⅲ类；建成区黑臭水体全面消除，镇村黑臭水体数量持续减少。</w:t>
                  </w:r>
                </w:p>
              </w:tc>
              <w:tc>
                <w:tcPr>
                  <w:tcW w:w="1690" w:type="pct"/>
                  <w:tcBorders>
                    <w:tl2br w:val="nil"/>
                    <w:tr2bl w:val="nil"/>
                  </w:tcBorders>
                  <w:vAlign w:val="center"/>
                </w:tcPr>
                <w:p w14:paraId="2450E148">
                  <w:pPr>
                    <w:topLinePunct/>
                    <w:rPr>
                      <w:color w:val="auto"/>
                      <w:szCs w:val="21"/>
                      <w:highlight w:val="none"/>
                    </w:rPr>
                  </w:pPr>
                  <w:r>
                    <w:rPr>
                      <w:color w:val="auto"/>
                      <w:szCs w:val="21"/>
                      <w:highlight w:val="none"/>
                    </w:rPr>
                    <w:t>项目区域地表水</w:t>
                  </w:r>
                  <w:r>
                    <w:rPr>
                      <w:rFonts w:hint="eastAsia"/>
                      <w:color w:val="auto"/>
                      <w:szCs w:val="21"/>
                      <w:highlight w:val="none"/>
                    </w:rPr>
                    <w:t>东猪龙河、</w:t>
                  </w:r>
                  <w:r>
                    <w:rPr>
                      <w:color w:val="auto"/>
                      <w:szCs w:val="21"/>
                      <w:highlight w:val="none"/>
                    </w:rPr>
                    <w:t>涝淄河水质能够满足《地表水环境质量标准》（GB3838-2002）中的</w:t>
                  </w:r>
                  <w:r>
                    <w:rPr>
                      <w:color w:val="auto"/>
                      <w:kern w:val="0"/>
                      <w:szCs w:val="21"/>
                      <w:highlight w:val="none"/>
                    </w:rPr>
                    <w:t>V</w:t>
                  </w:r>
                  <w:r>
                    <w:rPr>
                      <w:color w:val="auto"/>
                      <w:szCs w:val="21"/>
                      <w:highlight w:val="none"/>
                    </w:rPr>
                    <w:t>类标准。</w:t>
                  </w:r>
                  <w:r>
                    <w:rPr>
                      <w:rFonts w:hint="eastAsia"/>
                      <w:color w:val="auto"/>
                      <w:kern w:val="0"/>
                      <w:szCs w:val="21"/>
                      <w:highlight w:val="none"/>
                      <w:lang w:eastAsia="zh-CN"/>
                    </w:rPr>
                    <w:t>孝妇河</w:t>
                  </w:r>
                  <w:r>
                    <w:rPr>
                      <w:color w:val="auto"/>
                      <w:szCs w:val="21"/>
                      <w:highlight w:val="none"/>
                    </w:rPr>
                    <w:t>水质能够满足《地表水环境质量标准》（GB3838-2002）中的</w:t>
                  </w:r>
                  <w:r>
                    <w:rPr>
                      <w:rFonts w:hint="default" w:ascii="Times New Roman" w:hAnsi="Times New Roman" w:eastAsia="宋体" w:cs="Times New Roman"/>
                      <w:color w:val="auto"/>
                      <w:sz w:val="21"/>
                      <w:szCs w:val="21"/>
                      <w:highlight w:val="none"/>
                    </w:rPr>
                    <w:t>IV</w:t>
                  </w:r>
                  <w:r>
                    <w:rPr>
                      <w:color w:val="auto"/>
                      <w:szCs w:val="21"/>
                      <w:highlight w:val="none"/>
                    </w:rPr>
                    <w:t>类标准。</w:t>
                  </w:r>
                  <w:r>
                    <w:rPr>
                      <w:color w:val="auto"/>
                      <w:kern w:val="0"/>
                      <w:szCs w:val="21"/>
                      <w:highlight w:val="none"/>
                    </w:rPr>
                    <w:t>该项目所排放的污染物对周围环境的影响较小</w:t>
                  </w:r>
                  <w:r>
                    <w:rPr>
                      <w:color w:val="auto"/>
                      <w:highlight w:val="none"/>
                    </w:rPr>
                    <w:t>，满足环境质量底线要求。</w:t>
                  </w:r>
                </w:p>
              </w:tc>
              <w:tc>
                <w:tcPr>
                  <w:tcW w:w="481" w:type="pct"/>
                  <w:tcBorders>
                    <w:tl2br w:val="nil"/>
                    <w:tr2bl w:val="nil"/>
                  </w:tcBorders>
                  <w:vAlign w:val="center"/>
                </w:tcPr>
                <w:p w14:paraId="4DDF3D8E">
                  <w:pPr>
                    <w:topLinePunct/>
                    <w:jc w:val="center"/>
                    <w:rPr>
                      <w:color w:val="auto"/>
                      <w:szCs w:val="21"/>
                    </w:rPr>
                  </w:pPr>
                  <w:r>
                    <w:rPr>
                      <w:color w:val="auto"/>
                      <w:szCs w:val="21"/>
                    </w:rPr>
                    <w:t>符合</w:t>
                  </w:r>
                </w:p>
              </w:tc>
            </w:tr>
            <w:tr w14:paraId="62DD11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3" w:type="pct"/>
                  <w:gridSpan w:val="2"/>
                  <w:vMerge w:val="continue"/>
                  <w:tcBorders>
                    <w:tl2br w:val="nil"/>
                    <w:tr2bl w:val="nil"/>
                  </w:tcBorders>
                  <w:vAlign w:val="center"/>
                </w:tcPr>
                <w:p w14:paraId="7DFB51CD">
                  <w:pPr>
                    <w:topLinePunct/>
                    <w:jc w:val="center"/>
                    <w:rPr>
                      <w:color w:val="auto"/>
                      <w:szCs w:val="21"/>
                      <w:highlight w:val="yellow"/>
                    </w:rPr>
                  </w:pPr>
                </w:p>
              </w:tc>
              <w:tc>
                <w:tcPr>
                  <w:tcW w:w="2194" w:type="pct"/>
                  <w:tcBorders>
                    <w:tl2br w:val="nil"/>
                    <w:tr2bl w:val="nil"/>
                  </w:tcBorders>
                  <w:vAlign w:val="center"/>
                </w:tcPr>
                <w:p w14:paraId="2D7E28AC">
                  <w:pPr>
                    <w:topLinePunct/>
                    <w:jc w:val="center"/>
                    <w:rPr>
                      <w:color w:val="auto"/>
                      <w:szCs w:val="21"/>
                      <w:highlight w:val="yellow"/>
                    </w:rPr>
                  </w:pPr>
                  <w:r>
                    <w:rPr>
                      <w:color w:val="auto"/>
                      <w:szCs w:val="21"/>
                    </w:rPr>
                    <w:t>大气环境质量持续改善，全市PM</w:t>
                  </w:r>
                  <w:r>
                    <w:rPr>
                      <w:color w:val="auto"/>
                      <w:szCs w:val="21"/>
                      <w:vertAlign w:val="subscript"/>
                    </w:rPr>
                    <w:t>2.5</w:t>
                  </w:r>
                  <w:r>
                    <w:rPr>
                      <w:color w:val="auto"/>
                      <w:szCs w:val="21"/>
                    </w:rPr>
                    <w:t>浓度不高于48μg/m</w:t>
                  </w:r>
                  <w:r>
                    <w:rPr>
                      <w:color w:val="auto"/>
                      <w:szCs w:val="21"/>
                      <w:vertAlign w:val="superscript"/>
                    </w:rPr>
                    <w:t>3</w:t>
                  </w:r>
                  <w:r>
                    <w:rPr>
                      <w:color w:val="auto"/>
                      <w:szCs w:val="21"/>
                    </w:rPr>
                    <w:t>，空气质量优良天数比率不低于70%，臭氧污染得到有效遏制，重度及以上污染天数比率在2020年的基础上持续下降。</w:t>
                  </w:r>
                </w:p>
              </w:tc>
              <w:tc>
                <w:tcPr>
                  <w:tcW w:w="1690" w:type="pct"/>
                  <w:tcBorders>
                    <w:tl2br w:val="nil"/>
                    <w:tr2bl w:val="nil"/>
                  </w:tcBorders>
                  <w:vAlign w:val="center"/>
                </w:tcPr>
                <w:p w14:paraId="5BEB2A6C">
                  <w:pPr>
                    <w:topLinePunct/>
                    <w:rPr>
                      <w:color w:val="auto"/>
                      <w:szCs w:val="21"/>
                      <w:highlight w:val="yellow"/>
                    </w:rPr>
                  </w:pPr>
                  <w:r>
                    <w:rPr>
                      <w:color w:val="auto"/>
                      <w:szCs w:val="21"/>
                    </w:rPr>
                    <w:t>本项目所在区域大气环境质量不满足《环境空气质量标准》(GB3095-20</w:t>
                  </w:r>
                  <w:r>
                    <w:rPr>
                      <w:rFonts w:hint="eastAsia"/>
                      <w:color w:val="auto"/>
                      <w:szCs w:val="21"/>
                      <w:lang w:val="en-US" w:eastAsia="zh-CN"/>
                    </w:rPr>
                    <w:t>26</w:t>
                  </w:r>
                  <w:r>
                    <w:rPr>
                      <w:color w:val="auto"/>
                      <w:szCs w:val="21"/>
                    </w:rPr>
                    <w:t>)</w:t>
                  </w:r>
                  <w:r>
                    <w:rPr>
                      <w:rFonts w:hint="eastAsia"/>
                      <w:bCs/>
                      <w:color w:val="auto"/>
                      <w:szCs w:val="21"/>
                      <w:highlight w:val="none"/>
                      <w:lang w:eastAsia="zh-CN"/>
                    </w:rPr>
                    <w:t>过渡阶段</w:t>
                  </w:r>
                  <w:r>
                    <w:rPr>
                      <w:color w:val="auto"/>
                      <w:szCs w:val="21"/>
                    </w:rPr>
                    <w:t>二级标准，淄博市经开区已采取相关措施，该区域大气环境质量已日趋改善，项目废气进行达标排放。</w:t>
                  </w:r>
                </w:p>
              </w:tc>
              <w:tc>
                <w:tcPr>
                  <w:tcW w:w="481" w:type="pct"/>
                  <w:tcBorders>
                    <w:tl2br w:val="nil"/>
                    <w:tr2bl w:val="nil"/>
                  </w:tcBorders>
                  <w:vAlign w:val="center"/>
                </w:tcPr>
                <w:p w14:paraId="67C74633">
                  <w:pPr>
                    <w:topLinePunct/>
                    <w:jc w:val="center"/>
                    <w:rPr>
                      <w:color w:val="auto"/>
                      <w:szCs w:val="21"/>
                      <w:highlight w:val="yellow"/>
                    </w:rPr>
                  </w:pPr>
                  <w:r>
                    <w:rPr>
                      <w:color w:val="auto"/>
                      <w:szCs w:val="21"/>
                    </w:rPr>
                    <w:t>符合</w:t>
                  </w:r>
                </w:p>
              </w:tc>
            </w:tr>
            <w:tr w14:paraId="7E012D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000" w:type="pct"/>
                  <w:gridSpan w:val="5"/>
                  <w:tcBorders>
                    <w:tl2br w:val="nil"/>
                    <w:tr2bl w:val="nil"/>
                  </w:tcBorders>
                  <w:vAlign w:val="center"/>
                </w:tcPr>
                <w:p w14:paraId="5607A2E6">
                  <w:pPr>
                    <w:topLinePunct/>
                    <w:jc w:val="center"/>
                    <w:rPr>
                      <w:color w:val="auto"/>
                      <w:szCs w:val="21"/>
                      <w:highlight w:val="yellow"/>
                    </w:rPr>
                  </w:pPr>
                  <w:r>
                    <w:rPr>
                      <w:b/>
                      <w:bCs/>
                      <w:color w:val="auto"/>
                      <w:szCs w:val="21"/>
                    </w:rPr>
                    <w:t>3.资源利用上线</w:t>
                  </w:r>
                </w:p>
              </w:tc>
            </w:tr>
            <w:tr w14:paraId="17564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33" w:type="pct"/>
                  <w:gridSpan w:val="2"/>
                  <w:tcBorders>
                    <w:tl2br w:val="nil"/>
                    <w:tr2bl w:val="nil"/>
                  </w:tcBorders>
                  <w:vAlign w:val="center"/>
                </w:tcPr>
                <w:p w14:paraId="0E468F3A">
                  <w:pPr>
                    <w:topLinePunct/>
                    <w:jc w:val="center"/>
                    <w:rPr>
                      <w:color w:val="auto"/>
                      <w:szCs w:val="21"/>
                    </w:rPr>
                  </w:pPr>
                  <w:r>
                    <w:rPr>
                      <w:color w:val="auto"/>
                      <w:szCs w:val="21"/>
                    </w:rPr>
                    <w:t>资源利用上线主要目标</w:t>
                  </w:r>
                </w:p>
              </w:tc>
              <w:tc>
                <w:tcPr>
                  <w:tcW w:w="2194" w:type="pct"/>
                  <w:tcBorders>
                    <w:tl2br w:val="nil"/>
                    <w:tr2bl w:val="nil"/>
                  </w:tcBorders>
                  <w:vAlign w:val="center"/>
                </w:tcPr>
                <w:p w14:paraId="43F16CD3">
                  <w:pPr>
                    <w:topLinePunct/>
                    <w:jc w:val="center"/>
                    <w:rPr>
                      <w:color w:val="auto"/>
                      <w:szCs w:val="21"/>
                    </w:rPr>
                  </w:pPr>
                  <w:r>
                    <w:rPr>
                      <w:color w:val="auto"/>
                      <w:szCs w:val="21"/>
                    </w:rPr>
                    <w:t>强化节约集约利用，持续提升资源能源利用效率，水资源利用、土地资源利用、能源消耗等达到省下达的总量和强度控制目标。优化调整能源结构，实施煤炭消费减量替代和能源消费总量控制，能源消费总量完成省下达任务，煤炭消费量实现负增长，进一步降低万元国内生产总值能耗，严格落实高污染燃料禁燃区管控要求，加快清洁能源、新能源和可再生能源推广利用。建立最严格的水资源管理制度，强化水资源刚性约束。推进各领域节约用水，农田灌溉水有效利用系数、再生水规模逐年提高，万元国内生产总值用水量、万元工业增加值用水量等用水效率指标在2020年基础上持续下降，确保完成用水总量控制指标；优化建设用地结构和布局，严控总量、盘活存量，控制国土空间开发强度。确保耕地保有量，从严管控非农建设占用永久基本农田，守住永久基本农田控制线。全力做好河湖岸线保护，优先实施防洪护岸、河道治理等公共安全及公众利益的建设项目，依法依规开展桥梁、码头、取水工程等项目建设。</w:t>
                  </w:r>
                </w:p>
              </w:tc>
              <w:tc>
                <w:tcPr>
                  <w:tcW w:w="1690" w:type="pct"/>
                  <w:tcBorders>
                    <w:tl2br w:val="nil"/>
                    <w:tr2bl w:val="nil"/>
                  </w:tcBorders>
                  <w:vAlign w:val="center"/>
                </w:tcPr>
                <w:p w14:paraId="1FE8C2CE">
                  <w:pPr>
                    <w:topLinePunct/>
                    <w:rPr>
                      <w:color w:val="auto"/>
                      <w:szCs w:val="21"/>
                    </w:rPr>
                  </w:pPr>
                  <w:r>
                    <w:rPr>
                      <w:color w:val="auto"/>
                      <w:szCs w:val="21"/>
                    </w:rPr>
                    <w:t>拟建项目所用资源主要为水、电，项目用水由市政自来水管网提供；项目供电由市政电网供给。项目资源利用量相对于区域资源利用总量较少，符合资源利用上线的要求。</w:t>
                  </w:r>
                </w:p>
              </w:tc>
              <w:tc>
                <w:tcPr>
                  <w:tcW w:w="481" w:type="pct"/>
                  <w:tcBorders>
                    <w:tl2br w:val="nil"/>
                    <w:tr2bl w:val="nil"/>
                  </w:tcBorders>
                  <w:vAlign w:val="center"/>
                </w:tcPr>
                <w:p w14:paraId="3F861EBF">
                  <w:pPr>
                    <w:topLinePunct/>
                    <w:jc w:val="center"/>
                    <w:rPr>
                      <w:color w:val="auto"/>
                      <w:szCs w:val="21"/>
                    </w:rPr>
                  </w:pPr>
                  <w:r>
                    <w:rPr>
                      <w:color w:val="auto"/>
                      <w:szCs w:val="21"/>
                    </w:rPr>
                    <w:t>符合</w:t>
                  </w:r>
                </w:p>
              </w:tc>
            </w:tr>
            <w:tr w14:paraId="5EAF0B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5000" w:type="pct"/>
                  <w:gridSpan w:val="5"/>
                  <w:tcBorders>
                    <w:tl2br w:val="nil"/>
                    <w:tr2bl w:val="nil"/>
                  </w:tcBorders>
                  <w:vAlign w:val="center"/>
                </w:tcPr>
                <w:p w14:paraId="648508CA">
                  <w:pPr>
                    <w:topLinePunct/>
                    <w:jc w:val="center"/>
                    <w:rPr>
                      <w:b/>
                      <w:bCs/>
                      <w:color w:val="auto"/>
                      <w:szCs w:val="21"/>
                    </w:rPr>
                  </w:pPr>
                  <w:r>
                    <w:rPr>
                      <w:b/>
                      <w:bCs/>
                      <w:color w:val="auto"/>
                      <w:szCs w:val="21"/>
                    </w:rPr>
                    <w:t>4.生态环境准入清单</w:t>
                  </w:r>
                </w:p>
              </w:tc>
            </w:tr>
            <w:tr w14:paraId="06CC0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tcBorders>
                    <w:tl2br w:val="nil"/>
                    <w:tr2bl w:val="nil"/>
                  </w:tcBorders>
                  <w:vAlign w:val="center"/>
                </w:tcPr>
                <w:p w14:paraId="7C4780C8">
                  <w:pPr>
                    <w:topLinePunct/>
                    <w:jc w:val="center"/>
                    <w:rPr>
                      <w:b/>
                      <w:bCs/>
                      <w:color w:val="auto"/>
                      <w:szCs w:val="21"/>
                    </w:rPr>
                  </w:pPr>
                  <w:r>
                    <w:rPr>
                      <w:b/>
                      <w:bCs/>
                      <w:color w:val="auto"/>
                      <w:szCs w:val="21"/>
                    </w:rPr>
                    <w:t>《淄博市2023年生态环境分区管控成果动态更新项目生态环境准入清单》文件要求</w:t>
                  </w:r>
                </w:p>
              </w:tc>
              <w:tc>
                <w:tcPr>
                  <w:tcW w:w="1690" w:type="pct"/>
                  <w:tcBorders>
                    <w:tl2br w:val="nil"/>
                    <w:tr2bl w:val="nil"/>
                  </w:tcBorders>
                  <w:vAlign w:val="center"/>
                </w:tcPr>
                <w:p w14:paraId="5E24660D">
                  <w:pPr>
                    <w:topLinePunct/>
                    <w:jc w:val="center"/>
                    <w:rPr>
                      <w:b/>
                      <w:bCs/>
                      <w:color w:val="auto"/>
                      <w:szCs w:val="21"/>
                    </w:rPr>
                  </w:pPr>
                  <w:r>
                    <w:rPr>
                      <w:b/>
                      <w:bCs/>
                      <w:color w:val="auto"/>
                      <w:szCs w:val="21"/>
                    </w:rPr>
                    <w:t>本项目实际情况</w:t>
                  </w:r>
                </w:p>
              </w:tc>
              <w:tc>
                <w:tcPr>
                  <w:tcW w:w="481" w:type="pct"/>
                  <w:tcBorders>
                    <w:tl2br w:val="nil"/>
                    <w:tr2bl w:val="nil"/>
                  </w:tcBorders>
                  <w:vAlign w:val="center"/>
                </w:tcPr>
                <w:p w14:paraId="356BE20E">
                  <w:pPr>
                    <w:topLinePunct/>
                    <w:jc w:val="center"/>
                    <w:rPr>
                      <w:b/>
                      <w:bCs/>
                      <w:color w:val="auto"/>
                      <w:szCs w:val="21"/>
                    </w:rPr>
                  </w:pPr>
                  <w:r>
                    <w:rPr>
                      <w:b/>
                      <w:bCs/>
                      <w:color w:val="auto"/>
                      <w:szCs w:val="21"/>
                    </w:rPr>
                    <w:t>符合性</w:t>
                  </w:r>
                </w:p>
              </w:tc>
            </w:tr>
            <w:tr w14:paraId="2E5B1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restart"/>
                  <w:tcBorders>
                    <w:tl2br w:val="nil"/>
                    <w:tr2bl w:val="nil"/>
                  </w:tcBorders>
                  <w:vAlign w:val="center"/>
                </w:tcPr>
                <w:p w14:paraId="5CD0D500">
                  <w:pPr>
                    <w:topLinePunct/>
                    <w:jc w:val="center"/>
                    <w:rPr>
                      <w:color w:val="auto"/>
                      <w:szCs w:val="21"/>
                    </w:rPr>
                  </w:pPr>
                  <w:r>
                    <w:rPr>
                      <w:color w:val="auto"/>
                      <w:szCs w:val="21"/>
                    </w:rPr>
                    <w:t>沣水镇一般管控单元</w:t>
                  </w:r>
                </w:p>
              </w:tc>
              <w:tc>
                <w:tcPr>
                  <w:tcW w:w="322" w:type="pct"/>
                  <w:vMerge w:val="restart"/>
                  <w:tcBorders>
                    <w:tl2br w:val="nil"/>
                    <w:tr2bl w:val="nil"/>
                  </w:tcBorders>
                  <w:vAlign w:val="center"/>
                </w:tcPr>
                <w:p w14:paraId="528854B0">
                  <w:pPr>
                    <w:topLinePunct/>
                    <w:jc w:val="center"/>
                    <w:rPr>
                      <w:color w:val="auto"/>
                      <w:szCs w:val="21"/>
                    </w:rPr>
                  </w:pPr>
                  <w:r>
                    <w:rPr>
                      <w:color w:val="auto"/>
                      <w:szCs w:val="21"/>
                    </w:rPr>
                    <w:t>空间布局约束</w:t>
                  </w:r>
                </w:p>
              </w:tc>
              <w:tc>
                <w:tcPr>
                  <w:tcW w:w="2194" w:type="pct"/>
                  <w:tcBorders>
                    <w:tl2br w:val="nil"/>
                    <w:tr2bl w:val="nil"/>
                  </w:tcBorders>
                  <w:vAlign w:val="center"/>
                </w:tcPr>
                <w:p w14:paraId="5325CF29">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tcBorders>
                    <w:tl2br w:val="nil"/>
                    <w:tr2bl w:val="nil"/>
                  </w:tcBorders>
                  <w:vAlign w:val="center"/>
                </w:tcPr>
                <w:p w14:paraId="6C892EF5">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tcBorders>
                    <w:tl2br w:val="nil"/>
                    <w:tr2bl w:val="nil"/>
                  </w:tcBorders>
                  <w:vAlign w:val="center"/>
                </w:tcPr>
                <w:p w14:paraId="65DB6FC0">
                  <w:pPr>
                    <w:topLinePunct/>
                    <w:jc w:val="center"/>
                    <w:rPr>
                      <w:color w:val="auto"/>
                      <w:szCs w:val="21"/>
                    </w:rPr>
                  </w:pPr>
                  <w:r>
                    <w:rPr>
                      <w:color w:val="auto"/>
                      <w:szCs w:val="21"/>
                    </w:rPr>
                    <w:t>符合</w:t>
                  </w:r>
                </w:p>
              </w:tc>
            </w:tr>
            <w:tr w14:paraId="79998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tcBorders>
                    <w:tl2br w:val="nil"/>
                    <w:tr2bl w:val="nil"/>
                  </w:tcBorders>
                  <w:vAlign w:val="center"/>
                </w:tcPr>
                <w:p w14:paraId="77A55CA3">
                  <w:pPr>
                    <w:topLinePunct/>
                    <w:jc w:val="center"/>
                    <w:rPr>
                      <w:color w:val="auto"/>
                      <w:szCs w:val="21"/>
                      <w:highlight w:val="yellow"/>
                    </w:rPr>
                  </w:pPr>
                </w:p>
              </w:tc>
              <w:tc>
                <w:tcPr>
                  <w:tcW w:w="322" w:type="pct"/>
                  <w:vMerge w:val="continue"/>
                  <w:tcBorders>
                    <w:tl2br w:val="nil"/>
                    <w:tr2bl w:val="nil"/>
                  </w:tcBorders>
                  <w:vAlign w:val="center"/>
                </w:tcPr>
                <w:p w14:paraId="1DDFD66C">
                  <w:pPr>
                    <w:topLinePunct/>
                    <w:jc w:val="center"/>
                    <w:rPr>
                      <w:color w:val="auto"/>
                      <w:szCs w:val="21"/>
                    </w:rPr>
                  </w:pPr>
                </w:p>
              </w:tc>
              <w:tc>
                <w:tcPr>
                  <w:tcW w:w="2194" w:type="pct"/>
                  <w:tcBorders>
                    <w:tl2br w:val="nil"/>
                    <w:tr2bl w:val="nil"/>
                  </w:tcBorders>
                  <w:vAlign w:val="center"/>
                </w:tcPr>
                <w:p w14:paraId="2F31B4CB">
                  <w:pPr>
                    <w:topLinePunct/>
                    <w:jc w:val="center"/>
                    <w:rPr>
                      <w:color w:val="auto"/>
                      <w:szCs w:val="21"/>
                    </w:rPr>
                  </w:pPr>
                  <w:r>
                    <w:rPr>
                      <w:color w:val="auto"/>
                      <w:szCs w:val="21"/>
                    </w:rPr>
                    <w:t>2.按照省市要求，严格控制“两高”项目，新建“两高”项目实行“五个减量替代”。</w:t>
                  </w:r>
                </w:p>
              </w:tc>
              <w:tc>
                <w:tcPr>
                  <w:tcW w:w="1690" w:type="pct"/>
                  <w:tcBorders>
                    <w:tl2br w:val="nil"/>
                    <w:tr2bl w:val="nil"/>
                  </w:tcBorders>
                  <w:vAlign w:val="center"/>
                </w:tcPr>
                <w:p w14:paraId="20F19522">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tcBorders>
                    <w:tl2br w:val="nil"/>
                    <w:tr2bl w:val="nil"/>
                  </w:tcBorders>
                  <w:vAlign w:val="center"/>
                </w:tcPr>
                <w:p w14:paraId="6EF2F478">
                  <w:pPr>
                    <w:topLinePunct/>
                    <w:jc w:val="center"/>
                    <w:rPr>
                      <w:color w:val="auto"/>
                      <w:szCs w:val="21"/>
                    </w:rPr>
                  </w:pPr>
                  <w:r>
                    <w:rPr>
                      <w:color w:val="auto"/>
                      <w:szCs w:val="21"/>
                    </w:rPr>
                    <w:t>符合</w:t>
                  </w:r>
                </w:p>
              </w:tc>
            </w:tr>
            <w:tr w14:paraId="37D5A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68" w:hRule="atLeast"/>
                <w:jc w:val="center"/>
              </w:trPr>
              <w:tc>
                <w:tcPr>
                  <w:tcW w:w="310" w:type="pct"/>
                  <w:vMerge w:val="continue"/>
                  <w:tcBorders>
                    <w:tl2br w:val="nil"/>
                    <w:tr2bl w:val="nil"/>
                  </w:tcBorders>
                  <w:vAlign w:val="center"/>
                </w:tcPr>
                <w:p w14:paraId="11A3342E">
                  <w:pPr>
                    <w:topLinePunct/>
                    <w:jc w:val="center"/>
                    <w:rPr>
                      <w:color w:val="auto"/>
                      <w:szCs w:val="21"/>
                      <w:highlight w:val="yellow"/>
                    </w:rPr>
                  </w:pPr>
                </w:p>
              </w:tc>
              <w:tc>
                <w:tcPr>
                  <w:tcW w:w="322" w:type="pct"/>
                  <w:vMerge w:val="continue"/>
                  <w:tcBorders>
                    <w:tl2br w:val="nil"/>
                    <w:tr2bl w:val="nil"/>
                  </w:tcBorders>
                  <w:vAlign w:val="center"/>
                </w:tcPr>
                <w:p w14:paraId="3D157080">
                  <w:pPr>
                    <w:topLinePunct/>
                    <w:jc w:val="center"/>
                    <w:rPr>
                      <w:color w:val="auto"/>
                      <w:szCs w:val="21"/>
                    </w:rPr>
                  </w:pPr>
                </w:p>
              </w:tc>
              <w:tc>
                <w:tcPr>
                  <w:tcW w:w="2194" w:type="pct"/>
                  <w:tcBorders>
                    <w:tl2br w:val="nil"/>
                    <w:tr2bl w:val="nil"/>
                  </w:tcBorders>
                  <w:vAlign w:val="center"/>
                </w:tcPr>
                <w:p w14:paraId="7A89A348">
                  <w:pPr>
                    <w:topLinePunct/>
                    <w:jc w:val="center"/>
                    <w:rPr>
                      <w:color w:val="auto"/>
                      <w:szCs w:val="21"/>
                    </w:rPr>
                  </w:pPr>
                  <w:r>
                    <w:rPr>
                      <w:color w:val="auto"/>
                      <w:szCs w:val="21"/>
                    </w:rPr>
                    <w:t>3.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0" w:type="pct"/>
                  <w:tcBorders>
                    <w:tl2br w:val="nil"/>
                    <w:tr2bl w:val="nil"/>
                  </w:tcBorders>
                  <w:vAlign w:val="center"/>
                </w:tcPr>
                <w:p w14:paraId="0D49F79F">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项目，不属于上述行业，不占用永久基本农田。</w:t>
                  </w:r>
                </w:p>
              </w:tc>
              <w:tc>
                <w:tcPr>
                  <w:tcW w:w="481" w:type="pct"/>
                  <w:tcBorders>
                    <w:tl2br w:val="nil"/>
                    <w:tr2bl w:val="nil"/>
                  </w:tcBorders>
                  <w:vAlign w:val="center"/>
                </w:tcPr>
                <w:p w14:paraId="69AD48FB">
                  <w:pPr>
                    <w:topLinePunct/>
                    <w:jc w:val="center"/>
                    <w:rPr>
                      <w:color w:val="auto"/>
                      <w:szCs w:val="21"/>
                    </w:rPr>
                  </w:pPr>
                  <w:r>
                    <w:rPr>
                      <w:color w:val="auto"/>
                      <w:szCs w:val="21"/>
                    </w:rPr>
                    <w:t>符合</w:t>
                  </w:r>
                </w:p>
              </w:tc>
            </w:tr>
            <w:tr w14:paraId="439A3A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58" w:hRule="atLeast"/>
                <w:jc w:val="center"/>
              </w:trPr>
              <w:tc>
                <w:tcPr>
                  <w:tcW w:w="310" w:type="pct"/>
                  <w:vMerge w:val="continue"/>
                  <w:tcBorders>
                    <w:tl2br w:val="nil"/>
                    <w:tr2bl w:val="nil"/>
                  </w:tcBorders>
                  <w:vAlign w:val="center"/>
                </w:tcPr>
                <w:p w14:paraId="1A08D1EE">
                  <w:pPr>
                    <w:topLinePunct/>
                    <w:jc w:val="center"/>
                    <w:rPr>
                      <w:color w:val="auto"/>
                      <w:szCs w:val="21"/>
                    </w:rPr>
                  </w:pPr>
                </w:p>
              </w:tc>
              <w:tc>
                <w:tcPr>
                  <w:tcW w:w="322" w:type="pct"/>
                  <w:vMerge w:val="continue"/>
                  <w:tcBorders>
                    <w:tl2br w:val="nil"/>
                    <w:tr2bl w:val="nil"/>
                  </w:tcBorders>
                  <w:vAlign w:val="center"/>
                </w:tcPr>
                <w:p w14:paraId="5F6A610A">
                  <w:pPr>
                    <w:topLinePunct/>
                    <w:jc w:val="center"/>
                    <w:rPr>
                      <w:color w:val="auto"/>
                      <w:szCs w:val="21"/>
                    </w:rPr>
                  </w:pPr>
                </w:p>
              </w:tc>
              <w:tc>
                <w:tcPr>
                  <w:tcW w:w="2194" w:type="pct"/>
                  <w:tcBorders>
                    <w:tl2br w:val="nil"/>
                    <w:tr2bl w:val="nil"/>
                  </w:tcBorders>
                  <w:vAlign w:val="center"/>
                </w:tcPr>
                <w:p w14:paraId="0F19A4B6">
                  <w:pPr>
                    <w:topLinePunct/>
                    <w:jc w:val="center"/>
                    <w:rPr>
                      <w:color w:val="auto"/>
                      <w:szCs w:val="21"/>
                      <w:highlight w:val="none"/>
                    </w:rPr>
                  </w:pPr>
                  <w:r>
                    <w:rPr>
                      <w:color w:val="auto"/>
                      <w:szCs w:val="21"/>
                      <w:highlight w:val="none"/>
                    </w:rPr>
                    <w:t>4.大气布局敏感区从严新建、扩建排放大气污染物的工业项目；科学合理规划布局商业、居住并严格执行。</w:t>
                  </w:r>
                </w:p>
              </w:tc>
              <w:tc>
                <w:tcPr>
                  <w:tcW w:w="1690" w:type="pct"/>
                  <w:tcBorders>
                    <w:tl2br w:val="nil"/>
                    <w:tr2bl w:val="nil"/>
                  </w:tcBorders>
                  <w:vAlign w:val="center"/>
                </w:tcPr>
                <w:p w14:paraId="65D0990E">
                  <w:pPr>
                    <w:adjustRightInd w:val="0"/>
                    <w:snapToGrid w:val="0"/>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bCs/>
                      <w:color w:val="auto"/>
                      <w:szCs w:val="21"/>
                      <w:highlight w:val="none"/>
                    </w:rPr>
                    <w:t>施工扬尘采取洒水、设置围挡等措施；燃油机械及车辆产生的废气无组织排放，大型车辆安装尾气净化器；</w:t>
                  </w:r>
                  <w:r>
                    <w:rPr>
                      <w:color w:val="auto"/>
                      <w:highlight w:val="none"/>
                    </w:rPr>
                    <w:t>清淤工程采用</w:t>
                  </w:r>
                  <w:r>
                    <w:rPr>
                      <w:rFonts w:hint="eastAsia"/>
                      <w:color w:val="auto"/>
                      <w:highlight w:val="none"/>
                      <w:lang w:eastAsia="zh-CN"/>
                    </w:rPr>
                    <w:t>集中式</w:t>
                  </w:r>
                  <w:r>
                    <w:rPr>
                      <w:color w:val="auto"/>
                      <w:highlight w:val="none"/>
                    </w:rPr>
                    <w:t>施工方式，尽量缩短清淤施工时间，降低恶臭废气对周围环境影响。</w:t>
                  </w:r>
                </w:p>
              </w:tc>
              <w:tc>
                <w:tcPr>
                  <w:tcW w:w="481" w:type="pct"/>
                  <w:tcBorders>
                    <w:tl2br w:val="nil"/>
                    <w:tr2bl w:val="nil"/>
                  </w:tcBorders>
                  <w:vAlign w:val="center"/>
                </w:tcPr>
                <w:p w14:paraId="0E8C9E1B">
                  <w:pPr>
                    <w:topLinePunct/>
                    <w:jc w:val="center"/>
                    <w:rPr>
                      <w:color w:val="auto"/>
                      <w:szCs w:val="21"/>
                    </w:rPr>
                  </w:pPr>
                  <w:r>
                    <w:rPr>
                      <w:color w:val="auto"/>
                      <w:szCs w:val="21"/>
                    </w:rPr>
                    <w:t>符合</w:t>
                  </w:r>
                </w:p>
              </w:tc>
            </w:tr>
            <w:tr w14:paraId="1F0968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9" w:hRule="atLeast"/>
                <w:jc w:val="center"/>
              </w:trPr>
              <w:tc>
                <w:tcPr>
                  <w:tcW w:w="310" w:type="pct"/>
                  <w:vMerge w:val="continue"/>
                  <w:tcBorders>
                    <w:tl2br w:val="nil"/>
                    <w:tr2bl w:val="nil"/>
                  </w:tcBorders>
                  <w:vAlign w:val="center"/>
                </w:tcPr>
                <w:p w14:paraId="0EC2AE98">
                  <w:pPr>
                    <w:topLinePunct/>
                    <w:jc w:val="center"/>
                    <w:rPr>
                      <w:color w:val="auto"/>
                      <w:szCs w:val="21"/>
                      <w:highlight w:val="yellow"/>
                    </w:rPr>
                  </w:pPr>
                </w:p>
              </w:tc>
              <w:tc>
                <w:tcPr>
                  <w:tcW w:w="322" w:type="pct"/>
                  <w:vMerge w:val="continue"/>
                  <w:tcBorders>
                    <w:tl2br w:val="nil"/>
                    <w:tr2bl w:val="nil"/>
                  </w:tcBorders>
                  <w:vAlign w:val="center"/>
                </w:tcPr>
                <w:p w14:paraId="5DB0C73F">
                  <w:pPr>
                    <w:topLinePunct/>
                    <w:jc w:val="center"/>
                    <w:rPr>
                      <w:color w:val="auto"/>
                      <w:szCs w:val="21"/>
                    </w:rPr>
                  </w:pPr>
                </w:p>
              </w:tc>
              <w:tc>
                <w:tcPr>
                  <w:tcW w:w="2194" w:type="pct"/>
                  <w:tcBorders>
                    <w:tl2br w:val="nil"/>
                    <w:tr2bl w:val="nil"/>
                  </w:tcBorders>
                  <w:vAlign w:val="center"/>
                </w:tcPr>
                <w:p w14:paraId="61D8A768">
                  <w:pPr>
                    <w:topLinePunct/>
                    <w:jc w:val="center"/>
                    <w:rPr>
                      <w:color w:val="auto"/>
                      <w:szCs w:val="21"/>
                    </w:rPr>
                  </w:pPr>
                  <w:r>
                    <w:rPr>
                      <w:color w:val="auto"/>
                      <w:szCs w:val="21"/>
                    </w:rPr>
                    <w:t>5.污水处理设施不健全、未正常运行或污水管网未覆盖的地区，未配套污水处理设施的项目不得建设。</w:t>
                  </w:r>
                </w:p>
              </w:tc>
              <w:tc>
                <w:tcPr>
                  <w:tcW w:w="1690" w:type="pct"/>
                  <w:tcBorders>
                    <w:tl2br w:val="nil"/>
                    <w:tr2bl w:val="nil"/>
                  </w:tcBorders>
                  <w:vAlign w:val="center"/>
                </w:tcPr>
                <w:p w14:paraId="4F9B33B8">
                  <w:pPr>
                    <w:topLinePunct/>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tcBorders>
                    <w:tl2br w:val="nil"/>
                    <w:tr2bl w:val="nil"/>
                  </w:tcBorders>
                  <w:vAlign w:val="center"/>
                </w:tcPr>
                <w:p w14:paraId="101C0C1D">
                  <w:pPr>
                    <w:topLinePunct/>
                    <w:jc w:val="center"/>
                    <w:rPr>
                      <w:color w:val="auto"/>
                      <w:szCs w:val="21"/>
                    </w:rPr>
                  </w:pPr>
                  <w:r>
                    <w:rPr>
                      <w:color w:val="auto"/>
                      <w:szCs w:val="21"/>
                    </w:rPr>
                    <w:t>符合</w:t>
                  </w:r>
                </w:p>
              </w:tc>
            </w:tr>
            <w:tr w14:paraId="40E460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310" w:type="pct"/>
                  <w:vMerge w:val="continue"/>
                  <w:tcBorders>
                    <w:tl2br w:val="nil"/>
                    <w:tr2bl w:val="nil"/>
                  </w:tcBorders>
                  <w:vAlign w:val="center"/>
                </w:tcPr>
                <w:p w14:paraId="46EAECA2">
                  <w:pPr>
                    <w:topLinePunct/>
                    <w:jc w:val="center"/>
                    <w:rPr>
                      <w:color w:val="auto"/>
                      <w:szCs w:val="21"/>
                      <w:highlight w:val="yellow"/>
                    </w:rPr>
                  </w:pPr>
                </w:p>
              </w:tc>
              <w:tc>
                <w:tcPr>
                  <w:tcW w:w="322" w:type="pct"/>
                  <w:vMerge w:val="continue"/>
                  <w:tcBorders>
                    <w:tl2br w:val="nil"/>
                    <w:tr2bl w:val="nil"/>
                  </w:tcBorders>
                  <w:vAlign w:val="center"/>
                </w:tcPr>
                <w:p w14:paraId="3D84D81F">
                  <w:pPr>
                    <w:topLinePunct/>
                    <w:jc w:val="center"/>
                    <w:rPr>
                      <w:color w:val="auto"/>
                      <w:szCs w:val="21"/>
                    </w:rPr>
                  </w:pPr>
                </w:p>
              </w:tc>
              <w:tc>
                <w:tcPr>
                  <w:tcW w:w="2194" w:type="pct"/>
                  <w:tcBorders>
                    <w:tl2br w:val="nil"/>
                    <w:tr2bl w:val="nil"/>
                  </w:tcBorders>
                  <w:vAlign w:val="center"/>
                </w:tcPr>
                <w:p w14:paraId="2C63EBDD">
                  <w:pPr>
                    <w:topLinePunct/>
                    <w:jc w:val="center"/>
                    <w:rPr>
                      <w:color w:val="auto"/>
                      <w:szCs w:val="21"/>
                    </w:rPr>
                  </w:pPr>
                  <w:r>
                    <w:rPr>
                      <w:color w:val="auto"/>
                      <w:szCs w:val="21"/>
                    </w:rPr>
                    <w:t>6.新建有污染物排放的工业项目，除在安全生产等方面有特殊要求的以外，应当进入工业园区或工业聚集区。</w:t>
                  </w:r>
                </w:p>
              </w:tc>
              <w:tc>
                <w:tcPr>
                  <w:tcW w:w="1690" w:type="pct"/>
                  <w:tcBorders>
                    <w:tl2br w:val="nil"/>
                    <w:tr2bl w:val="nil"/>
                  </w:tcBorders>
                  <w:vAlign w:val="center"/>
                </w:tcPr>
                <w:p w14:paraId="105C4585">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tcBorders>
                    <w:tl2br w:val="nil"/>
                    <w:tr2bl w:val="nil"/>
                  </w:tcBorders>
                  <w:vAlign w:val="center"/>
                </w:tcPr>
                <w:p w14:paraId="3EE3B6B0">
                  <w:pPr>
                    <w:topLinePunct/>
                    <w:jc w:val="center"/>
                    <w:rPr>
                      <w:color w:val="auto"/>
                      <w:szCs w:val="21"/>
                    </w:rPr>
                  </w:pPr>
                  <w:r>
                    <w:rPr>
                      <w:color w:val="auto"/>
                      <w:szCs w:val="21"/>
                    </w:rPr>
                    <w:t>符合</w:t>
                  </w:r>
                </w:p>
              </w:tc>
            </w:tr>
            <w:tr w14:paraId="7032D9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0" w:type="pct"/>
                  <w:vMerge w:val="continue"/>
                  <w:tcBorders>
                    <w:tl2br w:val="nil"/>
                    <w:tr2bl w:val="nil"/>
                  </w:tcBorders>
                  <w:vAlign w:val="center"/>
                </w:tcPr>
                <w:p w14:paraId="145E4F94">
                  <w:pPr>
                    <w:topLinePunct/>
                    <w:jc w:val="center"/>
                    <w:rPr>
                      <w:color w:val="auto"/>
                      <w:szCs w:val="21"/>
                      <w:highlight w:val="yellow"/>
                    </w:rPr>
                  </w:pPr>
                </w:p>
              </w:tc>
              <w:tc>
                <w:tcPr>
                  <w:tcW w:w="322" w:type="pct"/>
                  <w:vMerge w:val="restart"/>
                  <w:tcBorders>
                    <w:tl2br w:val="nil"/>
                    <w:tr2bl w:val="nil"/>
                  </w:tcBorders>
                  <w:vAlign w:val="center"/>
                </w:tcPr>
                <w:p w14:paraId="011F9C1D">
                  <w:pPr>
                    <w:topLinePunct/>
                    <w:jc w:val="center"/>
                    <w:rPr>
                      <w:color w:val="auto"/>
                      <w:szCs w:val="21"/>
                    </w:rPr>
                  </w:pPr>
                  <w:r>
                    <w:rPr>
                      <w:color w:val="auto"/>
                      <w:szCs w:val="21"/>
                    </w:rPr>
                    <w:t>污染物排放管控</w:t>
                  </w:r>
                </w:p>
              </w:tc>
              <w:tc>
                <w:tcPr>
                  <w:tcW w:w="2194" w:type="pct"/>
                  <w:tcBorders>
                    <w:tl2br w:val="nil"/>
                    <w:tr2bl w:val="nil"/>
                  </w:tcBorders>
                  <w:vAlign w:val="center"/>
                </w:tcPr>
                <w:p w14:paraId="34B4B29E">
                  <w:pPr>
                    <w:topLinePunct/>
                    <w:jc w:val="center"/>
                    <w:rPr>
                      <w:color w:val="auto"/>
                      <w:szCs w:val="21"/>
                    </w:rPr>
                  </w:pPr>
                  <w:r>
                    <w:rPr>
                      <w:color w:val="auto"/>
                      <w:szCs w:val="21"/>
                    </w:rPr>
                    <w:t>1.涉“两高”项目企业应当积极实施节能改造提升，提高能源使用效率，推进节能减排。</w:t>
                  </w:r>
                </w:p>
              </w:tc>
              <w:tc>
                <w:tcPr>
                  <w:tcW w:w="1690" w:type="pct"/>
                  <w:tcBorders>
                    <w:tl2br w:val="nil"/>
                    <w:tr2bl w:val="nil"/>
                  </w:tcBorders>
                  <w:vAlign w:val="center"/>
                </w:tcPr>
                <w:p w14:paraId="13352614">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tcBorders>
                    <w:tl2br w:val="nil"/>
                    <w:tr2bl w:val="nil"/>
                  </w:tcBorders>
                  <w:vAlign w:val="center"/>
                </w:tcPr>
                <w:p w14:paraId="7902819A">
                  <w:pPr>
                    <w:topLinePunct/>
                    <w:jc w:val="center"/>
                    <w:rPr>
                      <w:color w:val="auto"/>
                      <w:szCs w:val="21"/>
                    </w:rPr>
                  </w:pPr>
                  <w:r>
                    <w:rPr>
                      <w:color w:val="auto"/>
                      <w:szCs w:val="21"/>
                    </w:rPr>
                    <w:t>符合</w:t>
                  </w:r>
                </w:p>
              </w:tc>
            </w:tr>
            <w:tr w14:paraId="23E79C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0" w:hRule="atLeast"/>
                <w:jc w:val="center"/>
              </w:trPr>
              <w:tc>
                <w:tcPr>
                  <w:tcW w:w="310" w:type="pct"/>
                  <w:vMerge w:val="continue"/>
                  <w:tcBorders>
                    <w:tl2br w:val="nil"/>
                    <w:tr2bl w:val="nil"/>
                  </w:tcBorders>
                  <w:vAlign w:val="center"/>
                </w:tcPr>
                <w:p w14:paraId="69C3A9D5">
                  <w:pPr>
                    <w:topLinePunct/>
                    <w:jc w:val="center"/>
                    <w:rPr>
                      <w:color w:val="auto"/>
                      <w:szCs w:val="21"/>
                      <w:highlight w:val="yellow"/>
                    </w:rPr>
                  </w:pPr>
                </w:p>
              </w:tc>
              <w:tc>
                <w:tcPr>
                  <w:tcW w:w="322" w:type="pct"/>
                  <w:vMerge w:val="continue"/>
                  <w:tcBorders>
                    <w:tl2br w:val="nil"/>
                    <w:tr2bl w:val="nil"/>
                  </w:tcBorders>
                  <w:vAlign w:val="center"/>
                </w:tcPr>
                <w:p w14:paraId="125739A8">
                  <w:pPr>
                    <w:topLinePunct/>
                    <w:jc w:val="center"/>
                    <w:rPr>
                      <w:color w:val="auto"/>
                      <w:szCs w:val="21"/>
                    </w:rPr>
                  </w:pPr>
                </w:p>
              </w:tc>
              <w:tc>
                <w:tcPr>
                  <w:tcW w:w="2194" w:type="pct"/>
                  <w:tcBorders>
                    <w:tl2br w:val="nil"/>
                    <w:tr2bl w:val="nil"/>
                  </w:tcBorders>
                  <w:vAlign w:val="center"/>
                </w:tcPr>
                <w:p w14:paraId="374B9D60">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tcBorders>
                    <w:tl2br w:val="nil"/>
                    <w:tr2bl w:val="nil"/>
                  </w:tcBorders>
                  <w:vAlign w:val="center"/>
                </w:tcPr>
                <w:p w14:paraId="6AE14051">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tcBorders>
                    <w:tl2br w:val="nil"/>
                    <w:tr2bl w:val="nil"/>
                  </w:tcBorders>
                  <w:vAlign w:val="center"/>
                </w:tcPr>
                <w:p w14:paraId="5E6D5876">
                  <w:pPr>
                    <w:topLinePunct/>
                    <w:jc w:val="center"/>
                    <w:rPr>
                      <w:color w:val="auto"/>
                      <w:szCs w:val="21"/>
                    </w:rPr>
                  </w:pPr>
                  <w:r>
                    <w:rPr>
                      <w:color w:val="auto"/>
                      <w:szCs w:val="21"/>
                    </w:rPr>
                    <w:t>符合</w:t>
                  </w:r>
                </w:p>
              </w:tc>
            </w:tr>
            <w:tr w14:paraId="3A31E3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33" w:hRule="atLeast"/>
                <w:jc w:val="center"/>
              </w:trPr>
              <w:tc>
                <w:tcPr>
                  <w:tcW w:w="310" w:type="pct"/>
                  <w:vMerge w:val="continue"/>
                  <w:tcBorders>
                    <w:tl2br w:val="nil"/>
                    <w:tr2bl w:val="nil"/>
                  </w:tcBorders>
                  <w:vAlign w:val="center"/>
                </w:tcPr>
                <w:p w14:paraId="076EC152">
                  <w:pPr>
                    <w:topLinePunct/>
                    <w:jc w:val="center"/>
                    <w:rPr>
                      <w:color w:val="auto"/>
                      <w:szCs w:val="21"/>
                      <w:highlight w:val="yellow"/>
                    </w:rPr>
                  </w:pPr>
                </w:p>
              </w:tc>
              <w:tc>
                <w:tcPr>
                  <w:tcW w:w="322" w:type="pct"/>
                  <w:vMerge w:val="continue"/>
                  <w:tcBorders>
                    <w:tl2br w:val="nil"/>
                    <w:tr2bl w:val="nil"/>
                  </w:tcBorders>
                  <w:vAlign w:val="center"/>
                </w:tcPr>
                <w:p w14:paraId="3EFB1B50">
                  <w:pPr>
                    <w:topLinePunct/>
                    <w:jc w:val="center"/>
                    <w:rPr>
                      <w:color w:val="auto"/>
                      <w:szCs w:val="21"/>
                    </w:rPr>
                  </w:pPr>
                </w:p>
              </w:tc>
              <w:tc>
                <w:tcPr>
                  <w:tcW w:w="2194" w:type="pct"/>
                  <w:tcBorders>
                    <w:tl2br w:val="nil"/>
                    <w:tr2bl w:val="nil"/>
                  </w:tcBorders>
                  <w:vAlign w:val="center"/>
                </w:tcPr>
                <w:p w14:paraId="4253B291">
                  <w:pPr>
                    <w:topLinePunct/>
                    <w:jc w:val="center"/>
                    <w:rPr>
                      <w:color w:val="auto"/>
                      <w:szCs w:val="21"/>
                    </w:rPr>
                  </w:pPr>
                  <w:r>
                    <w:rPr>
                      <w:color w:val="auto"/>
                      <w:szCs w:val="21"/>
                    </w:rPr>
                    <w:t>3.废水应当按照要求进行预处理，达到行业排放标准或是综合排放标准后方可排放。</w:t>
                  </w:r>
                </w:p>
              </w:tc>
              <w:tc>
                <w:tcPr>
                  <w:tcW w:w="1690" w:type="pct"/>
                  <w:tcBorders>
                    <w:tl2br w:val="nil"/>
                    <w:tr2bl w:val="nil"/>
                  </w:tcBorders>
                  <w:vAlign w:val="center"/>
                </w:tcPr>
                <w:p w14:paraId="1FF62ABC">
                  <w:pPr>
                    <w:topLinePunct/>
                    <w:jc w:val="center"/>
                    <w:rPr>
                      <w:color w:val="auto"/>
                      <w:szCs w:val="21"/>
                    </w:rPr>
                  </w:pP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tcBorders>
                    <w:tl2br w:val="nil"/>
                    <w:tr2bl w:val="nil"/>
                  </w:tcBorders>
                  <w:vAlign w:val="center"/>
                </w:tcPr>
                <w:p w14:paraId="41D241C4">
                  <w:pPr>
                    <w:topLinePunct/>
                    <w:jc w:val="center"/>
                    <w:rPr>
                      <w:color w:val="auto"/>
                      <w:szCs w:val="21"/>
                    </w:rPr>
                  </w:pPr>
                  <w:r>
                    <w:rPr>
                      <w:color w:val="auto"/>
                      <w:szCs w:val="21"/>
                    </w:rPr>
                    <w:t>符合</w:t>
                  </w:r>
                </w:p>
              </w:tc>
            </w:tr>
            <w:tr w14:paraId="64BE7A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310" w:type="pct"/>
                  <w:vMerge w:val="continue"/>
                  <w:tcBorders>
                    <w:tl2br w:val="nil"/>
                    <w:tr2bl w:val="nil"/>
                  </w:tcBorders>
                  <w:vAlign w:val="center"/>
                </w:tcPr>
                <w:p w14:paraId="26ECDEA6">
                  <w:pPr>
                    <w:topLinePunct/>
                    <w:jc w:val="center"/>
                    <w:rPr>
                      <w:color w:val="auto"/>
                      <w:szCs w:val="21"/>
                      <w:highlight w:val="yellow"/>
                    </w:rPr>
                  </w:pPr>
                </w:p>
              </w:tc>
              <w:tc>
                <w:tcPr>
                  <w:tcW w:w="322" w:type="pct"/>
                  <w:vMerge w:val="continue"/>
                  <w:tcBorders>
                    <w:tl2br w:val="nil"/>
                    <w:tr2bl w:val="nil"/>
                  </w:tcBorders>
                  <w:vAlign w:val="center"/>
                </w:tcPr>
                <w:p w14:paraId="68265B0C">
                  <w:pPr>
                    <w:topLinePunct/>
                    <w:jc w:val="center"/>
                    <w:rPr>
                      <w:color w:val="auto"/>
                      <w:szCs w:val="21"/>
                    </w:rPr>
                  </w:pPr>
                </w:p>
              </w:tc>
              <w:tc>
                <w:tcPr>
                  <w:tcW w:w="2194" w:type="pct"/>
                  <w:tcBorders>
                    <w:tl2br w:val="nil"/>
                    <w:tr2bl w:val="nil"/>
                  </w:tcBorders>
                  <w:vAlign w:val="center"/>
                </w:tcPr>
                <w:p w14:paraId="227FC5E9">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tcBorders>
                    <w:tl2br w:val="nil"/>
                    <w:tr2bl w:val="nil"/>
                  </w:tcBorders>
                  <w:vAlign w:val="center"/>
                </w:tcPr>
                <w:p w14:paraId="1AD83A5D">
                  <w:pPr>
                    <w:adjustRightInd w:val="0"/>
                    <w:snapToGrid w:val="0"/>
                    <w:jc w:val="center"/>
                    <w:rPr>
                      <w:color w:val="auto"/>
                      <w:szCs w:val="21"/>
                    </w:rPr>
                  </w:pPr>
                  <w:r>
                    <w:rPr>
                      <w:color w:val="auto"/>
                      <w:szCs w:val="21"/>
                    </w:rPr>
                    <w:t>本项目无废水外排，不新建入河排污口。</w:t>
                  </w:r>
                </w:p>
              </w:tc>
              <w:tc>
                <w:tcPr>
                  <w:tcW w:w="481" w:type="pct"/>
                  <w:tcBorders>
                    <w:tl2br w:val="nil"/>
                    <w:tr2bl w:val="nil"/>
                  </w:tcBorders>
                  <w:vAlign w:val="center"/>
                </w:tcPr>
                <w:p w14:paraId="7443B688">
                  <w:pPr>
                    <w:topLinePunct/>
                    <w:jc w:val="center"/>
                    <w:rPr>
                      <w:color w:val="auto"/>
                      <w:szCs w:val="21"/>
                    </w:rPr>
                  </w:pPr>
                  <w:r>
                    <w:rPr>
                      <w:color w:val="auto"/>
                      <w:szCs w:val="21"/>
                    </w:rPr>
                    <w:t>符合</w:t>
                  </w:r>
                </w:p>
              </w:tc>
            </w:tr>
            <w:tr w14:paraId="6FF717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310" w:type="pct"/>
                  <w:vMerge w:val="continue"/>
                  <w:tcBorders>
                    <w:tl2br w:val="nil"/>
                    <w:tr2bl w:val="nil"/>
                  </w:tcBorders>
                  <w:vAlign w:val="center"/>
                </w:tcPr>
                <w:p w14:paraId="7A7A5DB1">
                  <w:pPr>
                    <w:topLinePunct/>
                    <w:jc w:val="center"/>
                    <w:rPr>
                      <w:color w:val="auto"/>
                      <w:szCs w:val="21"/>
                      <w:highlight w:val="yellow"/>
                    </w:rPr>
                  </w:pPr>
                </w:p>
              </w:tc>
              <w:tc>
                <w:tcPr>
                  <w:tcW w:w="322" w:type="pct"/>
                  <w:vMerge w:val="continue"/>
                  <w:tcBorders>
                    <w:tl2br w:val="nil"/>
                    <w:tr2bl w:val="nil"/>
                  </w:tcBorders>
                  <w:vAlign w:val="center"/>
                </w:tcPr>
                <w:p w14:paraId="4369513A">
                  <w:pPr>
                    <w:topLinePunct/>
                    <w:jc w:val="center"/>
                    <w:rPr>
                      <w:color w:val="auto"/>
                      <w:szCs w:val="21"/>
                    </w:rPr>
                  </w:pPr>
                </w:p>
              </w:tc>
              <w:tc>
                <w:tcPr>
                  <w:tcW w:w="2194" w:type="pct"/>
                  <w:tcBorders>
                    <w:tl2br w:val="nil"/>
                    <w:tr2bl w:val="nil"/>
                  </w:tcBorders>
                  <w:vAlign w:val="center"/>
                </w:tcPr>
                <w:p w14:paraId="3A5DF6B6">
                  <w:pPr>
                    <w:topLinePunct/>
                    <w:jc w:val="center"/>
                    <w:rPr>
                      <w:color w:val="auto"/>
                      <w:szCs w:val="21"/>
                    </w:rPr>
                  </w:pPr>
                  <w:r>
                    <w:rPr>
                      <w:color w:val="auto"/>
                      <w:szCs w:val="21"/>
                    </w:rPr>
                    <w:t>5.化工、表面涂装、建材等严格按照淄博市行业环境管控要求，实施源头替代，建立健全治理设施，确保污染物稳定达标排放，做到持证排污。</w:t>
                  </w:r>
                </w:p>
              </w:tc>
              <w:tc>
                <w:tcPr>
                  <w:tcW w:w="1690" w:type="pct"/>
                  <w:tcBorders>
                    <w:tl2br w:val="nil"/>
                    <w:tr2bl w:val="nil"/>
                  </w:tcBorders>
                  <w:vAlign w:val="center"/>
                </w:tcPr>
                <w:p w14:paraId="41CE7963">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tcBorders>
                    <w:tl2br w:val="nil"/>
                    <w:tr2bl w:val="nil"/>
                  </w:tcBorders>
                  <w:vAlign w:val="center"/>
                </w:tcPr>
                <w:p w14:paraId="29139991">
                  <w:pPr>
                    <w:topLinePunct/>
                    <w:jc w:val="center"/>
                    <w:rPr>
                      <w:color w:val="auto"/>
                      <w:szCs w:val="21"/>
                    </w:rPr>
                  </w:pPr>
                  <w:r>
                    <w:rPr>
                      <w:color w:val="auto"/>
                      <w:szCs w:val="21"/>
                    </w:rPr>
                    <w:t>符合</w:t>
                  </w:r>
                </w:p>
              </w:tc>
            </w:tr>
            <w:tr w14:paraId="3C2BD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tcBorders>
                    <w:tl2br w:val="nil"/>
                    <w:tr2bl w:val="nil"/>
                  </w:tcBorders>
                  <w:vAlign w:val="center"/>
                </w:tcPr>
                <w:p w14:paraId="755CFD03">
                  <w:pPr>
                    <w:topLinePunct/>
                    <w:jc w:val="center"/>
                    <w:rPr>
                      <w:color w:val="auto"/>
                      <w:szCs w:val="21"/>
                      <w:highlight w:val="yellow"/>
                    </w:rPr>
                  </w:pPr>
                </w:p>
              </w:tc>
              <w:tc>
                <w:tcPr>
                  <w:tcW w:w="322" w:type="pct"/>
                  <w:vMerge w:val="continue"/>
                  <w:tcBorders>
                    <w:tl2br w:val="nil"/>
                    <w:tr2bl w:val="nil"/>
                  </w:tcBorders>
                  <w:vAlign w:val="center"/>
                </w:tcPr>
                <w:p w14:paraId="0B636549">
                  <w:pPr>
                    <w:topLinePunct/>
                    <w:jc w:val="center"/>
                    <w:rPr>
                      <w:color w:val="auto"/>
                      <w:szCs w:val="21"/>
                    </w:rPr>
                  </w:pPr>
                </w:p>
              </w:tc>
              <w:tc>
                <w:tcPr>
                  <w:tcW w:w="2194" w:type="pct"/>
                  <w:tcBorders>
                    <w:tl2br w:val="nil"/>
                    <w:tr2bl w:val="nil"/>
                  </w:tcBorders>
                  <w:vAlign w:val="center"/>
                </w:tcPr>
                <w:p w14:paraId="7F316B78">
                  <w:pPr>
                    <w:topLinePunct/>
                    <w:jc w:val="center"/>
                    <w:rPr>
                      <w:color w:val="auto"/>
                      <w:szCs w:val="21"/>
                    </w:rPr>
                  </w:pPr>
                  <w:r>
                    <w:rPr>
                      <w:color w:val="auto"/>
                      <w:szCs w:val="21"/>
                    </w:rPr>
                    <w:t>6.加强机动车排气污染治理。</w:t>
                  </w:r>
                </w:p>
              </w:tc>
              <w:tc>
                <w:tcPr>
                  <w:tcW w:w="1690" w:type="pct"/>
                  <w:tcBorders>
                    <w:tl2br w:val="nil"/>
                    <w:tr2bl w:val="nil"/>
                  </w:tcBorders>
                  <w:vAlign w:val="center"/>
                </w:tcPr>
                <w:p w14:paraId="25F4E583">
                  <w:pPr>
                    <w:topLinePunct/>
                    <w:jc w:val="center"/>
                    <w:rPr>
                      <w:color w:val="auto"/>
                      <w:szCs w:val="21"/>
                    </w:rPr>
                  </w:pPr>
                  <w:r>
                    <w:rPr>
                      <w:color w:val="auto"/>
                      <w:szCs w:val="21"/>
                    </w:rPr>
                    <w:t>按要求执行。</w:t>
                  </w:r>
                </w:p>
              </w:tc>
              <w:tc>
                <w:tcPr>
                  <w:tcW w:w="481" w:type="pct"/>
                  <w:tcBorders>
                    <w:tl2br w:val="nil"/>
                    <w:tr2bl w:val="nil"/>
                  </w:tcBorders>
                  <w:vAlign w:val="center"/>
                </w:tcPr>
                <w:p w14:paraId="3F15A370">
                  <w:pPr>
                    <w:topLinePunct/>
                    <w:jc w:val="center"/>
                    <w:rPr>
                      <w:color w:val="auto"/>
                      <w:szCs w:val="21"/>
                    </w:rPr>
                  </w:pPr>
                  <w:r>
                    <w:rPr>
                      <w:color w:val="auto"/>
                      <w:szCs w:val="21"/>
                    </w:rPr>
                    <w:t>符合</w:t>
                  </w:r>
                </w:p>
              </w:tc>
            </w:tr>
            <w:tr w14:paraId="5C9435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10" w:type="pct"/>
                  <w:vMerge w:val="continue"/>
                  <w:tcBorders>
                    <w:tl2br w:val="nil"/>
                    <w:tr2bl w:val="nil"/>
                  </w:tcBorders>
                  <w:vAlign w:val="center"/>
                </w:tcPr>
                <w:p w14:paraId="7936825C">
                  <w:pPr>
                    <w:topLinePunct/>
                    <w:jc w:val="center"/>
                    <w:rPr>
                      <w:color w:val="auto"/>
                      <w:szCs w:val="21"/>
                      <w:highlight w:val="yellow"/>
                    </w:rPr>
                  </w:pPr>
                </w:p>
              </w:tc>
              <w:tc>
                <w:tcPr>
                  <w:tcW w:w="322" w:type="pct"/>
                  <w:vMerge w:val="continue"/>
                  <w:tcBorders>
                    <w:tl2br w:val="nil"/>
                    <w:tr2bl w:val="nil"/>
                  </w:tcBorders>
                  <w:vAlign w:val="center"/>
                </w:tcPr>
                <w:p w14:paraId="3B33F16B">
                  <w:pPr>
                    <w:topLinePunct/>
                    <w:jc w:val="center"/>
                    <w:rPr>
                      <w:color w:val="auto"/>
                      <w:szCs w:val="21"/>
                    </w:rPr>
                  </w:pPr>
                </w:p>
              </w:tc>
              <w:tc>
                <w:tcPr>
                  <w:tcW w:w="2194" w:type="pct"/>
                  <w:tcBorders>
                    <w:tl2br w:val="nil"/>
                    <w:tr2bl w:val="nil"/>
                  </w:tcBorders>
                  <w:vAlign w:val="center"/>
                </w:tcPr>
                <w:p w14:paraId="52C16239">
                  <w:pPr>
                    <w:topLinePunct/>
                    <w:jc w:val="center"/>
                    <w:rPr>
                      <w:color w:val="auto"/>
                      <w:szCs w:val="21"/>
                    </w:rPr>
                  </w:pPr>
                  <w:r>
                    <w:rPr>
                      <w:color w:val="auto"/>
                      <w:szCs w:val="21"/>
                    </w:rPr>
                    <w:t>7.进一步加强对建设工程施工、建筑物拆除、交通运输、道路保洁、物料运输与堆存、采石取土、养护绿化等活动的扬尘管理。</w:t>
                  </w:r>
                </w:p>
              </w:tc>
              <w:tc>
                <w:tcPr>
                  <w:tcW w:w="1690" w:type="pct"/>
                  <w:tcBorders>
                    <w:tl2br w:val="nil"/>
                    <w:tr2bl w:val="nil"/>
                  </w:tcBorders>
                  <w:vAlign w:val="center"/>
                </w:tcPr>
                <w:p w14:paraId="5FE20211">
                  <w:pPr>
                    <w:topLinePunct/>
                    <w:jc w:val="center"/>
                    <w:rPr>
                      <w:color w:val="auto"/>
                      <w:szCs w:val="21"/>
                    </w:rPr>
                  </w:pPr>
                  <w:r>
                    <w:rPr>
                      <w:color w:val="auto"/>
                      <w:szCs w:val="21"/>
                    </w:rPr>
                    <w:t>按要求执行。</w:t>
                  </w:r>
                </w:p>
              </w:tc>
              <w:tc>
                <w:tcPr>
                  <w:tcW w:w="481" w:type="pct"/>
                  <w:tcBorders>
                    <w:tl2br w:val="nil"/>
                    <w:tr2bl w:val="nil"/>
                  </w:tcBorders>
                  <w:vAlign w:val="center"/>
                </w:tcPr>
                <w:p w14:paraId="7C762C73">
                  <w:pPr>
                    <w:topLinePunct/>
                    <w:jc w:val="center"/>
                    <w:rPr>
                      <w:color w:val="auto"/>
                      <w:szCs w:val="21"/>
                    </w:rPr>
                  </w:pPr>
                  <w:r>
                    <w:rPr>
                      <w:color w:val="auto"/>
                      <w:szCs w:val="21"/>
                    </w:rPr>
                    <w:t>符合</w:t>
                  </w:r>
                </w:p>
              </w:tc>
            </w:tr>
            <w:tr w14:paraId="55AC2A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10" w:type="pct"/>
                  <w:vMerge w:val="continue"/>
                  <w:tcBorders>
                    <w:tl2br w:val="nil"/>
                    <w:tr2bl w:val="nil"/>
                  </w:tcBorders>
                  <w:vAlign w:val="center"/>
                </w:tcPr>
                <w:p w14:paraId="3CDB4DDD">
                  <w:pPr>
                    <w:topLinePunct/>
                    <w:jc w:val="center"/>
                    <w:rPr>
                      <w:color w:val="auto"/>
                      <w:szCs w:val="21"/>
                      <w:highlight w:val="yellow"/>
                    </w:rPr>
                  </w:pPr>
                </w:p>
              </w:tc>
              <w:tc>
                <w:tcPr>
                  <w:tcW w:w="322" w:type="pct"/>
                  <w:vMerge w:val="restart"/>
                  <w:tcBorders>
                    <w:tl2br w:val="nil"/>
                    <w:tr2bl w:val="nil"/>
                  </w:tcBorders>
                  <w:vAlign w:val="center"/>
                </w:tcPr>
                <w:p w14:paraId="4446FD56">
                  <w:pPr>
                    <w:topLinePunct/>
                    <w:jc w:val="center"/>
                    <w:rPr>
                      <w:color w:val="auto"/>
                      <w:szCs w:val="21"/>
                    </w:rPr>
                  </w:pPr>
                  <w:r>
                    <w:rPr>
                      <w:color w:val="auto"/>
                      <w:szCs w:val="21"/>
                    </w:rPr>
                    <w:t>环境风险防控</w:t>
                  </w:r>
                </w:p>
              </w:tc>
              <w:tc>
                <w:tcPr>
                  <w:tcW w:w="2194" w:type="pct"/>
                  <w:tcBorders>
                    <w:tl2br w:val="nil"/>
                    <w:tr2bl w:val="nil"/>
                  </w:tcBorders>
                  <w:vAlign w:val="center"/>
                </w:tcPr>
                <w:p w14:paraId="7271B537">
                  <w:pPr>
                    <w:topLinePunct/>
                    <w:jc w:val="center"/>
                    <w:rPr>
                      <w:color w:val="auto"/>
                      <w:szCs w:val="21"/>
                    </w:rPr>
                  </w:pPr>
                  <w:r>
                    <w:rPr>
                      <w:color w:val="auto"/>
                      <w:szCs w:val="21"/>
                    </w:rPr>
                    <w:t>1.紧邻居住、科教、医院等环境敏感点的工业用地，禁止新建环境风险潜势等级高的建设项目；现有项目严格落实环评及批复环境风险防控要求。</w:t>
                  </w:r>
                </w:p>
              </w:tc>
              <w:tc>
                <w:tcPr>
                  <w:tcW w:w="1690" w:type="pct"/>
                  <w:tcBorders>
                    <w:tl2br w:val="nil"/>
                    <w:tr2bl w:val="nil"/>
                  </w:tcBorders>
                  <w:vAlign w:val="center"/>
                </w:tcPr>
                <w:p w14:paraId="0F41EB2E">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项目，用地不属于工业用地，不属于风险潜势等级高的建设项目。</w:t>
                  </w:r>
                </w:p>
              </w:tc>
              <w:tc>
                <w:tcPr>
                  <w:tcW w:w="481" w:type="pct"/>
                  <w:tcBorders>
                    <w:tl2br w:val="nil"/>
                    <w:tr2bl w:val="nil"/>
                  </w:tcBorders>
                  <w:vAlign w:val="center"/>
                </w:tcPr>
                <w:p w14:paraId="6EE80246">
                  <w:pPr>
                    <w:topLinePunct/>
                    <w:jc w:val="center"/>
                    <w:rPr>
                      <w:color w:val="auto"/>
                      <w:szCs w:val="21"/>
                    </w:rPr>
                  </w:pPr>
                  <w:r>
                    <w:rPr>
                      <w:color w:val="auto"/>
                      <w:szCs w:val="21"/>
                    </w:rPr>
                    <w:t>符合</w:t>
                  </w:r>
                </w:p>
              </w:tc>
            </w:tr>
            <w:tr w14:paraId="461BC2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10" w:type="pct"/>
                  <w:vMerge w:val="continue"/>
                  <w:tcBorders>
                    <w:tl2br w:val="nil"/>
                    <w:tr2bl w:val="nil"/>
                  </w:tcBorders>
                  <w:vAlign w:val="center"/>
                </w:tcPr>
                <w:p w14:paraId="48F94987">
                  <w:pPr>
                    <w:topLinePunct/>
                    <w:jc w:val="center"/>
                    <w:rPr>
                      <w:color w:val="auto"/>
                      <w:szCs w:val="21"/>
                      <w:highlight w:val="yellow"/>
                    </w:rPr>
                  </w:pPr>
                </w:p>
              </w:tc>
              <w:tc>
                <w:tcPr>
                  <w:tcW w:w="322" w:type="pct"/>
                  <w:vMerge w:val="continue"/>
                  <w:tcBorders>
                    <w:tl2br w:val="nil"/>
                    <w:tr2bl w:val="nil"/>
                  </w:tcBorders>
                  <w:vAlign w:val="center"/>
                </w:tcPr>
                <w:p w14:paraId="1E86AD4A">
                  <w:pPr>
                    <w:topLinePunct/>
                    <w:jc w:val="center"/>
                    <w:rPr>
                      <w:color w:val="auto"/>
                      <w:szCs w:val="21"/>
                    </w:rPr>
                  </w:pPr>
                </w:p>
              </w:tc>
              <w:tc>
                <w:tcPr>
                  <w:tcW w:w="2194" w:type="pct"/>
                  <w:tcBorders>
                    <w:tl2br w:val="nil"/>
                    <w:tr2bl w:val="nil"/>
                  </w:tcBorders>
                  <w:vAlign w:val="center"/>
                </w:tcPr>
                <w:p w14:paraId="2FB2C348">
                  <w:pPr>
                    <w:topLinePunct/>
                    <w:jc w:val="center"/>
                    <w:rPr>
                      <w:color w:val="auto"/>
                      <w:szCs w:val="21"/>
                    </w:rPr>
                  </w:pPr>
                  <w:r>
                    <w:rPr>
                      <w:color w:val="auto"/>
                      <w:szCs w:val="21"/>
                    </w:rPr>
                    <w:t>2.重点企业应采取防腐防渗等有效措施，建立完善三级防护体系，防止因渗漏污染土壤、地下水以及因事故废水直排污染地表水。</w:t>
                  </w:r>
                </w:p>
              </w:tc>
              <w:tc>
                <w:tcPr>
                  <w:tcW w:w="1690" w:type="pct"/>
                  <w:tcBorders>
                    <w:tl2br w:val="nil"/>
                    <w:tr2bl w:val="nil"/>
                  </w:tcBorders>
                  <w:vAlign w:val="center"/>
                </w:tcPr>
                <w:p w14:paraId="77FA5AFF">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项目，不属于重点企业。</w:t>
                  </w:r>
                </w:p>
              </w:tc>
              <w:tc>
                <w:tcPr>
                  <w:tcW w:w="481" w:type="pct"/>
                  <w:tcBorders>
                    <w:tl2br w:val="nil"/>
                    <w:tr2bl w:val="nil"/>
                  </w:tcBorders>
                  <w:vAlign w:val="center"/>
                </w:tcPr>
                <w:p w14:paraId="5A81F188">
                  <w:pPr>
                    <w:topLinePunct/>
                    <w:jc w:val="center"/>
                    <w:rPr>
                      <w:color w:val="auto"/>
                      <w:szCs w:val="21"/>
                    </w:rPr>
                  </w:pPr>
                  <w:r>
                    <w:rPr>
                      <w:color w:val="auto"/>
                      <w:szCs w:val="21"/>
                    </w:rPr>
                    <w:t>符合</w:t>
                  </w:r>
                </w:p>
              </w:tc>
            </w:tr>
            <w:tr w14:paraId="399433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0" w:type="pct"/>
                  <w:vMerge w:val="continue"/>
                  <w:tcBorders>
                    <w:tl2br w:val="nil"/>
                    <w:tr2bl w:val="nil"/>
                  </w:tcBorders>
                  <w:vAlign w:val="center"/>
                </w:tcPr>
                <w:p w14:paraId="320EF3DF">
                  <w:pPr>
                    <w:topLinePunct/>
                    <w:jc w:val="center"/>
                    <w:rPr>
                      <w:color w:val="auto"/>
                      <w:szCs w:val="21"/>
                      <w:highlight w:val="yellow"/>
                    </w:rPr>
                  </w:pPr>
                </w:p>
              </w:tc>
              <w:tc>
                <w:tcPr>
                  <w:tcW w:w="322" w:type="pct"/>
                  <w:vMerge w:val="continue"/>
                  <w:tcBorders>
                    <w:tl2br w:val="nil"/>
                    <w:tr2bl w:val="nil"/>
                  </w:tcBorders>
                  <w:vAlign w:val="center"/>
                </w:tcPr>
                <w:p w14:paraId="02AE8137">
                  <w:pPr>
                    <w:topLinePunct/>
                    <w:jc w:val="center"/>
                    <w:rPr>
                      <w:color w:val="auto"/>
                      <w:szCs w:val="21"/>
                    </w:rPr>
                  </w:pPr>
                </w:p>
              </w:tc>
              <w:tc>
                <w:tcPr>
                  <w:tcW w:w="2194" w:type="pct"/>
                  <w:tcBorders>
                    <w:tl2br w:val="nil"/>
                    <w:tr2bl w:val="nil"/>
                  </w:tcBorders>
                  <w:vAlign w:val="center"/>
                </w:tcPr>
                <w:p w14:paraId="7B9FCE3A">
                  <w:pPr>
                    <w:topLinePunct/>
                    <w:jc w:val="center"/>
                    <w:rPr>
                      <w:color w:val="auto"/>
                      <w:szCs w:val="21"/>
                    </w:rPr>
                  </w:pPr>
                  <w:r>
                    <w:rPr>
                      <w:color w:val="auto"/>
                      <w:szCs w:val="21"/>
                    </w:rPr>
                    <w:t>3.企业事业单位按照《企业事业单位突发环境事件应急预案备案管理办法（试行）》等要求，依法依规编制环境应急预案并定期开展演练。</w:t>
                  </w:r>
                </w:p>
              </w:tc>
              <w:tc>
                <w:tcPr>
                  <w:tcW w:w="1690" w:type="pct"/>
                  <w:tcBorders>
                    <w:tl2br w:val="nil"/>
                    <w:tr2bl w:val="nil"/>
                  </w:tcBorders>
                  <w:vAlign w:val="center"/>
                </w:tcPr>
                <w:p w14:paraId="3CB79091">
                  <w:pPr>
                    <w:topLinePunct/>
                    <w:jc w:val="center"/>
                    <w:rPr>
                      <w:color w:val="auto"/>
                      <w:szCs w:val="21"/>
                    </w:rPr>
                  </w:pPr>
                  <w:r>
                    <w:rPr>
                      <w:color w:val="auto"/>
                      <w:szCs w:val="21"/>
                    </w:rPr>
                    <w:t>按要求执行。</w:t>
                  </w:r>
                </w:p>
              </w:tc>
              <w:tc>
                <w:tcPr>
                  <w:tcW w:w="481" w:type="pct"/>
                  <w:tcBorders>
                    <w:tl2br w:val="nil"/>
                    <w:tr2bl w:val="nil"/>
                  </w:tcBorders>
                  <w:vAlign w:val="center"/>
                </w:tcPr>
                <w:p w14:paraId="6931E111">
                  <w:pPr>
                    <w:topLinePunct/>
                    <w:jc w:val="center"/>
                    <w:rPr>
                      <w:color w:val="auto"/>
                      <w:szCs w:val="21"/>
                    </w:rPr>
                  </w:pPr>
                  <w:r>
                    <w:rPr>
                      <w:color w:val="auto"/>
                      <w:szCs w:val="21"/>
                    </w:rPr>
                    <w:t>符合</w:t>
                  </w:r>
                </w:p>
              </w:tc>
            </w:tr>
            <w:tr w14:paraId="49BB9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55" w:hRule="atLeast"/>
                <w:jc w:val="center"/>
              </w:trPr>
              <w:tc>
                <w:tcPr>
                  <w:tcW w:w="310" w:type="pct"/>
                  <w:vMerge w:val="continue"/>
                  <w:tcBorders>
                    <w:tl2br w:val="nil"/>
                    <w:tr2bl w:val="nil"/>
                  </w:tcBorders>
                  <w:vAlign w:val="center"/>
                </w:tcPr>
                <w:p w14:paraId="058B658C">
                  <w:pPr>
                    <w:topLinePunct/>
                    <w:jc w:val="center"/>
                    <w:rPr>
                      <w:color w:val="auto"/>
                      <w:szCs w:val="21"/>
                      <w:highlight w:val="yellow"/>
                    </w:rPr>
                  </w:pPr>
                </w:p>
              </w:tc>
              <w:tc>
                <w:tcPr>
                  <w:tcW w:w="322" w:type="pct"/>
                  <w:vMerge w:val="continue"/>
                  <w:tcBorders>
                    <w:tl2br w:val="nil"/>
                    <w:tr2bl w:val="nil"/>
                  </w:tcBorders>
                  <w:vAlign w:val="center"/>
                </w:tcPr>
                <w:p w14:paraId="4FC368DA">
                  <w:pPr>
                    <w:topLinePunct/>
                    <w:jc w:val="center"/>
                    <w:rPr>
                      <w:color w:val="auto"/>
                      <w:szCs w:val="21"/>
                    </w:rPr>
                  </w:pPr>
                </w:p>
              </w:tc>
              <w:tc>
                <w:tcPr>
                  <w:tcW w:w="2194" w:type="pct"/>
                  <w:tcBorders>
                    <w:tl2br w:val="nil"/>
                    <w:tr2bl w:val="nil"/>
                  </w:tcBorders>
                  <w:vAlign w:val="center"/>
                </w:tcPr>
                <w:p w14:paraId="169A477E">
                  <w:pPr>
                    <w:topLinePunct/>
                    <w:jc w:val="center"/>
                    <w:rPr>
                      <w:color w:val="auto"/>
                      <w:szCs w:val="21"/>
                    </w:rPr>
                  </w:pPr>
                  <w:r>
                    <w:rPr>
                      <w:color w:val="auto"/>
                      <w:szCs w:val="21"/>
                    </w:rPr>
                    <w:t>4.建立各企业危险废物的贮存、申报、经营许可（无废城市建设豁免的除外）、转移及处置管理制度，并负责对危废相应活动的全程监管和环境安全保障。</w:t>
                  </w:r>
                </w:p>
              </w:tc>
              <w:tc>
                <w:tcPr>
                  <w:tcW w:w="1690" w:type="pct"/>
                  <w:tcBorders>
                    <w:tl2br w:val="nil"/>
                    <w:tr2bl w:val="nil"/>
                  </w:tcBorders>
                  <w:vAlign w:val="center"/>
                </w:tcPr>
                <w:p w14:paraId="37B56D83">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tcBorders>
                    <w:tl2br w:val="nil"/>
                    <w:tr2bl w:val="nil"/>
                  </w:tcBorders>
                  <w:vAlign w:val="center"/>
                </w:tcPr>
                <w:p w14:paraId="46371208">
                  <w:pPr>
                    <w:topLinePunct/>
                    <w:jc w:val="center"/>
                    <w:rPr>
                      <w:color w:val="auto"/>
                      <w:szCs w:val="21"/>
                    </w:rPr>
                  </w:pPr>
                  <w:r>
                    <w:rPr>
                      <w:color w:val="auto"/>
                      <w:szCs w:val="21"/>
                    </w:rPr>
                    <w:t>符合</w:t>
                  </w:r>
                </w:p>
              </w:tc>
            </w:tr>
            <w:tr w14:paraId="0ECD2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310" w:type="pct"/>
                  <w:vMerge w:val="continue"/>
                  <w:tcBorders>
                    <w:tl2br w:val="nil"/>
                    <w:tr2bl w:val="nil"/>
                  </w:tcBorders>
                  <w:vAlign w:val="center"/>
                </w:tcPr>
                <w:p w14:paraId="3C6D90BE">
                  <w:pPr>
                    <w:topLinePunct/>
                    <w:jc w:val="center"/>
                    <w:rPr>
                      <w:color w:val="auto"/>
                      <w:szCs w:val="21"/>
                      <w:highlight w:val="yellow"/>
                    </w:rPr>
                  </w:pPr>
                </w:p>
              </w:tc>
              <w:tc>
                <w:tcPr>
                  <w:tcW w:w="322" w:type="pct"/>
                  <w:vMerge w:val="continue"/>
                  <w:tcBorders>
                    <w:tl2br w:val="nil"/>
                    <w:tr2bl w:val="nil"/>
                  </w:tcBorders>
                  <w:vAlign w:val="center"/>
                </w:tcPr>
                <w:p w14:paraId="52568B42">
                  <w:pPr>
                    <w:topLinePunct/>
                    <w:jc w:val="center"/>
                    <w:rPr>
                      <w:color w:val="auto"/>
                      <w:szCs w:val="21"/>
                    </w:rPr>
                  </w:pPr>
                </w:p>
              </w:tc>
              <w:tc>
                <w:tcPr>
                  <w:tcW w:w="2194" w:type="pct"/>
                  <w:tcBorders>
                    <w:tl2br w:val="nil"/>
                    <w:tr2bl w:val="nil"/>
                  </w:tcBorders>
                  <w:vAlign w:val="center"/>
                </w:tcPr>
                <w:p w14:paraId="5D2952B1">
                  <w:pPr>
                    <w:topLinePunct/>
                    <w:jc w:val="center"/>
                    <w:rPr>
                      <w:color w:val="auto"/>
                      <w:szCs w:val="21"/>
                    </w:rPr>
                  </w:pPr>
                  <w:r>
                    <w:rPr>
                      <w:color w:val="auto"/>
                      <w:szCs w:val="21"/>
                    </w:rPr>
                    <w:t>5.按照省市要求，做好清洁取暖改造工作。</w:t>
                  </w:r>
                </w:p>
              </w:tc>
              <w:tc>
                <w:tcPr>
                  <w:tcW w:w="1690" w:type="pct"/>
                  <w:tcBorders>
                    <w:tl2br w:val="nil"/>
                    <w:tr2bl w:val="nil"/>
                  </w:tcBorders>
                  <w:vAlign w:val="center"/>
                </w:tcPr>
                <w:p w14:paraId="155649D6">
                  <w:pPr>
                    <w:topLinePunct/>
                    <w:jc w:val="center"/>
                    <w:rPr>
                      <w:color w:val="auto"/>
                      <w:szCs w:val="21"/>
                    </w:rPr>
                  </w:pPr>
                  <w:r>
                    <w:rPr>
                      <w:color w:val="auto"/>
                      <w:szCs w:val="21"/>
                    </w:rPr>
                    <w:t>按要求执行。</w:t>
                  </w:r>
                </w:p>
              </w:tc>
              <w:tc>
                <w:tcPr>
                  <w:tcW w:w="481" w:type="pct"/>
                  <w:tcBorders>
                    <w:tl2br w:val="nil"/>
                    <w:tr2bl w:val="nil"/>
                  </w:tcBorders>
                  <w:vAlign w:val="center"/>
                </w:tcPr>
                <w:p w14:paraId="2A5B620C">
                  <w:pPr>
                    <w:topLinePunct/>
                    <w:jc w:val="center"/>
                    <w:rPr>
                      <w:color w:val="auto"/>
                      <w:szCs w:val="21"/>
                    </w:rPr>
                  </w:pPr>
                  <w:r>
                    <w:rPr>
                      <w:color w:val="auto"/>
                      <w:szCs w:val="21"/>
                    </w:rPr>
                    <w:t>符合</w:t>
                  </w:r>
                </w:p>
              </w:tc>
            </w:tr>
            <w:tr w14:paraId="5765F9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310" w:type="pct"/>
                  <w:vMerge w:val="continue"/>
                  <w:tcBorders>
                    <w:tl2br w:val="nil"/>
                    <w:tr2bl w:val="nil"/>
                  </w:tcBorders>
                  <w:vAlign w:val="center"/>
                </w:tcPr>
                <w:p w14:paraId="708CB412">
                  <w:pPr>
                    <w:topLinePunct/>
                    <w:jc w:val="center"/>
                    <w:rPr>
                      <w:color w:val="auto"/>
                      <w:szCs w:val="21"/>
                      <w:highlight w:val="yellow"/>
                    </w:rPr>
                  </w:pPr>
                </w:p>
              </w:tc>
              <w:tc>
                <w:tcPr>
                  <w:tcW w:w="322" w:type="pct"/>
                  <w:vMerge w:val="restart"/>
                  <w:tcBorders>
                    <w:tl2br w:val="nil"/>
                    <w:tr2bl w:val="nil"/>
                  </w:tcBorders>
                  <w:vAlign w:val="center"/>
                </w:tcPr>
                <w:p w14:paraId="60E50F2C">
                  <w:pPr>
                    <w:topLinePunct/>
                    <w:jc w:val="center"/>
                    <w:rPr>
                      <w:color w:val="auto"/>
                      <w:szCs w:val="21"/>
                    </w:rPr>
                  </w:pPr>
                  <w:r>
                    <w:rPr>
                      <w:color w:val="auto"/>
                      <w:szCs w:val="21"/>
                    </w:rPr>
                    <w:t>资源开放效率要求</w:t>
                  </w:r>
                </w:p>
              </w:tc>
              <w:tc>
                <w:tcPr>
                  <w:tcW w:w="2194" w:type="pct"/>
                  <w:tcBorders>
                    <w:tl2br w:val="nil"/>
                    <w:tr2bl w:val="nil"/>
                  </w:tcBorders>
                  <w:vAlign w:val="center"/>
                </w:tcPr>
                <w:p w14:paraId="4E83F5E8">
                  <w:pPr>
                    <w:topLinePunct/>
                    <w:jc w:val="center"/>
                    <w:rPr>
                      <w:color w:val="auto"/>
                      <w:szCs w:val="21"/>
                    </w:rPr>
                  </w:pPr>
                  <w:r>
                    <w:rPr>
                      <w:color w:val="auto"/>
                      <w:szCs w:val="21"/>
                    </w:rPr>
                    <w:t>1.高污染燃料禁燃区内执行淄博市高污染燃料禁燃区划定文件的管控要求。</w:t>
                  </w:r>
                </w:p>
              </w:tc>
              <w:tc>
                <w:tcPr>
                  <w:tcW w:w="1690" w:type="pct"/>
                  <w:tcBorders>
                    <w:tl2br w:val="nil"/>
                    <w:tr2bl w:val="nil"/>
                  </w:tcBorders>
                  <w:vAlign w:val="center"/>
                </w:tcPr>
                <w:p w14:paraId="377DA6D7">
                  <w:pPr>
                    <w:topLinePunct/>
                    <w:jc w:val="center"/>
                    <w:rPr>
                      <w:color w:val="auto"/>
                      <w:szCs w:val="21"/>
                    </w:rPr>
                  </w:pPr>
                  <w:r>
                    <w:rPr>
                      <w:color w:val="auto"/>
                      <w:szCs w:val="21"/>
                    </w:rPr>
                    <w:t>本项目主要能源为水、电，均来源于就近管网，项目用水、用电量较少，符合文件要求。</w:t>
                  </w:r>
                </w:p>
              </w:tc>
              <w:tc>
                <w:tcPr>
                  <w:tcW w:w="481" w:type="pct"/>
                  <w:tcBorders>
                    <w:tl2br w:val="nil"/>
                    <w:tr2bl w:val="nil"/>
                  </w:tcBorders>
                  <w:vAlign w:val="center"/>
                </w:tcPr>
                <w:p w14:paraId="6A764C9C">
                  <w:pPr>
                    <w:topLinePunct/>
                    <w:jc w:val="center"/>
                    <w:rPr>
                      <w:color w:val="auto"/>
                      <w:szCs w:val="21"/>
                    </w:rPr>
                  </w:pPr>
                  <w:r>
                    <w:rPr>
                      <w:color w:val="auto"/>
                      <w:szCs w:val="21"/>
                    </w:rPr>
                    <w:t>符合</w:t>
                  </w:r>
                </w:p>
              </w:tc>
            </w:tr>
            <w:tr w14:paraId="27547E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10" w:type="pct"/>
                  <w:vMerge w:val="continue"/>
                  <w:tcBorders>
                    <w:tl2br w:val="nil"/>
                    <w:tr2bl w:val="nil"/>
                  </w:tcBorders>
                  <w:vAlign w:val="center"/>
                </w:tcPr>
                <w:p w14:paraId="7E32D416">
                  <w:pPr>
                    <w:topLinePunct/>
                    <w:jc w:val="center"/>
                    <w:rPr>
                      <w:color w:val="auto"/>
                      <w:szCs w:val="21"/>
                      <w:highlight w:val="yellow"/>
                    </w:rPr>
                  </w:pPr>
                </w:p>
              </w:tc>
              <w:tc>
                <w:tcPr>
                  <w:tcW w:w="322" w:type="pct"/>
                  <w:vMerge w:val="continue"/>
                  <w:tcBorders>
                    <w:tl2br w:val="nil"/>
                    <w:tr2bl w:val="nil"/>
                  </w:tcBorders>
                  <w:vAlign w:val="center"/>
                </w:tcPr>
                <w:p w14:paraId="7EFF5702">
                  <w:pPr>
                    <w:topLinePunct/>
                    <w:jc w:val="center"/>
                    <w:rPr>
                      <w:color w:val="auto"/>
                      <w:szCs w:val="21"/>
                    </w:rPr>
                  </w:pPr>
                </w:p>
              </w:tc>
              <w:tc>
                <w:tcPr>
                  <w:tcW w:w="2194" w:type="pct"/>
                  <w:tcBorders>
                    <w:tl2br w:val="nil"/>
                    <w:tr2bl w:val="nil"/>
                  </w:tcBorders>
                  <w:vAlign w:val="center"/>
                </w:tcPr>
                <w:p w14:paraId="24B9F438">
                  <w:pPr>
                    <w:topLinePunct/>
                    <w:jc w:val="center"/>
                    <w:rPr>
                      <w:color w:val="auto"/>
                      <w:szCs w:val="21"/>
                    </w:rPr>
                  </w:pPr>
                  <w:r>
                    <w:rPr>
                      <w:color w:val="auto"/>
                      <w:szCs w:val="21"/>
                    </w:rPr>
                    <w:t>2.提升土地集约化水平。</w:t>
                  </w:r>
                </w:p>
              </w:tc>
              <w:tc>
                <w:tcPr>
                  <w:tcW w:w="1690" w:type="pct"/>
                  <w:tcBorders>
                    <w:tl2br w:val="nil"/>
                    <w:tr2bl w:val="nil"/>
                  </w:tcBorders>
                  <w:vAlign w:val="center"/>
                </w:tcPr>
                <w:p w14:paraId="0CDAD200">
                  <w:pPr>
                    <w:topLinePunct/>
                    <w:jc w:val="center"/>
                    <w:rPr>
                      <w:color w:val="auto"/>
                      <w:szCs w:val="21"/>
                    </w:rPr>
                  </w:pPr>
                  <w:r>
                    <w:rPr>
                      <w:color w:val="auto"/>
                      <w:szCs w:val="21"/>
                    </w:rPr>
                    <w:t>按要求执行。</w:t>
                  </w:r>
                </w:p>
              </w:tc>
              <w:tc>
                <w:tcPr>
                  <w:tcW w:w="481" w:type="pct"/>
                  <w:tcBorders>
                    <w:tl2br w:val="nil"/>
                    <w:tr2bl w:val="nil"/>
                  </w:tcBorders>
                  <w:vAlign w:val="center"/>
                </w:tcPr>
                <w:p w14:paraId="41B712AE">
                  <w:pPr>
                    <w:topLinePunct/>
                    <w:jc w:val="center"/>
                    <w:rPr>
                      <w:color w:val="auto"/>
                      <w:szCs w:val="21"/>
                    </w:rPr>
                  </w:pPr>
                  <w:r>
                    <w:rPr>
                      <w:color w:val="auto"/>
                      <w:szCs w:val="21"/>
                    </w:rPr>
                    <w:t>符合</w:t>
                  </w:r>
                </w:p>
              </w:tc>
            </w:tr>
            <w:tr w14:paraId="7ACC17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10" w:type="pct"/>
                  <w:vMerge w:val="continue"/>
                  <w:tcBorders>
                    <w:tl2br w:val="nil"/>
                    <w:tr2bl w:val="nil"/>
                  </w:tcBorders>
                  <w:vAlign w:val="center"/>
                </w:tcPr>
                <w:p w14:paraId="6F81B2B8">
                  <w:pPr>
                    <w:topLinePunct/>
                    <w:jc w:val="center"/>
                    <w:rPr>
                      <w:color w:val="auto"/>
                      <w:szCs w:val="21"/>
                      <w:highlight w:val="yellow"/>
                    </w:rPr>
                  </w:pPr>
                </w:p>
              </w:tc>
              <w:tc>
                <w:tcPr>
                  <w:tcW w:w="322" w:type="pct"/>
                  <w:vMerge w:val="continue"/>
                  <w:tcBorders>
                    <w:tl2br w:val="nil"/>
                    <w:tr2bl w:val="nil"/>
                  </w:tcBorders>
                  <w:vAlign w:val="center"/>
                </w:tcPr>
                <w:p w14:paraId="5DB2285D">
                  <w:pPr>
                    <w:topLinePunct/>
                    <w:jc w:val="center"/>
                    <w:rPr>
                      <w:color w:val="auto"/>
                      <w:szCs w:val="21"/>
                    </w:rPr>
                  </w:pPr>
                </w:p>
              </w:tc>
              <w:tc>
                <w:tcPr>
                  <w:tcW w:w="2194" w:type="pct"/>
                  <w:tcBorders>
                    <w:tl2br w:val="nil"/>
                    <w:tr2bl w:val="nil"/>
                  </w:tcBorders>
                  <w:vAlign w:val="center"/>
                </w:tcPr>
                <w:p w14:paraId="16C36ACE">
                  <w:pPr>
                    <w:topLinePunct/>
                    <w:jc w:val="center"/>
                    <w:rPr>
                      <w:color w:val="auto"/>
                      <w:szCs w:val="21"/>
                    </w:rPr>
                  </w:pPr>
                  <w:r>
                    <w:rPr>
                      <w:color w:val="auto"/>
                      <w:szCs w:val="21"/>
                    </w:rPr>
                    <w:t>3.优化调整能源利用结构，控制煤炭消费量，实现减量化，鼓励使用清洁能源、新能源和可再生能源。</w:t>
                  </w:r>
                </w:p>
              </w:tc>
              <w:tc>
                <w:tcPr>
                  <w:tcW w:w="1690" w:type="pct"/>
                  <w:tcBorders>
                    <w:tl2br w:val="nil"/>
                    <w:tr2bl w:val="nil"/>
                  </w:tcBorders>
                  <w:vAlign w:val="center"/>
                </w:tcPr>
                <w:p w14:paraId="61E50D57">
                  <w:pPr>
                    <w:topLinePunct/>
                    <w:jc w:val="center"/>
                    <w:rPr>
                      <w:color w:val="auto"/>
                      <w:szCs w:val="21"/>
                    </w:rPr>
                  </w:pPr>
                  <w:r>
                    <w:rPr>
                      <w:color w:val="auto"/>
                      <w:szCs w:val="21"/>
                    </w:rPr>
                    <w:t>按要求执行。</w:t>
                  </w:r>
                </w:p>
              </w:tc>
              <w:tc>
                <w:tcPr>
                  <w:tcW w:w="481" w:type="pct"/>
                  <w:tcBorders>
                    <w:tl2br w:val="nil"/>
                    <w:tr2bl w:val="nil"/>
                  </w:tcBorders>
                  <w:vAlign w:val="center"/>
                </w:tcPr>
                <w:p w14:paraId="2B3DBEC3">
                  <w:pPr>
                    <w:topLinePunct/>
                    <w:jc w:val="center"/>
                    <w:rPr>
                      <w:color w:val="auto"/>
                      <w:szCs w:val="21"/>
                    </w:rPr>
                  </w:pPr>
                  <w:r>
                    <w:rPr>
                      <w:color w:val="auto"/>
                      <w:szCs w:val="21"/>
                    </w:rPr>
                    <w:t>符合</w:t>
                  </w:r>
                </w:p>
              </w:tc>
            </w:tr>
            <w:tr w14:paraId="60FFB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tcBorders>
                    <w:tl2br w:val="nil"/>
                    <w:tr2bl w:val="nil"/>
                  </w:tcBorders>
                  <w:vAlign w:val="center"/>
                </w:tcPr>
                <w:p w14:paraId="02BBFE4F">
                  <w:pPr>
                    <w:topLinePunct/>
                    <w:jc w:val="center"/>
                    <w:rPr>
                      <w:color w:val="auto"/>
                      <w:szCs w:val="21"/>
                    </w:rPr>
                  </w:pPr>
                  <w:r>
                    <w:rPr>
                      <w:b/>
                      <w:bCs/>
                      <w:color w:val="auto"/>
                      <w:szCs w:val="21"/>
                    </w:rPr>
                    <w:t>《淄博市2023年生态环境分区管控成果动态更新项目生态环境准入清单》文件要求</w:t>
                  </w:r>
                </w:p>
              </w:tc>
              <w:tc>
                <w:tcPr>
                  <w:tcW w:w="1690" w:type="pct"/>
                  <w:tcBorders>
                    <w:tl2br w:val="nil"/>
                    <w:tr2bl w:val="nil"/>
                  </w:tcBorders>
                  <w:vAlign w:val="center"/>
                </w:tcPr>
                <w:p w14:paraId="0117D6C6">
                  <w:pPr>
                    <w:topLinePunct/>
                    <w:jc w:val="center"/>
                    <w:rPr>
                      <w:color w:val="auto"/>
                      <w:szCs w:val="21"/>
                    </w:rPr>
                  </w:pPr>
                  <w:r>
                    <w:rPr>
                      <w:b/>
                      <w:bCs/>
                      <w:color w:val="auto"/>
                      <w:szCs w:val="21"/>
                    </w:rPr>
                    <w:t>本项目实际情况</w:t>
                  </w:r>
                </w:p>
              </w:tc>
              <w:tc>
                <w:tcPr>
                  <w:tcW w:w="481" w:type="pct"/>
                  <w:tcBorders>
                    <w:tl2br w:val="nil"/>
                    <w:tr2bl w:val="nil"/>
                  </w:tcBorders>
                  <w:vAlign w:val="center"/>
                </w:tcPr>
                <w:p w14:paraId="0A9714A5">
                  <w:pPr>
                    <w:topLinePunct/>
                    <w:jc w:val="center"/>
                    <w:rPr>
                      <w:color w:val="auto"/>
                      <w:szCs w:val="21"/>
                    </w:rPr>
                  </w:pPr>
                  <w:r>
                    <w:rPr>
                      <w:b/>
                      <w:bCs/>
                      <w:color w:val="auto"/>
                      <w:szCs w:val="21"/>
                    </w:rPr>
                    <w:t>符合性</w:t>
                  </w:r>
                </w:p>
              </w:tc>
            </w:tr>
            <w:tr w14:paraId="7593B0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86" w:hRule="atLeast"/>
                <w:jc w:val="center"/>
              </w:trPr>
              <w:tc>
                <w:tcPr>
                  <w:tcW w:w="310" w:type="pct"/>
                  <w:vMerge w:val="restart"/>
                  <w:tcBorders>
                    <w:tl2br w:val="nil"/>
                    <w:tr2bl w:val="nil"/>
                  </w:tcBorders>
                  <w:vAlign w:val="center"/>
                </w:tcPr>
                <w:p w14:paraId="4D0C4521">
                  <w:pPr>
                    <w:topLinePunct/>
                    <w:jc w:val="center"/>
                    <w:rPr>
                      <w:color w:val="auto"/>
                      <w:szCs w:val="21"/>
                    </w:rPr>
                  </w:pPr>
                  <w:r>
                    <w:rPr>
                      <w:color w:val="auto"/>
                      <w:szCs w:val="21"/>
                    </w:rPr>
                    <w:t>傅家镇重点管控单元</w:t>
                  </w:r>
                </w:p>
              </w:tc>
              <w:tc>
                <w:tcPr>
                  <w:tcW w:w="322" w:type="pct"/>
                  <w:vMerge w:val="restart"/>
                  <w:tcBorders>
                    <w:tl2br w:val="nil"/>
                    <w:tr2bl w:val="nil"/>
                  </w:tcBorders>
                  <w:vAlign w:val="center"/>
                </w:tcPr>
                <w:p w14:paraId="6AC4EE95">
                  <w:pPr>
                    <w:topLinePunct/>
                    <w:jc w:val="center"/>
                    <w:rPr>
                      <w:color w:val="auto"/>
                      <w:szCs w:val="21"/>
                    </w:rPr>
                  </w:pPr>
                  <w:r>
                    <w:rPr>
                      <w:color w:val="auto"/>
                      <w:szCs w:val="21"/>
                    </w:rPr>
                    <w:t>空间布局约束</w:t>
                  </w:r>
                </w:p>
              </w:tc>
              <w:tc>
                <w:tcPr>
                  <w:tcW w:w="2194" w:type="pct"/>
                  <w:tcBorders>
                    <w:tl2br w:val="nil"/>
                    <w:tr2bl w:val="nil"/>
                  </w:tcBorders>
                  <w:vAlign w:val="center"/>
                </w:tcPr>
                <w:p w14:paraId="2001C40A">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tcBorders>
                    <w:tl2br w:val="nil"/>
                    <w:tr2bl w:val="nil"/>
                  </w:tcBorders>
                  <w:vAlign w:val="center"/>
                </w:tcPr>
                <w:p w14:paraId="7ECA7B7C">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tcBorders>
                    <w:tl2br w:val="nil"/>
                    <w:tr2bl w:val="nil"/>
                  </w:tcBorders>
                  <w:vAlign w:val="center"/>
                </w:tcPr>
                <w:p w14:paraId="38F04BAB">
                  <w:pPr>
                    <w:topLinePunct/>
                    <w:jc w:val="center"/>
                    <w:rPr>
                      <w:color w:val="auto"/>
                      <w:szCs w:val="21"/>
                    </w:rPr>
                  </w:pPr>
                  <w:r>
                    <w:rPr>
                      <w:color w:val="auto"/>
                      <w:szCs w:val="21"/>
                    </w:rPr>
                    <w:t>符合</w:t>
                  </w:r>
                </w:p>
              </w:tc>
            </w:tr>
            <w:tr w14:paraId="15309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7" w:hRule="atLeast"/>
                <w:jc w:val="center"/>
              </w:trPr>
              <w:tc>
                <w:tcPr>
                  <w:tcW w:w="310" w:type="pct"/>
                  <w:vMerge w:val="continue"/>
                  <w:tcBorders>
                    <w:tl2br w:val="nil"/>
                    <w:tr2bl w:val="nil"/>
                  </w:tcBorders>
                  <w:vAlign w:val="center"/>
                </w:tcPr>
                <w:p w14:paraId="3DDE160B">
                  <w:pPr>
                    <w:topLinePunct/>
                    <w:jc w:val="center"/>
                    <w:rPr>
                      <w:b/>
                      <w:bCs/>
                      <w:color w:val="auto"/>
                      <w:szCs w:val="21"/>
                    </w:rPr>
                  </w:pPr>
                </w:p>
              </w:tc>
              <w:tc>
                <w:tcPr>
                  <w:tcW w:w="322" w:type="pct"/>
                  <w:vMerge w:val="continue"/>
                  <w:tcBorders>
                    <w:tl2br w:val="nil"/>
                    <w:tr2bl w:val="nil"/>
                  </w:tcBorders>
                  <w:vAlign w:val="center"/>
                </w:tcPr>
                <w:p w14:paraId="0C0068DC">
                  <w:pPr>
                    <w:topLinePunct/>
                    <w:jc w:val="center"/>
                    <w:rPr>
                      <w:b/>
                      <w:bCs/>
                      <w:color w:val="auto"/>
                      <w:szCs w:val="21"/>
                    </w:rPr>
                  </w:pPr>
                </w:p>
              </w:tc>
              <w:tc>
                <w:tcPr>
                  <w:tcW w:w="2194" w:type="pct"/>
                  <w:tcBorders>
                    <w:tl2br w:val="nil"/>
                    <w:tr2bl w:val="nil"/>
                  </w:tcBorders>
                  <w:vAlign w:val="center"/>
                </w:tcPr>
                <w:p w14:paraId="06C370A1">
                  <w:pPr>
                    <w:topLinePunct/>
                    <w:jc w:val="center"/>
                    <w:rPr>
                      <w:color w:val="auto"/>
                      <w:szCs w:val="21"/>
                    </w:rPr>
                  </w:pPr>
                  <w:r>
                    <w:rPr>
                      <w:color w:val="auto"/>
                      <w:szCs w:val="21"/>
                    </w:rPr>
                    <w:t>2.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0" w:type="pct"/>
                  <w:tcBorders>
                    <w:tl2br w:val="nil"/>
                    <w:tr2bl w:val="nil"/>
                  </w:tcBorders>
                  <w:vAlign w:val="center"/>
                </w:tcPr>
                <w:p w14:paraId="12C48684">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项目，不属于上述行业，不占用永久基本农田。</w:t>
                  </w:r>
                </w:p>
              </w:tc>
              <w:tc>
                <w:tcPr>
                  <w:tcW w:w="481" w:type="pct"/>
                  <w:tcBorders>
                    <w:tl2br w:val="nil"/>
                    <w:tr2bl w:val="nil"/>
                  </w:tcBorders>
                  <w:vAlign w:val="center"/>
                </w:tcPr>
                <w:p w14:paraId="18692802">
                  <w:pPr>
                    <w:topLinePunct/>
                    <w:jc w:val="center"/>
                    <w:rPr>
                      <w:color w:val="auto"/>
                      <w:szCs w:val="21"/>
                    </w:rPr>
                  </w:pPr>
                  <w:r>
                    <w:rPr>
                      <w:color w:val="auto"/>
                      <w:szCs w:val="21"/>
                    </w:rPr>
                    <w:t>符合</w:t>
                  </w:r>
                </w:p>
              </w:tc>
            </w:tr>
            <w:tr w14:paraId="112FA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8" w:hRule="atLeast"/>
                <w:jc w:val="center"/>
              </w:trPr>
              <w:tc>
                <w:tcPr>
                  <w:tcW w:w="310" w:type="pct"/>
                  <w:vMerge w:val="continue"/>
                  <w:vAlign w:val="center"/>
                </w:tcPr>
                <w:p w14:paraId="03D46E53">
                  <w:pPr>
                    <w:topLinePunct/>
                    <w:jc w:val="center"/>
                    <w:rPr>
                      <w:b/>
                      <w:bCs/>
                      <w:color w:val="auto"/>
                      <w:szCs w:val="21"/>
                      <w:highlight w:val="yellow"/>
                    </w:rPr>
                  </w:pPr>
                </w:p>
              </w:tc>
              <w:tc>
                <w:tcPr>
                  <w:tcW w:w="322" w:type="pct"/>
                  <w:vMerge w:val="continue"/>
                  <w:vAlign w:val="center"/>
                </w:tcPr>
                <w:p w14:paraId="079906E6">
                  <w:pPr>
                    <w:topLinePunct/>
                    <w:jc w:val="center"/>
                    <w:rPr>
                      <w:b/>
                      <w:bCs/>
                      <w:color w:val="auto"/>
                      <w:szCs w:val="21"/>
                    </w:rPr>
                  </w:pPr>
                </w:p>
              </w:tc>
              <w:tc>
                <w:tcPr>
                  <w:tcW w:w="2194" w:type="pct"/>
                  <w:vAlign w:val="center"/>
                </w:tcPr>
                <w:p w14:paraId="14AA677F">
                  <w:pPr>
                    <w:topLinePunct/>
                    <w:jc w:val="center"/>
                    <w:rPr>
                      <w:color w:val="auto"/>
                      <w:szCs w:val="21"/>
                      <w:highlight w:val="none"/>
                    </w:rPr>
                  </w:pPr>
                  <w:r>
                    <w:rPr>
                      <w:color w:val="auto"/>
                      <w:szCs w:val="21"/>
                      <w:highlight w:val="none"/>
                    </w:rPr>
                    <w:t>3.大气布局敏感区从严控制新建、扩建排放大气污染物的工业项目；科学合理规划布局商业、居住并严格执行。</w:t>
                  </w:r>
                </w:p>
              </w:tc>
              <w:tc>
                <w:tcPr>
                  <w:tcW w:w="1690" w:type="pct"/>
                  <w:vAlign w:val="center"/>
                </w:tcPr>
                <w:p w14:paraId="6851209E">
                  <w:pPr>
                    <w:topLinePunct/>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bCs/>
                      <w:color w:val="auto"/>
                      <w:szCs w:val="21"/>
                      <w:highlight w:val="none"/>
                    </w:rPr>
                    <w:t>施工扬尘采取洒水、设置围挡等措施；燃油机械及车辆产生的废气无组织排放，大型车辆安装尾气净化器；</w:t>
                  </w:r>
                  <w:r>
                    <w:rPr>
                      <w:color w:val="auto"/>
                      <w:highlight w:val="none"/>
                    </w:rPr>
                    <w:t>清淤工程采用集中施工方式，尽量缩短清淤施工时间，降低恶臭废气对周围环境影响。</w:t>
                  </w:r>
                </w:p>
              </w:tc>
              <w:tc>
                <w:tcPr>
                  <w:tcW w:w="481" w:type="pct"/>
                  <w:vAlign w:val="center"/>
                </w:tcPr>
                <w:p w14:paraId="0B5D310E">
                  <w:pPr>
                    <w:topLinePunct/>
                    <w:jc w:val="center"/>
                    <w:rPr>
                      <w:color w:val="auto"/>
                      <w:szCs w:val="21"/>
                    </w:rPr>
                  </w:pPr>
                  <w:r>
                    <w:rPr>
                      <w:color w:val="auto"/>
                      <w:szCs w:val="21"/>
                    </w:rPr>
                    <w:t>符合</w:t>
                  </w:r>
                </w:p>
              </w:tc>
            </w:tr>
            <w:tr w14:paraId="578205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7" w:hRule="atLeast"/>
                <w:jc w:val="center"/>
              </w:trPr>
              <w:tc>
                <w:tcPr>
                  <w:tcW w:w="310" w:type="pct"/>
                  <w:vMerge w:val="continue"/>
                  <w:vAlign w:val="center"/>
                </w:tcPr>
                <w:p w14:paraId="6D7B9471">
                  <w:pPr>
                    <w:topLinePunct/>
                    <w:jc w:val="center"/>
                    <w:rPr>
                      <w:b/>
                      <w:bCs/>
                      <w:color w:val="auto"/>
                      <w:szCs w:val="21"/>
                      <w:highlight w:val="yellow"/>
                    </w:rPr>
                  </w:pPr>
                </w:p>
              </w:tc>
              <w:tc>
                <w:tcPr>
                  <w:tcW w:w="322" w:type="pct"/>
                  <w:vMerge w:val="continue"/>
                  <w:vAlign w:val="center"/>
                </w:tcPr>
                <w:p w14:paraId="38FAB25B">
                  <w:pPr>
                    <w:topLinePunct/>
                    <w:jc w:val="center"/>
                    <w:rPr>
                      <w:b/>
                      <w:bCs/>
                      <w:color w:val="auto"/>
                      <w:szCs w:val="21"/>
                    </w:rPr>
                  </w:pPr>
                </w:p>
              </w:tc>
              <w:tc>
                <w:tcPr>
                  <w:tcW w:w="2194" w:type="pct"/>
                  <w:vAlign w:val="center"/>
                </w:tcPr>
                <w:p w14:paraId="049917EA">
                  <w:pPr>
                    <w:topLinePunct/>
                    <w:jc w:val="center"/>
                    <w:rPr>
                      <w:color w:val="auto"/>
                      <w:szCs w:val="21"/>
                    </w:rPr>
                  </w:pPr>
                  <w:r>
                    <w:rPr>
                      <w:color w:val="auto"/>
                      <w:szCs w:val="21"/>
                    </w:rPr>
                    <w:t>4.污水处理设施不健全、未正常运行或污水管网未覆盖的地区，未配套污水处理设施的项目不得建设。</w:t>
                  </w:r>
                </w:p>
              </w:tc>
              <w:tc>
                <w:tcPr>
                  <w:tcW w:w="1690" w:type="pct"/>
                  <w:vAlign w:val="center"/>
                </w:tcPr>
                <w:p w14:paraId="00373119">
                  <w:pPr>
                    <w:adjustRightInd w:val="0"/>
                    <w:snapToGrid w:val="0"/>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60632B53">
                  <w:pPr>
                    <w:topLinePunct/>
                    <w:jc w:val="center"/>
                    <w:rPr>
                      <w:color w:val="auto"/>
                      <w:szCs w:val="21"/>
                    </w:rPr>
                  </w:pPr>
                  <w:r>
                    <w:rPr>
                      <w:color w:val="auto"/>
                      <w:szCs w:val="21"/>
                    </w:rPr>
                    <w:t>符合</w:t>
                  </w:r>
                </w:p>
              </w:tc>
            </w:tr>
            <w:tr w14:paraId="335B51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310" w:type="pct"/>
                  <w:vMerge w:val="continue"/>
                  <w:vAlign w:val="center"/>
                </w:tcPr>
                <w:p w14:paraId="321B670F">
                  <w:pPr>
                    <w:topLinePunct/>
                    <w:jc w:val="center"/>
                    <w:rPr>
                      <w:b/>
                      <w:bCs/>
                      <w:color w:val="auto"/>
                      <w:szCs w:val="21"/>
                      <w:highlight w:val="yellow"/>
                    </w:rPr>
                  </w:pPr>
                </w:p>
              </w:tc>
              <w:tc>
                <w:tcPr>
                  <w:tcW w:w="322" w:type="pct"/>
                  <w:vMerge w:val="continue"/>
                  <w:vAlign w:val="center"/>
                </w:tcPr>
                <w:p w14:paraId="604D81D0">
                  <w:pPr>
                    <w:topLinePunct/>
                    <w:jc w:val="center"/>
                    <w:rPr>
                      <w:b/>
                      <w:bCs/>
                      <w:color w:val="auto"/>
                      <w:szCs w:val="21"/>
                    </w:rPr>
                  </w:pPr>
                </w:p>
              </w:tc>
              <w:tc>
                <w:tcPr>
                  <w:tcW w:w="2194" w:type="pct"/>
                  <w:vAlign w:val="center"/>
                </w:tcPr>
                <w:p w14:paraId="187A00D3">
                  <w:pPr>
                    <w:topLinePunct/>
                    <w:jc w:val="center"/>
                    <w:rPr>
                      <w:color w:val="auto"/>
                      <w:szCs w:val="21"/>
                    </w:rPr>
                  </w:pPr>
                  <w:r>
                    <w:rPr>
                      <w:color w:val="auto"/>
                      <w:szCs w:val="21"/>
                    </w:rPr>
                    <w:t>5.新建有污染物排放的工业项目，除在安全生产等方面有特殊要求的以外，应当进入工业园区或工业聚集区。</w:t>
                  </w:r>
                </w:p>
              </w:tc>
              <w:tc>
                <w:tcPr>
                  <w:tcW w:w="1690" w:type="pct"/>
                  <w:vAlign w:val="center"/>
                </w:tcPr>
                <w:p w14:paraId="1B7E6696">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5B324A5A">
                  <w:pPr>
                    <w:topLinePunct/>
                    <w:jc w:val="center"/>
                    <w:rPr>
                      <w:color w:val="auto"/>
                      <w:szCs w:val="21"/>
                    </w:rPr>
                  </w:pPr>
                  <w:r>
                    <w:rPr>
                      <w:color w:val="auto"/>
                      <w:szCs w:val="21"/>
                    </w:rPr>
                    <w:t>符合</w:t>
                  </w:r>
                </w:p>
              </w:tc>
            </w:tr>
            <w:tr w14:paraId="555811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310" w:type="pct"/>
                  <w:vMerge w:val="continue"/>
                  <w:vAlign w:val="center"/>
                </w:tcPr>
                <w:p w14:paraId="51632599">
                  <w:pPr>
                    <w:topLinePunct/>
                    <w:jc w:val="center"/>
                    <w:rPr>
                      <w:b/>
                      <w:bCs/>
                      <w:color w:val="auto"/>
                      <w:szCs w:val="21"/>
                      <w:highlight w:val="yellow"/>
                    </w:rPr>
                  </w:pPr>
                </w:p>
              </w:tc>
              <w:tc>
                <w:tcPr>
                  <w:tcW w:w="322" w:type="pct"/>
                  <w:vMerge w:val="restart"/>
                  <w:vAlign w:val="center"/>
                </w:tcPr>
                <w:p w14:paraId="63A64E60">
                  <w:pPr>
                    <w:topLinePunct/>
                    <w:jc w:val="center"/>
                    <w:rPr>
                      <w:color w:val="auto"/>
                      <w:szCs w:val="21"/>
                    </w:rPr>
                  </w:pPr>
                  <w:r>
                    <w:rPr>
                      <w:color w:val="auto"/>
                      <w:szCs w:val="21"/>
                    </w:rPr>
                    <w:t>污染物排放管控</w:t>
                  </w:r>
                </w:p>
              </w:tc>
              <w:tc>
                <w:tcPr>
                  <w:tcW w:w="2194" w:type="pct"/>
                  <w:vAlign w:val="center"/>
                </w:tcPr>
                <w:p w14:paraId="7E199303">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3629C7A3">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7BDC8144">
                  <w:pPr>
                    <w:topLinePunct/>
                    <w:jc w:val="center"/>
                    <w:rPr>
                      <w:color w:val="auto"/>
                      <w:szCs w:val="21"/>
                    </w:rPr>
                  </w:pPr>
                  <w:r>
                    <w:rPr>
                      <w:color w:val="auto"/>
                      <w:szCs w:val="21"/>
                    </w:rPr>
                    <w:t>符合</w:t>
                  </w:r>
                </w:p>
              </w:tc>
            </w:tr>
            <w:tr w14:paraId="3C2FB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310" w:type="pct"/>
                  <w:vMerge w:val="continue"/>
                  <w:vAlign w:val="center"/>
                </w:tcPr>
                <w:p w14:paraId="2EACE882">
                  <w:pPr>
                    <w:topLinePunct/>
                    <w:jc w:val="center"/>
                    <w:rPr>
                      <w:b/>
                      <w:bCs/>
                      <w:color w:val="auto"/>
                      <w:szCs w:val="21"/>
                      <w:highlight w:val="yellow"/>
                    </w:rPr>
                  </w:pPr>
                </w:p>
              </w:tc>
              <w:tc>
                <w:tcPr>
                  <w:tcW w:w="322" w:type="pct"/>
                  <w:vMerge w:val="continue"/>
                  <w:vAlign w:val="center"/>
                </w:tcPr>
                <w:p w14:paraId="3A609832">
                  <w:pPr>
                    <w:topLinePunct/>
                    <w:jc w:val="center"/>
                    <w:rPr>
                      <w:color w:val="auto"/>
                      <w:szCs w:val="21"/>
                    </w:rPr>
                  </w:pPr>
                </w:p>
              </w:tc>
              <w:tc>
                <w:tcPr>
                  <w:tcW w:w="2194" w:type="pct"/>
                  <w:vAlign w:val="center"/>
                </w:tcPr>
                <w:p w14:paraId="26BB8F41">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04738955">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5F6837C0">
                  <w:pPr>
                    <w:topLinePunct/>
                    <w:jc w:val="center"/>
                    <w:rPr>
                      <w:color w:val="auto"/>
                      <w:szCs w:val="21"/>
                    </w:rPr>
                  </w:pPr>
                  <w:r>
                    <w:rPr>
                      <w:color w:val="auto"/>
                      <w:szCs w:val="21"/>
                    </w:rPr>
                    <w:t>符合</w:t>
                  </w:r>
                </w:p>
              </w:tc>
            </w:tr>
            <w:tr w14:paraId="786940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0" w:hRule="atLeast"/>
                <w:jc w:val="center"/>
              </w:trPr>
              <w:tc>
                <w:tcPr>
                  <w:tcW w:w="310" w:type="pct"/>
                  <w:vMerge w:val="continue"/>
                  <w:vAlign w:val="center"/>
                </w:tcPr>
                <w:p w14:paraId="0CBCDCD4">
                  <w:pPr>
                    <w:topLinePunct/>
                    <w:jc w:val="center"/>
                    <w:rPr>
                      <w:b/>
                      <w:bCs/>
                      <w:color w:val="auto"/>
                      <w:szCs w:val="21"/>
                      <w:highlight w:val="yellow"/>
                    </w:rPr>
                  </w:pPr>
                </w:p>
              </w:tc>
              <w:tc>
                <w:tcPr>
                  <w:tcW w:w="322" w:type="pct"/>
                  <w:vMerge w:val="continue"/>
                  <w:vAlign w:val="center"/>
                </w:tcPr>
                <w:p w14:paraId="447064DE">
                  <w:pPr>
                    <w:topLinePunct/>
                    <w:jc w:val="center"/>
                    <w:rPr>
                      <w:b/>
                      <w:bCs/>
                      <w:color w:val="auto"/>
                      <w:szCs w:val="21"/>
                    </w:rPr>
                  </w:pPr>
                </w:p>
              </w:tc>
              <w:tc>
                <w:tcPr>
                  <w:tcW w:w="2194" w:type="pct"/>
                  <w:vAlign w:val="center"/>
                </w:tcPr>
                <w:p w14:paraId="26DA66CD">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23A68B42">
                  <w:pPr>
                    <w:topLinePunct/>
                    <w:jc w:val="center"/>
                    <w:rPr>
                      <w:color w:val="auto"/>
                      <w:szCs w:val="21"/>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47393313">
                  <w:pPr>
                    <w:topLinePunct/>
                    <w:jc w:val="center"/>
                    <w:rPr>
                      <w:color w:val="auto"/>
                      <w:szCs w:val="21"/>
                    </w:rPr>
                  </w:pPr>
                  <w:r>
                    <w:rPr>
                      <w:color w:val="auto"/>
                      <w:szCs w:val="21"/>
                    </w:rPr>
                    <w:t>符合</w:t>
                  </w:r>
                </w:p>
              </w:tc>
            </w:tr>
            <w:tr w14:paraId="28DE01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310" w:type="pct"/>
                  <w:vMerge w:val="continue"/>
                  <w:vAlign w:val="center"/>
                </w:tcPr>
                <w:p w14:paraId="78D8D42F">
                  <w:pPr>
                    <w:topLinePunct/>
                    <w:jc w:val="center"/>
                    <w:rPr>
                      <w:b/>
                      <w:bCs/>
                      <w:color w:val="auto"/>
                      <w:szCs w:val="21"/>
                      <w:highlight w:val="yellow"/>
                    </w:rPr>
                  </w:pPr>
                </w:p>
              </w:tc>
              <w:tc>
                <w:tcPr>
                  <w:tcW w:w="322" w:type="pct"/>
                  <w:vMerge w:val="continue"/>
                  <w:vAlign w:val="center"/>
                </w:tcPr>
                <w:p w14:paraId="3150F966">
                  <w:pPr>
                    <w:topLinePunct/>
                    <w:jc w:val="center"/>
                    <w:rPr>
                      <w:b/>
                      <w:bCs/>
                      <w:color w:val="auto"/>
                      <w:szCs w:val="21"/>
                    </w:rPr>
                  </w:pPr>
                </w:p>
              </w:tc>
              <w:tc>
                <w:tcPr>
                  <w:tcW w:w="2194" w:type="pct"/>
                  <w:vAlign w:val="center"/>
                </w:tcPr>
                <w:p w14:paraId="0A7C8E4E">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676C0E6A">
                  <w:pPr>
                    <w:topLinePunct/>
                    <w:jc w:val="center"/>
                    <w:rPr>
                      <w:color w:val="auto"/>
                      <w:szCs w:val="21"/>
                    </w:rPr>
                  </w:pPr>
                  <w:r>
                    <w:rPr>
                      <w:color w:val="auto"/>
                      <w:szCs w:val="21"/>
                    </w:rPr>
                    <w:t>本项目无废水外排，不新建入河排污口。</w:t>
                  </w:r>
                </w:p>
              </w:tc>
              <w:tc>
                <w:tcPr>
                  <w:tcW w:w="481" w:type="pct"/>
                  <w:vAlign w:val="center"/>
                </w:tcPr>
                <w:p w14:paraId="3771EEAC">
                  <w:pPr>
                    <w:topLinePunct/>
                    <w:jc w:val="center"/>
                    <w:rPr>
                      <w:color w:val="auto"/>
                      <w:szCs w:val="21"/>
                    </w:rPr>
                  </w:pPr>
                  <w:r>
                    <w:rPr>
                      <w:color w:val="auto"/>
                      <w:szCs w:val="21"/>
                    </w:rPr>
                    <w:t>符合</w:t>
                  </w:r>
                </w:p>
              </w:tc>
            </w:tr>
            <w:tr w14:paraId="48D53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0" w:hRule="atLeast"/>
                <w:jc w:val="center"/>
              </w:trPr>
              <w:tc>
                <w:tcPr>
                  <w:tcW w:w="310" w:type="pct"/>
                  <w:vMerge w:val="continue"/>
                  <w:vAlign w:val="center"/>
                </w:tcPr>
                <w:p w14:paraId="67DDC46C">
                  <w:pPr>
                    <w:topLinePunct/>
                    <w:jc w:val="center"/>
                    <w:rPr>
                      <w:b/>
                      <w:bCs/>
                      <w:color w:val="auto"/>
                      <w:szCs w:val="21"/>
                      <w:highlight w:val="yellow"/>
                    </w:rPr>
                  </w:pPr>
                </w:p>
              </w:tc>
              <w:tc>
                <w:tcPr>
                  <w:tcW w:w="322" w:type="pct"/>
                  <w:vMerge w:val="continue"/>
                  <w:vAlign w:val="center"/>
                </w:tcPr>
                <w:p w14:paraId="41C54BFC">
                  <w:pPr>
                    <w:topLinePunct/>
                    <w:jc w:val="center"/>
                    <w:rPr>
                      <w:b/>
                      <w:bCs/>
                      <w:color w:val="auto"/>
                      <w:szCs w:val="21"/>
                    </w:rPr>
                  </w:pPr>
                </w:p>
              </w:tc>
              <w:tc>
                <w:tcPr>
                  <w:tcW w:w="2194" w:type="pct"/>
                  <w:vAlign w:val="center"/>
                </w:tcPr>
                <w:p w14:paraId="4900D9D7">
                  <w:pPr>
                    <w:topLinePunct/>
                    <w:jc w:val="center"/>
                    <w:rPr>
                      <w:color w:val="auto"/>
                      <w:szCs w:val="21"/>
                    </w:rPr>
                  </w:pPr>
                  <w:r>
                    <w:rPr>
                      <w:color w:val="auto"/>
                      <w:szCs w:val="21"/>
                    </w:rPr>
                    <w:t>5.包装印刷、表面涂装等涉VOCs排放的行业，严格按照淄博市行业环境管控要求，实施源头替代，建立健全治理设施，确保污染物稳定达标排放，做到持证排污。</w:t>
                  </w:r>
                </w:p>
              </w:tc>
              <w:tc>
                <w:tcPr>
                  <w:tcW w:w="1690" w:type="pct"/>
                  <w:vAlign w:val="center"/>
                </w:tcPr>
                <w:p w14:paraId="40B1D809">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01B99D53">
                  <w:pPr>
                    <w:topLinePunct/>
                    <w:jc w:val="center"/>
                    <w:rPr>
                      <w:color w:val="auto"/>
                      <w:szCs w:val="21"/>
                    </w:rPr>
                  </w:pPr>
                  <w:r>
                    <w:rPr>
                      <w:color w:val="auto"/>
                      <w:szCs w:val="21"/>
                    </w:rPr>
                    <w:t>符合</w:t>
                  </w:r>
                </w:p>
              </w:tc>
            </w:tr>
            <w:tr w14:paraId="5396D7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10" w:type="pct"/>
                  <w:vMerge w:val="continue"/>
                  <w:vAlign w:val="center"/>
                </w:tcPr>
                <w:p w14:paraId="373775FB">
                  <w:pPr>
                    <w:topLinePunct/>
                    <w:jc w:val="center"/>
                    <w:rPr>
                      <w:b/>
                      <w:bCs/>
                      <w:color w:val="auto"/>
                      <w:szCs w:val="21"/>
                      <w:highlight w:val="yellow"/>
                    </w:rPr>
                  </w:pPr>
                </w:p>
              </w:tc>
              <w:tc>
                <w:tcPr>
                  <w:tcW w:w="322" w:type="pct"/>
                  <w:vMerge w:val="continue"/>
                  <w:vAlign w:val="center"/>
                </w:tcPr>
                <w:p w14:paraId="65B5E4D7">
                  <w:pPr>
                    <w:topLinePunct/>
                    <w:jc w:val="center"/>
                    <w:rPr>
                      <w:b/>
                      <w:bCs/>
                      <w:color w:val="auto"/>
                      <w:szCs w:val="21"/>
                    </w:rPr>
                  </w:pPr>
                </w:p>
              </w:tc>
              <w:tc>
                <w:tcPr>
                  <w:tcW w:w="2194" w:type="pct"/>
                  <w:vAlign w:val="center"/>
                </w:tcPr>
                <w:p w14:paraId="0E18F0F6">
                  <w:pPr>
                    <w:topLinePunct/>
                    <w:jc w:val="center"/>
                    <w:rPr>
                      <w:color w:val="auto"/>
                      <w:szCs w:val="21"/>
                    </w:rPr>
                  </w:pPr>
                  <w:r>
                    <w:rPr>
                      <w:color w:val="auto"/>
                      <w:szCs w:val="21"/>
                    </w:rPr>
                    <w:t>6.加强机动车排气污染治理。</w:t>
                  </w:r>
                </w:p>
              </w:tc>
              <w:tc>
                <w:tcPr>
                  <w:tcW w:w="1690" w:type="pct"/>
                  <w:vAlign w:val="center"/>
                </w:tcPr>
                <w:p w14:paraId="6DE0D393">
                  <w:pPr>
                    <w:topLinePunct/>
                    <w:jc w:val="center"/>
                    <w:rPr>
                      <w:color w:val="auto"/>
                      <w:szCs w:val="21"/>
                    </w:rPr>
                  </w:pPr>
                  <w:r>
                    <w:rPr>
                      <w:color w:val="auto"/>
                      <w:szCs w:val="21"/>
                    </w:rPr>
                    <w:t>按要求执行。</w:t>
                  </w:r>
                </w:p>
              </w:tc>
              <w:tc>
                <w:tcPr>
                  <w:tcW w:w="481" w:type="pct"/>
                  <w:vAlign w:val="center"/>
                </w:tcPr>
                <w:p w14:paraId="65218FCF">
                  <w:pPr>
                    <w:topLinePunct/>
                    <w:jc w:val="center"/>
                    <w:rPr>
                      <w:color w:val="auto"/>
                      <w:szCs w:val="21"/>
                    </w:rPr>
                  </w:pPr>
                  <w:r>
                    <w:rPr>
                      <w:color w:val="auto"/>
                      <w:szCs w:val="21"/>
                    </w:rPr>
                    <w:t>符合</w:t>
                  </w:r>
                </w:p>
              </w:tc>
            </w:tr>
            <w:tr w14:paraId="2C5D2E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310" w:type="pct"/>
                  <w:vMerge w:val="continue"/>
                  <w:vAlign w:val="center"/>
                </w:tcPr>
                <w:p w14:paraId="5CC81282">
                  <w:pPr>
                    <w:topLinePunct/>
                    <w:jc w:val="center"/>
                    <w:rPr>
                      <w:b/>
                      <w:bCs/>
                      <w:color w:val="auto"/>
                      <w:szCs w:val="21"/>
                      <w:highlight w:val="yellow"/>
                    </w:rPr>
                  </w:pPr>
                </w:p>
              </w:tc>
              <w:tc>
                <w:tcPr>
                  <w:tcW w:w="322" w:type="pct"/>
                  <w:vMerge w:val="continue"/>
                  <w:vAlign w:val="center"/>
                </w:tcPr>
                <w:p w14:paraId="027AF94B">
                  <w:pPr>
                    <w:topLinePunct/>
                    <w:jc w:val="center"/>
                    <w:rPr>
                      <w:b/>
                      <w:bCs/>
                      <w:color w:val="auto"/>
                      <w:szCs w:val="21"/>
                    </w:rPr>
                  </w:pPr>
                </w:p>
              </w:tc>
              <w:tc>
                <w:tcPr>
                  <w:tcW w:w="2194" w:type="pct"/>
                  <w:vAlign w:val="center"/>
                </w:tcPr>
                <w:p w14:paraId="42BA7395">
                  <w:pPr>
                    <w:topLinePunct/>
                    <w:jc w:val="center"/>
                    <w:rPr>
                      <w:color w:val="auto"/>
                      <w:szCs w:val="21"/>
                    </w:rPr>
                  </w:pPr>
                  <w:r>
                    <w:rPr>
                      <w:color w:val="auto"/>
                      <w:szCs w:val="21"/>
                    </w:rPr>
                    <w:t>7.进一步加强对建设工程施工、建筑物拆除、交通运输、道路保洁、物料运输与堆存、采石取土、养护绿化等活动的扬尘管理。</w:t>
                  </w:r>
                </w:p>
              </w:tc>
              <w:tc>
                <w:tcPr>
                  <w:tcW w:w="1690" w:type="pct"/>
                  <w:vAlign w:val="center"/>
                </w:tcPr>
                <w:p w14:paraId="05F103F6">
                  <w:pPr>
                    <w:topLinePunct/>
                    <w:jc w:val="center"/>
                    <w:rPr>
                      <w:color w:val="auto"/>
                      <w:szCs w:val="21"/>
                    </w:rPr>
                  </w:pPr>
                  <w:r>
                    <w:rPr>
                      <w:color w:val="auto"/>
                      <w:szCs w:val="21"/>
                    </w:rPr>
                    <w:t>按要求执行。</w:t>
                  </w:r>
                </w:p>
              </w:tc>
              <w:tc>
                <w:tcPr>
                  <w:tcW w:w="481" w:type="pct"/>
                  <w:vAlign w:val="center"/>
                </w:tcPr>
                <w:p w14:paraId="0A319CE8">
                  <w:pPr>
                    <w:topLinePunct/>
                    <w:jc w:val="center"/>
                    <w:rPr>
                      <w:color w:val="auto"/>
                      <w:szCs w:val="21"/>
                    </w:rPr>
                  </w:pPr>
                  <w:r>
                    <w:rPr>
                      <w:color w:val="auto"/>
                      <w:szCs w:val="21"/>
                    </w:rPr>
                    <w:t>符合</w:t>
                  </w:r>
                </w:p>
              </w:tc>
            </w:tr>
            <w:tr w14:paraId="37DDF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310" w:type="pct"/>
                  <w:vMerge w:val="continue"/>
                  <w:vAlign w:val="center"/>
                </w:tcPr>
                <w:p w14:paraId="0DBB696F">
                  <w:pPr>
                    <w:topLinePunct/>
                    <w:jc w:val="center"/>
                    <w:rPr>
                      <w:b/>
                      <w:bCs/>
                      <w:color w:val="auto"/>
                      <w:szCs w:val="21"/>
                      <w:highlight w:val="yellow"/>
                    </w:rPr>
                  </w:pPr>
                </w:p>
              </w:tc>
              <w:tc>
                <w:tcPr>
                  <w:tcW w:w="322" w:type="pct"/>
                  <w:vMerge w:val="continue"/>
                  <w:vAlign w:val="center"/>
                </w:tcPr>
                <w:p w14:paraId="69C88536">
                  <w:pPr>
                    <w:topLinePunct/>
                    <w:jc w:val="center"/>
                    <w:rPr>
                      <w:b/>
                      <w:bCs/>
                      <w:color w:val="auto"/>
                      <w:szCs w:val="21"/>
                    </w:rPr>
                  </w:pPr>
                </w:p>
              </w:tc>
              <w:tc>
                <w:tcPr>
                  <w:tcW w:w="2194" w:type="pct"/>
                  <w:vAlign w:val="center"/>
                </w:tcPr>
                <w:p w14:paraId="4CAB6A2B">
                  <w:pPr>
                    <w:topLinePunct/>
                    <w:jc w:val="center"/>
                    <w:rPr>
                      <w:color w:val="auto"/>
                      <w:szCs w:val="21"/>
                    </w:rPr>
                  </w:pPr>
                  <w:r>
                    <w:rPr>
                      <w:color w:val="auto"/>
                      <w:szCs w:val="21"/>
                    </w:rPr>
                    <w:t>8.加强餐饮服务业燃料烟气及油烟防治，鼓励餐饮业及居民生活能源使用天然气、液化石油气等洁净能源。餐饮行业按要求安装油烟高效净化设备并定期清洗和维护。</w:t>
                  </w:r>
                </w:p>
              </w:tc>
              <w:tc>
                <w:tcPr>
                  <w:tcW w:w="1690" w:type="pct"/>
                  <w:vAlign w:val="center"/>
                </w:tcPr>
                <w:p w14:paraId="6714CFA2">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项目，不属于餐饮服务业。</w:t>
                  </w:r>
                </w:p>
              </w:tc>
              <w:tc>
                <w:tcPr>
                  <w:tcW w:w="481" w:type="pct"/>
                  <w:vAlign w:val="center"/>
                </w:tcPr>
                <w:p w14:paraId="246E55CA">
                  <w:pPr>
                    <w:topLinePunct/>
                    <w:jc w:val="center"/>
                    <w:rPr>
                      <w:color w:val="auto"/>
                      <w:szCs w:val="21"/>
                    </w:rPr>
                  </w:pPr>
                  <w:r>
                    <w:rPr>
                      <w:color w:val="auto"/>
                      <w:szCs w:val="21"/>
                    </w:rPr>
                    <w:t>符合</w:t>
                  </w:r>
                </w:p>
              </w:tc>
            </w:tr>
            <w:tr w14:paraId="4A079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310" w:type="pct"/>
                  <w:vMerge w:val="continue"/>
                  <w:vAlign w:val="center"/>
                </w:tcPr>
                <w:p w14:paraId="5A0084C9">
                  <w:pPr>
                    <w:topLinePunct/>
                    <w:jc w:val="center"/>
                    <w:rPr>
                      <w:b/>
                      <w:bCs/>
                      <w:color w:val="auto"/>
                      <w:szCs w:val="21"/>
                      <w:highlight w:val="yellow"/>
                    </w:rPr>
                  </w:pPr>
                </w:p>
              </w:tc>
              <w:tc>
                <w:tcPr>
                  <w:tcW w:w="322" w:type="pct"/>
                  <w:vMerge w:val="restart"/>
                  <w:vAlign w:val="center"/>
                </w:tcPr>
                <w:p w14:paraId="60F2EBBC">
                  <w:pPr>
                    <w:topLinePunct/>
                    <w:jc w:val="center"/>
                    <w:rPr>
                      <w:color w:val="auto"/>
                      <w:szCs w:val="21"/>
                    </w:rPr>
                  </w:pPr>
                  <w:r>
                    <w:rPr>
                      <w:color w:val="auto"/>
                      <w:szCs w:val="21"/>
                    </w:rPr>
                    <w:t>环境风险防控</w:t>
                  </w:r>
                </w:p>
              </w:tc>
              <w:tc>
                <w:tcPr>
                  <w:tcW w:w="2194" w:type="pct"/>
                  <w:vAlign w:val="center"/>
                </w:tcPr>
                <w:p w14:paraId="624A6788">
                  <w:pPr>
                    <w:topLinePunct/>
                    <w:jc w:val="center"/>
                    <w:rPr>
                      <w:color w:val="auto"/>
                      <w:szCs w:val="21"/>
                    </w:rPr>
                  </w:pPr>
                  <w:r>
                    <w:rPr>
                      <w:color w:val="auto"/>
                      <w:szCs w:val="21"/>
                    </w:rPr>
                    <w:t>1.紧邻居住、科教、医院等环境敏感点的工业用地，禁止新建环境风险潜势等级高的建设项目；现有项目严格落实环评及批复环境风险防控要求。</w:t>
                  </w:r>
                </w:p>
              </w:tc>
              <w:tc>
                <w:tcPr>
                  <w:tcW w:w="1690" w:type="pct"/>
                  <w:vAlign w:val="center"/>
                </w:tcPr>
                <w:p w14:paraId="5B72BD3F">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项目，用地不属于工业用地，不属于风险潜势等级高的建设项目。</w:t>
                  </w:r>
                </w:p>
              </w:tc>
              <w:tc>
                <w:tcPr>
                  <w:tcW w:w="481" w:type="pct"/>
                  <w:vAlign w:val="center"/>
                </w:tcPr>
                <w:p w14:paraId="5BD308DB">
                  <w:pPr>
                    <w:topLinePunct/>
                    <w:jc w:val="center"/>
                    <w:rPr>
                      <w:color w:val="auto"/>
                      <w:szCs w:val="21"/>
                    </w:rPr>
                  </w:pPr>
                  <w:r>
                    <w:rPr>
                      <w:color w:val="auto"/>
                      <w:szCs w:val="21"/>
                    </w:rPr>
                    <w:t>符合</w:t>
                  </w:r>
                </w:p>
              </w:tc>
            </w:tr>
            <w:tr w14:paraId="51B90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310" w:type="pct"/>
                  <w:vMerge w:val="continue"/>
                  <w:vAlign w:val="center"/>
                </w:tcPr>
                <w:p w14:paraId="1FBCE115">
                  <w:pPr>
                    <w:topLinePunct/>
                    <w:jc w:val="center"/>
                    <w:rPr>
                      <w:b/>
                      <w:bCs/>
                      <w:color w:val="auto"/>
                      <w:szCs w:val="21"/>
                      <w:highlight w:val="yellow"/>
                    </w:rPr>
                  </w:pPr>
                </w:p>
              </w:tc>
              <w:tc>
                <w:tcPr>
                  <w:tcW w:w="322" w:type="pct"/>
                  <w:vMerge w:val="continue"/>
                  <w:vAlign w:val="center"/>
                </w:tcPr>
                <w:p w14:paraId="2C13A76A">
                  <w:pPr>
                    <w:topLinePunct/>
                    <w:jc w:val="center"/>
                    <w:rPr>
                      <w:b/>
                      <w:bCs/>
                      <w:color w:val="auto"/>
                      <w:szCs w:val="21"/>
                    </w:rPr>
                  </w:pPr>
                </w:p>
              </w:tc>
              <w:tc>
                <w:tcPr>
                  <w:tcW w:w="2194" w:type="pct"/>
                  <w:vAlign w:val="center"/>
                </w:tcPr>
                <w:p w14:paraId="090A5D9C">
                  <w:pPr>
                    <w:topLinePunct/>
                    <w:jc w:val="center"/>
                    <w:rPr>
                      <w:color w:val="auto"/>
                      <w:szCs w:val="21"/>
                    </w:rPr>
                  </w:pPr>
                  <w:r>
                    <w:rPr>
                      <w:color w:val="auto"/>
                      <w:szCs w:val="21"/>
                    </w:rPr>
                    <w:t>2.加强农田土壤、灌溉水的监测，对周边区域环境风险源进行评估。</w:t>
                  </w:r>
                </w:p>
              </w:tc>
              <w:tc>
                <w:tcPr>
                  <w:tcW w:w="1690" w:type="pct"/>
                  <w:vAlign w:val="center"/>
                </w:tcPr>
                <w:p w14:paraId="6DB5E3D0">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75F1A0F7">
                  <w:pPr>
                    <w:topLinePunct/>
                    <w:jc w:val="center"/>
                    <w:rPr>
                      <w:color w:val="auto"/>
                      <w:szCs w:val="21"/>
                    </w:rPr>
                  </w:pPr>
                  <w:r>
                    <w:rPr>
                      <w:color w:val="auto"/>
                      <w:szCs w:val="21"/>
                    </w:rPr>
                    <w:t>符合</w:t>
                  </w:r>
                </w:p>
              </w:tc>
            </w:tr>
            <w:tr w14:paraId="17FFD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310" w:type="pct"/>
                  <w:vMerge w:val="continue"/>
                  <w:vAlign w:val="center"/>
                </w:tcPr>
                <w:p w14:paraId="435CFF56">
                  <w:pPr>
                    <w:topLinePunct/>
                    <w:jc w:val="center"/>
                    <w:rPr>
                      <w:b/>
                      <w:bCs/>
                      <w:color w:val="auto"/>
                      <w:szCs w:val="21"/>
                      <w:highlight w:val="yellow"/>
                    </w:rPr>
                  </w:pPr>
                </w:p>
              </w:tc>
              <w:tc>
                <w:tcPr>
                  <w:tcW w:w="322" w:type="pct"/>
                  <w:vMerge w:val="continue"/>
                  <w:vAlign w:val="center"/>
                </w:tcPr>
                <w:p w14:paraId="61BC4E52">
                  <w:pPr>
                    <w:topLinePunct/>
                    <w:jc w:val="center"/>
                    <w:rPr>
                      <w:b/>
                      <w:bCs/>
                      <w:color w:val="auto"/>
                      <w:szCs w:val="21"/>
                    </w:rPr>
                  </w:pPr>
                </w:p>
              </w:tc>
              <w:tc>
                <w:tcPr>
                  <w:tcW w:w="2194" w:type="pct"/>
                  <w:vAlign w:val="center"/>
                </w:tcPr>
                <w:p w14:paraId="101595F4">
                  <w:pPr>
                    <w:topLinePunct/>
                    <w:jc w:val="center"/>
                    <w:rPr>
                      <w:color w:val="auto"/>
                      <w:szCs w:val="21"/>
                    </w:rPr>
                  </w:pPr>
                  <w:r>
                    <w:rPr>
                      <w:color w:val="auto"/>
                      <w:szCs w:val="21"/>
                    </w:rPr>
                    <w:t>3.重点企业应采取防腐防渗等有效措施，建立完善三级防护体系，防止因渗漏污染土壤、地下水以及因事故废水直排污染地表水。</w:t>
                  </w:r>
                </w:p>
              </w:tc>
              <w:tc>
                <w:tcPr>
                  <w:tcW w:w="1690" w:type="pct"/>
                  <w:vAlign w:val="center"/>
                </w:tcPr>
                <w:p w14:paraId="27267647">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项目，不属于重点企业。</w:t>
                  </w:r>
                </w:p>
              </w:tc>
              <w:tc>
                <w:tcPr>
                  <w:tcW w:w="481" w:type="pct"/>
                  <w:vAlign w:val="center"/>
                </w:tcPr>
                <w:p w14:paraId="099443F5">
                  <w:pPr>
                    <w:topLinePunct/>
                    <w:jc w:val="center"/>
                    <w:rPr>
                      <w:color w:val="auto"/>
                      <w:szCs w:val="21"/>
                    </w:rPr>
                  </w:pPr>
                  <w:r>
                    <w:rPr>
                      <w:color w:val="auto"/>
                      <w:szCs w:val="21"/>
                    </w:rPr>
                    <w:t>符合</w:t>
                  </w:r>
                </w:p>
              </w:tc>
            </w:tr>
            <w:tr w14:paraId="754FA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310" w:type="pct"/>
                  <w:vMerge w:val="continue"/>
                  <w:vAlign w:val="center"/>
                </w:tcPr>
                <w:p w14:paraId="4BEA639F">
                  <w:pPr>
                    <w:topLinePunct/>
                    <w:jc w:val="center"/>
                    <w:rPr>
                      <w:b/>
                      <w:bCs/>
                      <w:color w:val="auto"/>
                      <w:szCs w:val="21"/>
                      <w:highlight w:val="yellow"/>
                    </w:rPr>
                  </w:pPr>
                </w:p>
              </w:tc>
              <w:tc>
                <w:tcPr>
                  <w:tcW w:w="322" w:type="pct"/>
                  <w:vMerge w:val="continue"/>
                  <w:vAlign w:val="center"/>
                </w:tcPr>
                <w:p w14:paraId="79FC95B0">
                  <w:pPr>
                    <w:topLinePunct/>
                    <w:jc w:val="center"/>
                    <w:rPr>
                      <w:b/>
                      <w:bCs/>
                      <w:color w:val="auto"/>
                      <w:szCs w:val="21"/>
                    </w:rPr>
                  </w:pPr>
                </w:p>
              </w:tc>
              <w:tc>
                <w:tcPr>
                  <w:tcW w:w="2194" w:type="pct"/>
                  <w:vAlign w:val="center"/>
                </w:tcPr>
                <w:p w14:paraId="6A07735A">
                  <w:pPr>
                    <w:topLinePunct/>
                    <w:jc w:val="center"/>
                    <w:rPr>
                      <w:color w:val="auto"/>
                      <w:szCs w:val="21"/>
                    </w:rPr>
                  </w:pPr>
                  <w:r>
                    <w:rPr>
                      <w:color w:val="auto"/>
                      <w:szCs w:val="21"/>
                    </w:rPr>
                    <w:t>4.企业事业单位按照《企业事业单位突发环境事件应急预案备案管理办法（试行）》等要求，依法依规编制环境应急预案并定期开展演练。</w:t>
                  </w:r>
                </w:p>
              </w:tc>
              <w:tc>
                <w:tcPr>
                  <w:tcW w:w="1690" w:type="pct"/>
                  <w:vAlign w:val="center"/>
                </w:tcPr>
                <w:p w14:paraId="3AE12B9F">
                  <w:pPr>
                    <w:topLinePunct/>
                    <w:jc w:val="center"/>
                    <w:rPr>
                      <w:color w:val="auto"/>
                      <w:szCs w:val="21"/>
                    </w:rPr>
                  </w:pPr>
                  <w:r>
                    <w:rPr>
                      <w:color w:val="auto"/>
                      <w:szCs w:val="21"/>
                    </w:rPr>
                    <w:t>按要求执行。</w:t>
                  </w:r>
                </w:p>
              </w:tc>
              <w:tc>
                <w:tcPr>
                  <w:tcW w:w="481" w:type="pct"/>
                  <w:vAlign w:val="center"/>
                </w:tcPr>
                <w:p w14:paraId="6B534A20">
                  <w:pPr>
                    <w:topLinePunct/>
                    <w:jc w:val="center"/>
                    <w:rPr>
                      <w:color w:val="auto"/>
                      <w:szCs w:val="21"/>
                    </w:rPr>
                  </w:pPr>
                  <w:r>
                    <w:rPr>
                      <w:color w:val="auto"/>
                      <w:szCs w:val="21"/>
                    </w:rPr>
                    <w:t>符合</w:t>
                  </w:r>
                </w:p>
              </w:tc>
            </w:tr>
            <w:tr w14:paraId="756ACB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42" w:hRule="atLeast"/>
                <w:jc w:val="center"/>
              </w:trPr>
              <w:tc>
                <w:tcPr>
                  <w:tcW w:w="310" w:type="pct"/>
                  <w:vMerge w:val="continue"/>
                  <w:vAlign w:val="center"/>
                </w:tcPr>
                <w:p w14:paraId="0B9BBD79">
                  <w:pPr>
                    <w:topLinePunct/>
                    <w:jc w:val="center"/>
                    <w:rPr>
                      <w:b/>
                      <w:bCs/>
                      <w:color w:val="auto"/>
                      <w:szCs w:val="21"/>
                      <w:highlight w:val="yellow"/>
                    </w:rPr>
                  </w:pPr>
                </w:p>
              </w:tc>
              <w:tc>
                <w:tcPr>
                  <w:tcW w:w="322" w:type="pct"/>
                  <w:vMerge w:val="continue"/>
                  <w:vAlign w:val="center"/>
                </w:tcPr>
                <w:p w14:paraId="70C093DC">
                  <w:pPr>
                    <w:topLinePunct/>
                    <w:jc w:val="center"/>
                    <w:rPr>
                      <w:b/>
                      <w:bCs/>
                      <w:color w:val="auto"/>
                      <w:szCs w:val="21"/>
                    </w:rPr>
                  </w:pPr>
                </w:p>
              </w:tc>
              <w:tc>
                <w:tcPr>
                  <w:tcW w:w="2194" w:type="pct"/>
                  <w:vAlign w:val="center"/>
                </w:tcPr>
                <w:p w14:paraId="26F55503">
                  <w:pPr>
                    <w:topLinePunct/>
                    <w:jc w:val="center"/>
                    <w:rPr>
                      <w:color w:val="auto"/>
                      <w:szCs w:val="21"/>
                    </w:rPr>
                  </w:pPr>
                  <w:r>
                    <w:rPr>
                      <w:color w:val="auto"/>
                      <w:szCs w:val="21"/>
                    </w:rPr>
                    <w:t>5.建立各企业危险废物的贮存、申报、经营许可（无废城市建设豁免的除外）、转移及处置管理制度，并负责对危废相应活动的全程监管和环境安全保障。</w:t>
                  </w:r>
                </w:p>
              </w:tc>
              <w:tc>
                <w:tcPr>
                  <w:tcW w:w="1690" w:type="pct"/>
                  <w:vAlign w:val="center"/>
                </w:tcPr>
                <w:p w14:paraId="2CCB11C2">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057505C3">
                  <w:pPr>
                    <w:topLinePunct/>
                    <w:jc w:val="center"/>
                    <w:rPr>
                      <w:color w:val="auto"/>
                      <w:szCs w:val="21"/>
                    </w:rPr>
                  </w:pPr>
                  <w:r>
                    <w:rPr>
                      <w:color w:val="auto"/>
                      <w:szCs w:val="21"/>
                    </w:rPr>
                    <w:t>符合</w:t>
                  </w:r>
                </w:p>
              </w:tc>
            </w:tr>
            <w:tr w14:paraId="09DFF3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310" w:type="pct"/>
                  <w:vMerge w:val="continue"/>
                  <w:vAlign w:val="center"/>
                </w:tcPr>
                <w:p w14:paraId="1D1B4503">
                  <w:pPr>
                    <w:topLinePunct/>
                    <w:jc w:val="center"/>
                    <w:rPr>
                      <w:b/>
                      <w:bCs/>
                      <w:color w:val="auto"/>
                      <w:szCs w:val="21"/>
                      <w:highlight w:val="yellow"/>
                    </w:rPr>
                  </w:pPr>
                </w:p>
              </w:tc>
              <w:tc>
                <w:tcPr>
                  <w:tcW w:w="322" w:type="pct"/>
                  <w:vMerge w:val="continue"/>
                  <w:vAlign w:val="center"/>
                </w:tcPr>
                <w:p w14:paraId="3A333D43">
                  <w:pPr>
                    <w:topLinePunct/>
                    <w:jc w:val="center"/>
                    <w:rPr>
                      <w:b/>
                      <w:bCs/>
                      <w:color w:val="auto"/>
                      <w:szCs w:val="21"/>
                    </w:rPr>
                  </w:pPr>
                </w:p>
              </w:tc>
              <w:tc>
                <w:tcPr>
                  <w:tcW w:w="2194" w:type="pct"/>
                  <w:vAlign w:val="center"/>
                </w:tcPr>
                <w:p w14:paraId="5AC1FD84">
                  <w:pPr>
                    <w:topLinePunct/>
                    <w:jc w:val="center"/>
                    <w:rPr>
                      <w:color w:val="auto"/>
                      <w:szCs w:val="21"/>
                    </w:rPr>
                  </w:pPr>
                  <w:r>
                    <w:rPr>
                      <w:color w:val="auto"/>
                      <w:szCs w:val="21"/>
                    </w:rPr>
                    <w:t>6.按照省市要求，做好清洁取暖改造工作。</w:t>
                  </w:r>
                </w:p>
              </w:tc>
              <w:tc>
                <w:tcPr>
                  <w:tcW w:w="1690" w:type="pct"/>
                  <w:vAlign w:val="center"/>
                </w:tcPr>
                <w:p w14:paraId="5F27AA69">
                  <w:pPr>
                    <w:topLinePunct/>
                    <w:jc w:val="center"/>
                    <w:rPr>
                      <w:color w:val="auto"/>
                      <w:szCs w:val="21"/>
                    </w:rPr>
                  </w:pPr>
                  <w:r>
                    <w:rPr>
                      <w:color w:val="auto"/>
                      <w:szCs w:val="21"/>
                    </w:rPr>
                    <w:t>按要求执行。</w:t>
                  </w:r>
                </w:p>
              </w:tc>
              <w:tc>
                <w:tcPr>
                  <w:tcW w:w="481" w:type="pct"/>
                  <w:vAlign w:val="center"/>
                </w:tcPr>
                <w:p w14:paraId="0FC168D8">
                  <w:pPr>
                    <w:topLinePunct/>
                    <w:jc w:val="center"/>
                    <w:rPr>
                      <w:color w:val="auto"/>
                      <w:szCs w:val="21"/>
                    </w:rPr>
                  </w:pPr>
                  <w:r>
                    <w:rPr>
                      <w:color w:val="auto"/>
                      <w:szCs w:val="21"/>
                    </w:rPr>
                    <w:t>符合</w:t>
                  </w:r>
                </w:p>
              </w:tc>
            </w:tr>
            <w:tr w14:paraId="134CD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310" w:type="pct"/>
                  <w:vMerge w:val="continue"/>
                  <w:vAlign w:val="center"/>
                </w:tcPr>
                <w:p w14:paraId="6F7EBF21">
                  <w:pPr>
                    <w:topLinePunct/>
                    <w:jc w:val="center"/>
                    <w:rPr>
                      <w:b/>
                      <w:bCs/>
                      <w:color w:val="auto"/>
                      <w:szCs w:val="21"/>
                      <w:highlight w:val="yellow"/>
                    </w:rPr>
                  </w:pPr>
                </w:p>
              </w:tc>
              <w:tc>
                <w:tcPr>
                  <w:tcW w:w="322" w:type="pct"/>
                  <w:vMerge w:val="restart"/>
                  <w:vAlign w:val="center"/>
                </w:tcPr>
                <w:p w14:paraId="6C775124">
                  <w:pPr>
                    <w:topLinePunct/>
                    <w:jc w:val="center"/>
                    <w:rPr>
                      <w:color w:val="auto"/>
                      <w:szCs w:val="21"/>
                    </w:rPr>
                  </w:pPr>
                  <w:r>
                    <w:rPr>
                      <w:color w:val="auto"/>
                      <w:szCs w:val="21"/>
                    </w:rPr>
                    <w:t>资源开放效率要求</w:t>
                  </w:r>
                </w:p>
              </w:tc>
              <w:tc>
                <w:tcPr>
                  <w:tcW w:w="2194" w:type="pct"/>
                  <w:vAlign w:val="center"/>
                </w:tcPr>
                <w:p w14:paraId="3870D188">
                  <w:pPr>
                    <w:topLinePunct/>
                    <w:jc w:val="center"/>
                    <w:rPr>
                      <w:color w:val="auto"/>
                      <w:szCs w:val="21"/>
                    </w:rPr>
                  </w:pPr>
                  <w:r>
                    <w:rPr>
                      <w:color w:val="auto"/>
                      <w:szCs w:val="21"/>
                    </w:rPr>
                    <w:t>1.高污染燃料禁燃区内执行淄博市高污染燃料禁燃区划定文件的管控要求。</w:t>
                  </w:r>
                </w:p>
              </w:tc>
              <w:tc>
                <w:tcPr>
                  <w:tcW w:w="1690" w:type="pct"/>
                  <w:vAlign w:val="center"/>
                </w:tcPr>
                <w:p w14:paraId="5B232732">
                  <w:pPr>
                    <w:topLinePunct/>
                    <w:jc w:val="center"/>
                    <w:rPr>
                      <w:color w:val="auto"/>
                      <w:szCs w:val="21"/>
                    </w:rPr>
                  </w:pPr>
                  <w:r>
                    <w:rPr>
                      <w:color w:val="auto"/>
                      <w:szCs w:val="21"/>
                    </w:rPr>
                    <w:t>本项目主要能源为水、电，均来源于就近管网，项目用水、用电量较少，符合文件要求。</w:t>
                  </w:r>
                </w:p>
              </w:tc>
              <w:tc>
                <w:tcPr>
                  <w:tcW w:w="481" w:type="pct"/>
                  <w:vAlign w:val="center"/>
                </w:tcPr>
                <w:p w14:paraId="6EA38C5E">
                  <w:pPr>
                    <w:topLinePunct/>
                    <w:jc w:val="center"/>
                    <w:rPr>
                      <w:color w:val="auto"/>
                      <w:szCs w:val="21"/>
                    </w:rPr>
                  </w:pPr>
                  <w:r>
                    <w:rPr>
                      <w:color w:val="auto"/>
                      <w:szCs w:val="21"/>
                    </w:rPr>
                    <w:t>符合</w:t>
                  </w:r>
                </w:p>
              </w:tc>
            </w:tr>
            <w:tr w14:paraId="7B54E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310" w:type="pct"/>
                  <w:vMerge w:val="continue"/>
                  <w:vAlign w:val="center"/>
                </w:tcPr>
                <w:p w14:paraId="070EDA12">
                  <w:pPr>
                    <w:topLinePunct/>
                    <w:jc w:val="center"/>
                    <w:rPr>
                      <w:b/>
                      <w:bCs/>
                      <w:color w:val="auto"/>
                      <w:szCs w:val="21"/>
                      <w:highlight w:val="yellow"/>
                    </w:rPr>
                  </w:pPr>
                </w:p>
              </w:tc>
              <w:tc>
                <w:tcPr>
                  <w:tcW w:w="322" w:type="pct"/>
                  <w:vMerge w:val="continue"/>
                  <w:vAlign w:val="center"/>
                </w:tcPr>
                <w:p w14:paraId="5FD09BD6">
                  <w:pPr>
                    <w:topLinePunct/>
                    <w:jc w:val="center"/>
                    <w:rPr>
                      <w:b/>
                      <w:bCs/>
                      <w:color w:val="auto"/>
                      <w:szCs w:val="21"/>
                    </w:rPr>
                  </w:pPr>
                </w:p>
              </w:tc>
              <w:tc>
                <w:tcPr>
                  <w:tcW w:w="2194" w:type="pct"/>
                  <w:vAlign w:val="center"/>
                </w:tcPr>
                <w:p w14:paraId="60F73C87">
                  <w:pPr>
                    <w:topLinePunct/>
                    <w:jc w:val="center"/>
                    <w:rPr>
                      <w:color w:val="auto"/>
                      <w:szCs w:val="21"/>
                    </w:rPr>
                  </w:pPr>
                  <w:r>
                    <w:rPr>
                      <w:color w:val="auto"/>
                      <w:szCs w:val="21"/>
                    </w:rPr>
                    <w:t>2.提升土地集约化水平。</w:t>
                  </w:r>
                </w:p>
              </w:tc>
              <w:tc>
                <w:tcPr>
                  <w:tcW w:w="1690" w:type="pct"/>
                  <w:vAlign w:val="center"/>
                </w:tcPr>
                <w:p w14:paraId="07D9F471">
                  <w:pPr>
                    <w:topLinePunct/>
                    <w:jc w:val="center"/>
                    <w:rPr>
                      <w:color w:val="auto"/>
                      <w:szCs w:val="21"/>
                    </w:rPr>
                  </w:pPr>
                  <w:r>
                    <w:rPr>
                      <w:color w:val="auto"/>
                      <w:szCs w:val="21"/>
                    </w:rPr>
                    <w:t>按要求执行。</w:t>
                  </w:r>
                </w:p>
              </w:tc>
              <w:tc>
                <w:tcPr>
                  <w:tcW w:w="481" w:type="pct"/>
                  <w:vAlign w:val="center"/>
                </w:tcPr>
                <w:p w14:paraId="4F834E05">
                  <w:pPr>
                    <w:topLinePunct/>
                    <w:jc w:val="center"/>
                    <w:rPr>
                      <w:color w:val="auto"/>
                      <w:szCs w:val="21"/>
                    </w:rPr>
                  </w:pPr>
                  <w:r>
                    <w:rPr>
                      <w:color w:val="auto"/>
                      <w:szCs w:val="21"/>
                    </w:rPr>
                    <w:t>符合</w:t>
                  </w:r>
                </w:p>
              </w:tc>
            </w:tr>
            <w:tr w14:paraId="1DB903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10" w:type="pct"/>
                  <w:vMerge w:val="continue"/>
                  <w:vAlign w:val="center"/>
                </w:tcPr>
                <w:p w14:paraId="0432F4F1">
                  <w:pPr>
                    <w:topLinePunct/>
                    <w:jc w:val="center"/>
                    <w:rPr>
                      <w:b/>
                      <w:bCs/>
                      <w:color w:val="auto"/>
                      <w:szCs w:val="21"/>
                      <w:highlight w:val="yellow"/>
                    </w:rPr>
                  </w:pPr>
                </w:p>
              </w:tc>
              <w:tc>
                <w:tcPr>
                  <w:tcW w:w="322" w:type="pct"/>
                  <w:vMerge w:val="continue"/>
                  <w:vAlign w:val="center"/>
                </w:tcPr>
                <w:p w14:paraId="31EB6897">
                  <w:pPr>
                    <w:topLinePunct/>
                    <w:jc w:val="center"/>
                    <w:rPr>
                      <w:b/>
                      <w:bCs/>
                      <w:color w:val="auto"/>
                      <w:szCs w:val="21"/>
                    </w:rPr>
                  </w:pPr>
                </w:p>
              </w:tc>
              <w:tc>
                <w:tcPr>
                  <w:tcW w:w="2194" w:type="pct"/>
                  <w:vAlign w:val="center"/>
                </w:tcPr>
                <w:p w14:paraId="2F1834AF">
                  <w:pPr>
                    <w:topLinePunct/>
                    <w:jc w:val="center"/>
                    <w:rPr>
                      <w:color w:val="auto"/>
                      <w:szCs w:val="21"/>
                    </w:rPr>
                  </w:pPr>
                  <w:r>
                    <w:rPr>
                      <w:color w:val="auto"/>
                      <w:szCs w:val="21"/>
                    </w:rPr>
                    <w:t>3.优化调整能源利用结构，控制煤炭消费量，实现减量化，鼓励使用清洁能源、新能源和可再生能源。</w:t>
                  </w:r>
                </w:p>
              </w:tc>
              <w:tc>
                <w:tcPr>
                  <w:tcW w:w="1690" w:type="pct"/>
                  <w:vAlign w:val="center"/>
                </w:tcPr>
                <w:p w14:paraId="4EA9F085">
                  <w:pPr>
                    <w:topLinePunct/>
                    <w:jc w:val="center"/>
                    <w:rPr>
                      <w:color w:val="auto"/>
                      <w:szCs w:val="21"/>
                    </w:rPr>
                  </w:pPr>
                  <w:r>
                    <w:rPr>
                      <w:color w:val="auto"/>
                      <w:szCs w:val="21"/>
                    </w:rPr>
                    <w:t>按要求执行。</w:t>
                  </w:r>
                </w:p>
              </w:tc>
              <w:tc>
                <w:tcPr>
                  <w:tcW w:w="481" w:type="pct"/>
                  <w:vAlign w:val="center"/>
                </w:tcPr>
                <w:p w14:paraId="687CFB13">
                  <w:pPr>
                    <w:topLinePunct/>
                    <w:jc w:val="center"/>
                    <w:rPr>
                      <w:color w:val="auto"/>
                      <w:szCs w:val="21"/>
                    </w:rPr>
                  </w:pPr>
                  <w:r>
                    <w:rPr>
                      <w:color w:val="auto"/>
                      <w:szCs w:val="21"/>
                    </w:rPr>
                    <w:t>符合</w:t>
                  </w:r>
                </w:p>
              </w:tc>
            </w:tr>
            <w:tr w14:paraId="3A0F4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vAlign w:val="center"/>
                </w:tcPr>
                <w:p w14:paraId="5DBB0E04">
                  <w:pPr>
                    <w:topLinePunct/>
                    <w:jc w:val="center"/>
                    <w:rPr>
                      <w:color w:val="auto"/>
                      <w:szCs w:val="21"/>
                    </w:rPr>
                  </w:pPr>
                  <w:r>
                    <w:rPr>
                      <w:b/>
                      <w:bCs/>
                      <w:color w:val="auto"/>
                      <w:szCs w:val="21"/>
                    </w:rPr>
                    <w:t>《淄博市2023年生态环境分区管控成果动态更新项目生态环境准入清单》文件要求</w:t>
                  </w:r>
                </w:p>
              </w:tc>
              <w:tc>
                <w:tcPr>
                  <w:tcW w:w="1690" w:type="pct"/>
                  <w:vAlign w:val="center"/>
                </w:tcPr>
                <w:p w14:paraId="6C158C49">
                  <w:pPr>
                    <w:topLinePunct/>
                    <w:jc w:val="center"/>
                    <w:rPr>
                      <w:color w:val="auto"/>
                      <w:szCs w:val="21"/>
                    </w:rPr>
                  </w:pPr>
                  <w:r>
                    <w:rPr>
                      <w:b/>
                      <w:bCs/>
                      <w:color w:val="auto"/>
                      <w:szCs w:val="21"/>
                    </w:rPr>
                    <w:t>本项目实际情况</w:t>
                  </w:r>
                </w:p>
              </w:tc>
              <w:tc>
                <w:tcPr>
                  <w:tcW w:w="481" w:type="pct"/>
                  <w:vAlign w:val="center"/>
                </w:tcPr>
                <w:p w14:paraId="11B3CEC0">
                  <w:pPr>
                    <w:topLinePunct/>
                    <w:jc w:val="center"/>
                    <w:rPr>
                      <w:color w:val="auto"/>
                      <w:szCs w:val="21"/>
                    </w:rPr>
                  </w:pPr>
                  <w:r>
                    <w:rPr>
                      <w:b/>
                      <w:bCs/>
                      <w:color w:val="auto"/>
                      <w:szCs w:val="21"/>
                    </w:rPr>
                    <w:t>符合性</w:t>
                  </w:r>
                </w:p>
              </w:tc>
            </w:tr>
            <w:tr w14:paraId="2B7A1D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7" w:hRule="atLeast"/>
                <w:jc w:val="center"/>
              </w:trPr>
              <w:tc>
                <w:tcPr>
                  <w:tcW w:w="310" w:type="pct"/>
                  <w:vMerge w:val="restart"/>
                  <w:vAlign w:val="center"/>
                </w:tcPr>
                <w:p w14:paraId="769EC9EA">
                  <w:pPr>
                    <w:topLinePunct/>
                    <w:jc w:val="center"/>
                    <w:rPr>
                      <w:color w:val="auto"/>
                      <w:szCs w:val="21"/>
                    </w:rPr>
                  </w:pPr>
                  <w:r>
                    <w:rPr>
                      <w:color w:val="auto"/>
                      <w:szCs w:val="21"/>
                    </w:rPr>
                    <w:t>南定镇重点管控单元</w:t>
                  </w:r>
                </w:p>
              </w:tc>
              <w:tc>
                <w:tcPr>
                  <w:tcW w:w="322" w:type="pct"/>
                  <w:vMerge w:val="restart"/>
                  <w:vAlign w:val="center"/>
                </w:tcPr>
                <w:p w14:paraId="44B50C78">
                  <w:pPr>
                    <w:topLinePunct/>
                    <w:jc w:val="center"/>
                    <w:rPr>
                      <w:color w:val="auto"/>
                      <w:szCs w:val="21"/>
                    </w:rPr>
                  </w:pPr>
                  <w:r>
                    <w:rPr>
                      <w:color w:val="auto"/>
                      <w:szCs w:val="21"/>
                    </w:rPr>
                    <w:t>空间布局约束</w:t>
                  </w:r>
                </w:p>
              </w:tc>
              <w:tc>
                <w:tcPr>
                  <w:tcW w:w="2194" w:type="pct"/>
                  <w:vAlign w:val="center"/>
                </w:tcPr>
                <w:p w14:paraId="70AC382C">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vAlign w:val="center"/>
                </w:tcPr>
                <w:p w14:paraId="19F3F55C">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vAlign w:val="center"/>
                </w:tcPr>
                <w:p w14:paraId="3F188A30">
                  <w:pPr>
                    <w:topLinePunct/>
                    <w:jc w:val="center"/>
                    <w:rPr>
                      <w:color w:val="auto"/>
                      <w:szCs w:val="21"/>
                    </w:rPr>
                  </w:pPr>
                  <w:r>
                    <w:rPr>
                      <w:color w:val="auto"/>
                      <w:szCs w:val="21"/>
                    </w:rPr>
                    <w:t>符合</w:t>
                  </w:r>
                </w:p>
              </w:tc>
            </w:tr>
            <w:tr w14:paraId="74DD0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9" w:hRule="atLeast"/>
                <w:jc w:val="center"/>
              </w:trPr>
              <w:tc>
                <w:tcPr>
                  <w:tcW w:w="310" w:type="pct"/>
                  <w:vMerge w:val="continue"/>
                  <w:vAlign w:val="center"/>
                </w:tcPr>
                <w:p w14:paraId="06B80A88">
                  <w:pPr>
                    <w:topLinePunct/>
                    <w:jc w:val="center"/>
                    <w:rPr>
                      <w:b/>
                      <w:bCs/>
                      <w:color w:val="auto"/>
                      <w:szCs w:val="21"/>
                    </w:rPr>
                  </w:pPr>
                </w:p>
              </w:tc>
              <w:tc>
                <w:tcPr>
                  <w:tcW w:w="322" w:type="pct"/>
                  <w:vMerge w:val="continue"/>
                  <w:vAlign w:val="center"/>
                </w:tcPr>
                <w:p w14:paraId="5D78C258">
                  <w:pPr>
                    <w:topLinePunct/>
                    <w:jc w:val="center"/>
                    <w:rPr>
                      <w:b/>
                      <w:bCs/>
                      <w:color w:val="auto"/>
                      <w:szCs w:val="21"/>
                    </w:rPr>
                  </w:pPr>
                </w:p>
              </w:tc>
              <w:tc>
                <w:tcPr>
                  <w:tcW w:w="2194" w:type="pct"/>
                  <w:vAlign w:val="center"/>
                </w:tcPr>
                <w:p w14:paraId="7CC499FC">
                  <w:pPr>
                    <w:topLinePunct/>
                    <w:jc w:val="center"/>
                    <w:rPr>
                      <w:color w:val="auto"/>
                      <w:szCs w:val="21"/>
                      <w:highlight w:val="none"/>
                    </w:rPr>
                  </w:pPr>
                  <w:r>
                    <w:rPr>
                      <w:color w:val="auto"/>
                      <w:szCs w:val="21"/>
                      <w:highlight w:val="none"/>
                    </w:rPr>
                    <w:t>2.大气受体敏感区从严控制新建、扩建排放大气污染物的工业项目；科学合理规划布局商业、居住并严格执行。</w:t>
                  </w:r>
                </w:p>
              </w:tc>
              <w:tc>
                <w:tcPr>
                  <w:tcW w:w="1690" w:type="pct"/>
                  <w:vAlign w:val="center"/>
                </w:tcPr>
                <w:p w14:paraId="1D544798">
                  <w:pPr>
                    <w:topLinePunct/>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bCs/>
                      <w:color w:val="auto"/>
                      <w:szCs w:val="21"/>
                      <w:highlight w:val="none"/>
                    </w:rPr>
                    <w:t>施工扬尘采取洒水、设置围挡等措施；燃油机械及车辆产生的废气无组织排放，大型车辆安装尾气净化器；</w:t>
                  </w:r>
                  <w:r>
                    <w:rPr>
                      <w:color w:val="auto"/>
                      <w:highlight w:val="none"/>
                    </w:rPr>
                    <w:t>清淤工程采用集中施工方式，尽量缩短清淤施工时间，降低恶臭废气对周围环境影响。</w:t>
                  </w:r>
                </w:p>
              </w:tc>
              <w:tc>
                <w:tcPr>
                  <w:tcW w:w="481" w:type="pct"/>
                  <w:vAlign w:val="center"/>
                </w:tcPr>
                <w:p w14:paraId="454B4D30">
                  <w:pPr>
                    <w:topLinePunct/>
                    <w:jc w:val="center"/>
                    <w:rPr>
                      <w:color w:val="auto"/>
                      <w:szCs w:val="21"/>
                    </w:rPr>
                  </w:pPr>
                  <w:r>
                    <w:rPr>
                      <w:color w:val="auto"/>
                      <w:szCs w:val="21"/>
                    </w:rPr>
                    <w:t>符合</w:t>
                  </w:r>
                </w:p>
              </w:tc>
            </w:tr>
            <w:tr w14:paraId="775F3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96" w:hRule="atLeast"/>
                <w:jc w:val="center"/>
              </w:trPr>
              <w:tc>
                <w:tcPr>
                  <w:tcW w:w="310" w:type="pct"/>
                  <w:vMerge w:val="continue"/>
                  <w:vAlign w:val="center"/>
                </w:tcPr>
                <w:p w14:paraId="5DB20CB2">
                  <w:pPr>
                    <w:topLinePunct/>
                    <w:jc w:val="center"/>
                    <w:rPr>
                      <w:b/>
                      <w:bCs/>
                      <w:color w:val="auto"/>
                      <w:szCs w:val="21"/>
                    </w:rPr>
                  </w:pPr>
                </w:p>
              </w:tc>
              <w:tc>
                <w:tcPr>
                  <w:tcW w:w="322" w:type="pct"/>
                  <w:vMerge w:val="continue"/>
                  <w:vAlign w:val="center"/>
                </w:tcPr>
                <w:p w14:paraId="129DFC6E">
                  <w:pPr>
                    <w:topLinePunct/>
                    <w:jc w:val="center"/>
                    <w:rPr>
                      <w:b/>
                      <w:bCs/>
                      <w:color w:val="auto"/>
                      <w:szCs w:val="21"/>
                    </w:rPr>
                  </w:pPr>
                </w:p>
              </w:tc>
              <w:tc>
                <w:tcPr>
                  <w:tcW w:w="2194" w:type="pct"/>
                  <w:vAlign w:val="center"/>
                </w:tcPr>
                <w:p w14:paraId="51E9D3CA">
                  <w:pPr>
                    <w:topLinePunct/>
                    <w:jc w:val="center"/>
                    <w:rPr>
                      <w:color w:val="auto"/>
                      <w:szCs w:val="21"/>
                    </w:rPr>
                  </w:pPr>
                  <w:r>
                    <w:rPr>
                      <w:color w:val="auto"/>
                      <w:szCs w:val="21"/>
                    </w:rPr>
                    <w:t>3.污水处理设施不健全、未正常运行或污水管网未覆盖的地区，未配套污水处理设施的项目不得建设。</w:t>
                  </w:r>
                </w:p>
              </w:tc>
              <w:tc>
                <w:tcPr>
                  <w:tcW w:w="1690" w:type="pct"/>
                  <w:vAlign w:val="center"/>
                </w:tcPr>
                <w:p w14:paraId="126EBF55">
                  <w:pPr>
                    <w:topLinePunct/>
                    <w:jc w:val="center"/>
                    <w:rPr>
                      <w:color w:val="auto"/>
                      <w:szCs w:val="21"/>
                      <w:highlight w:val="yellow"/>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3DAED647">
                  <w:pPr>
                    <w:topLinePunct/>
                    <w:jc w:val="center"/>
                    <w:rPr>
                      <w:color w:val="auto"/>
                      <w:szCs w:val="21"/>
                    </w:rPr>
                  </w:pPr>
                  <w:r>
                    <w:rPr>
                      <w:color w:val="auto"/>
                      <w:szCs w:val="21"/>
                    </w:rPr>
                    <w:t>符合</w:t>
                  </w:r>
                </w:p>
              </w:tc>
            </w:tr>
            <w:tr w14:paraId="0C66D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1AC1D010">
                  <w:pPr>
                    <w:topLinePunct/>
                    <w:jc w:val="center"/>
                    <w:rPr>
                      <w:b/>
                      <w:bCs/>
                      <w:color w:val="auto"/>
                      <w:szCs w:val="21"/>
                    </w:rPr>
                  </w:pPr>
                </w:p>
              </w:tc>
              <w:tc>
                <w:tcPr>
                  <w:tcW w:w="322" w:type="pct"/>
                  <w:vMerge w:val="continue"/>
                  <w:vAlign w:val="center"/>
                </w:tcPr>
                <w:p w14:paraId="1857AC4A">
                  <w:pPr>
                    <w:topLinePunct/>
                    <w:jc w:val="center"/>
                    <w:rPr>
                      <w:b/>
                      <w:bCs/>
                      <w:color w:val="auto"/>
                      <w:szCs w:val="21"/>
                    </w:rPr>
                  </w:pPr>
                </w:p>
              </w:tc>
              <w:tc>
                <w:tcPr>
                  <w:tcW w:w="2194" w:type="pct"/>
                  <w:vAlign w:val="center"/>
                </w:tcPr>
                <w:p w14:paraId="76794861">
                  <w:pPr>
                    <w:topLinePunct/>
                    <w:jc w:val="center"/>
                    <w:rPr>
                      <w:color w:val="auto"/>
                      <w:szCs w:val="21"/>
                      <w:highlight w:val="none"/>
                    </w:rPr>
                  </w:pPr>
                  <w:r>
                    <w:rPr>
                      <w:color w:val="auto"/>
                      <w:szCs w:val="21"/>
                      <w:highlight w:val="none"/>
                    </w:rPr>
                    <w:t>4.按照省市要求，严格控制“两高”项目，新建“两高”项目实行“五个减量替代”。</w:t>
                  </w:r>
                </w:p>
              </w:tc>
              <w:tc>
                <w:tcPr>
                  <w:tcW w:w="1690" w:type="pct"/>
                  <w:vAlign w:val="center"/>
                </w:tcPr>
                <w:p w14:paraId="25DAA59B">
                  <w:pPr>
                    <w:topLinePunct/>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项目，不属于两高项目。</w:t>
                  </w:r>
                </w:p>
              </w:tc>
              <w:tc>
                <w:tcPr>
                  <w:tcW w:w="481" w:type="pct"/>
                  <w:vAlign w:val="center"/>
                </w:tcPr>
                <w:p w14:paraId="500FE23B">
                  <w:pPr>
                    <w:topLinePunct/>
                    <w:jc w:val="center"/>
                    <w:rPr>
                      <w:color w:val="auto"/>
                      <w:szCs w:val="21"/>
                    </w:rPr>
                  </w:pPr>
                  <w:r>
                    <w:rPr>
                      <w:color w:val="auto"/>
                      <w:szCs w:val="21"/>
                    </w:rPr>
                    <w:t>符合</w:t>
                  </w:r>
                </w:p>
              </w:tc>
            </w:tr>
            <w:tr w14:paraId="5194F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5F62E4A9">
                  <w:pPr>
                    <w:topLinePunct/>
                    <w:jc w:val="center"/>
                    <w:rPr>
                      <w:b/>
                      <w:bCs/>
                      <w:color w:val="auto"/>
                      <w:szCs w:val="21"/>
                    </w:rPr>
                  </w:pPr>
                </w:p>
              </w:tc>
              <w:tc>
                <w:tcPr>
                  <w:tcW w:w="322" w:type="pct"/>
                  <w:vMerge w:val="continue"/>
                  <w:vAlign w:val="center"/>
                </w:tcPr>
                <w:p w14:paraId="6FEB06DA">
                  <w:pPr>
                    <w:topLinePunct/>
                    <w:jc w:val="center"/>
                    <w:rPr>
                      <w:b/>
                      <w:bCs/>
                      <w:color w:val="auto"/>
                      <w:szCs w:val="21"/>
                    </w:rPr>
                  </w:pPr>
                </w:p>
              </w:tc>
              <w:tc>
                <w:tcPr>
                  <w:tcW w:w="2194" w:type="pct"/>
                  <w:vAlign w:val="center"/>
                </w:tcPr>
                <w:p w14:paraId="2672C2C5">
                  <w:pPr>
                    <w:topLinePunct/>
                    <w:jc w:val="center"/>
                    <w:rPr>
                      <w:color w:val="auto"/>
                      <w:szCs w:val="21"/>
                    </w:rPr>
                  </w:pPr>
                  <w:r>
                    <w:rPr>
                      <w:color w:val="auto"/>
                      <w:szCs w:val="21"/>
                    </w:rPr>
                    <w:t>5.新建有污染物排放的工业项目，除在安全生产等方面有特殊要求的以外，应当进入工业园区或工业聚集区。</w:t>
                  </w:r>
                </w:p>
              </w:tc>
              <w:tc>
                <w:tcPr>
                  <w:tcW w:w="1690" w:type="pct"/>
                  <w:vAlign w:val="center"/>
                </w:tcPr>
                <w:p w14:paraId="1BA6D6DC">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6A8D80D9">
                  <w:pPr>
                    <w:topLinePunct/>
                    <w:jc w:val="center"/>
                    <w:rPr>
                      <w:color w:val="auto"/>
                      <w:szCs w:val="21"/>
                    </w:rPr>
                  </w:pPr>
                  <w:r>
                    <w:rPr>
                      <w:color w:val="auto"/>
                      <w:szCs w:val="21"/>
                    </w:rPr>
                    <w:t>符合</w:t>
                  </w:r>
                </w:p>
              </w:tc>
            </w:tr>
            <w:tr w14:paraId="0A3AB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5ADE13BC">
                  <w:pPr>
                    <w:topLinePunct/>
                    <w:jc w:val="center"/>
                    <w:rPr>
                      <w:b/>
                      <w:bCs/>
                      <w:color w:val="auto"/>
                      <w:szCs w:val="21"/>
                      <w:highlight w:val="yellow"/>
                    </w:rPr>
                  </w:pPr>
                </w:p>
              </w:tc>
              <w:tc>
                <w:tcPr>
                  <w:tcW w:w="322" w:type="pct"/>
                  <w:vMerge w:val="restart"/>
                  <w:vAlign w:val="center"/>
                </w:tcPr>
                <w:p w14:paraId="14A80A10">
                  <w:pPr>
                    <w:topLinePunct/>
                    <w:jc w:val="center"/>
                    <w:rPr>
                      <w:color w:val="auto"/>
                      <w:szCs w:val="21"/>
                    </w:rPr>
                  </w:pPr>
                  <w:r>
                    <w:rPr>
                      <w:color w:val="auto"/>
                      <w:szCs w:val="21"/>
                    </w:rPr>
                    <w:t>污染物排放管控</w:t>
                  </w:r>
                </w:p>
              </w:tc>
              <w:tc>
                <w:tcPr>
                  <w:tcW w:w="2194" w:type="pct"/>
                  <w:vAlign w:val="center"/>
                </w:tcPr>
                <w:p w14:paraId="0D96B778">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6A093E26">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7FA2238C">
                  <w:pPr>
                    <w:topLinePunct/>
                    <w:jc w:val="center"/>
                    <w:rPr>
                      <w:color w:val="auto"/>
                      <w:szCs w:val="21"/>
                    </w:rPr>
                  </w:pPr>
                  <w:r>
                    <w:rPr>
                      <w:color w:val="auto"/>
                      <w:szCs w:val="21"/>
                    </w:rPr>
                    <w:t>符合</w:t>
                  </w:r>
                </w:p>
              </w:tc>
            </w:tr>
            <w:tr w14:paraId="71363E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8" w:hRule="atLeast"/>
                <w:jc w:val="center"/>
              </w:trPr>
              <w:tc>
                <w:tcPr>
                  <w:tcW w:w="310" w:type="pct"/>
                  <w:vMerge w:val="continue"/>
                  <w:vAlign w:val="center"/>
                </w:tcPr>
                <w:p w14:paraId="09F3145F">
                  <w:pPr>
                    <w:topLinePunct/>
                    <w:jc w:val="center"/>
                    <w:rPr>
                      <w:b/>
                      <w:bCs/>
                      <w:color w:val="auto"/>
                      <w:szCs w:val="21"/>
                      <w:highlight w:val="yellow"/>
                    </w:rPr>
                  </w:pPr>
                </w:p>
              </w:tc>
              <w:tc>
                <w:tcPr>
                  <w:tcW w:w="322" w:type="pct"/>
                  <w:vMerge w:val="continue"/>
                  <w:vAlign w:val="center"/>
                </w:tcPr>
                <w:p w14:paraId="4D613C27">
                  <w:pPr>
                    <w:topLinePunct/>
                    <w:jc w:val="center"/>
                    <w:rPr>
                      <w:b/>
                      <w:bCs/>
                      <w:color w:val="auto"/>
                      <w:szCs w:val="21"/>
                    </w:rPr>
                  </w:pPr>
                </w:p>
              </w:tc>
              <w:tc>
                <w:tcPr>
                  <w:tcW w:w="2194" w:type="pct"/>
                  <w:vAlign w:val="center"/>
                </w:tcPr>
                <w:p w14:paraId="264D947D">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09463D9B">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66B60DA4">
                  <w:pPr>
                    <w:topLinePunct/>
                    <w:jc w:val="center"/>
                    <w:rPr>
                      <w:color w:val="auto"/>
                      <w:szCs w:val="21"/>
                    </w:rPr>
                  </w:pPr>
                  <w:r>
                    <w:rPr>
                      <w:color w:val="auto"/>
                      <w:szCs w:val="21"/>
                    </w:rPr>
                    <w:t>符合</w:t>
                  </w:r>
                </w:p>
              </w:tc>
            </w:tr>
            <w:tr w14:paraId="4E908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49075F07">
                  <w:pPr>
                    <w:topLinePunct/>
                    <w:jc w:val="center"/>
                    <w:rPr>
                      <w:b/>
                      <w:bCs/>
                      <w:color w:val="auto"/>
                      <w:szCs w:val="21"/>
                      <w:highlight w:val="yellow"/>
                    </w:rPr>
                  </w:pPr>
                </w:p>
              </w:tc>
              <w:tc>
                <w:tcPr>
                  <w:tcW w:w="322" w:type="pct"/>
                  <w:vMerge w:val="continue"/>
                  <w:vAlign w:val="center"/>
                </w:tcPr>
                <w:p w14:paraId="3AD57CDD">
                  <w:pPr>
                    <w:topLinePunct/>
                    <w:jc w:val="center"/>
                    <w:rPr>
                      <w:b/>
                      <w:bCs/>
                      <w:color w:val="auto"/>
                      <w:szCs w:val="21"/>
                    </w:rPr>
                  </w:pPr>
                </w:p>
              </w:tc>
              <w:tc>
                <w:tcPr>
                  <w:tcW w:w="2194" w:type="pct"/>
                  <w:vAlign w:val="center"/>
                </w:tcPr>
                <w:p w14:paraId="2B2404A6">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1FD33065">
                  <w:pPr>
                    <w:topLinePunct/>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03F44F3D">
                  <w:pPr>
                    <w:topLinePunct/>
                    <w:jc w:val="center"/>
                    <w:rPr>
                      <w:color w:val="auto"/>
                      <w:szCs w:val="21"/>
                    </w:rPr>
                  </w:pPr>
                  <w:r>
                    <w:rPr>
                      <w:color w:val="auto"/>
                      <w:szCs w:val="21"/>
                    </w:rPr>
                    <w:t>符合</w:t>
                  </w:r>
                </w:p>
              </w:tc>
            </w:tr>
            <w:tr w14:paraId="0189EF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18CA7069">
                  <w:pPr>
                    <w:topLinePunct/>
                    <w:jc w:val="center"/>
                    <w:rPr>
                      <w:b/>
                      <w:bCs/>
                      <w:color w:val="auto"/>
                      <w:szCs w:val="21"/>
                      <w:highlight w:val="yellow"/>
                    </w:rPr>
                  </w:pPr>
                </w:p>
              </w:tc>
              <w:tc>
                <w:tcPr>
                  <w:tcW w:w="322" w:type="pct"/>
                  <w:vMerge w:val="continue"/>
                  <w:vAlign w:val="center"/>
                </w:tcPr>
                <w:p w14:paraId="29471AFA">
                  <w:pPr>
                    <w:topLinePunct/>
                    <w:jc w:val="center"/>
                    <w:rPr>
                      <w:b/>
                      <w:bCs/>
                      <w:color w:val="auto"/>
                      <w:szCs w:val="21"/>
                    </w:rPr>
                  </w:pPr>
                </w:p>
              </w:tc>
              <w:tc>
                <w:tcPr>
                  <w:tcW w:w="2194" w:type="pct"/>
                  <w:vAlign w:val="center"/>
                </w:tcPr>
                <w:p w14:paraId="27E2B074">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3E981E7E">
                  <w:pPr>
                    <w:topLinePunct/>
                    <w:jc w:val="center"/>
                    <w:rPr>
                      <w:color w:val="auto"/>
                      <w:szCs w:val="21"/>
                    </w:rPr>
                  </w:pPr>
                  <w:r>
                    <w:rPr>
                      <w:color w:val="auto"/>
                      <w:szCs w:val="21"/>
                    </w:rPr>
                    <w:t>本项目无废水外排，不新建入河排污口。</w:t>
                  </w:r>
                </w:p>
              </w:tc>
              <w:tc>
                <w:tcPr>
                  <w:tcW w:w="481" w:type="pct"/>
                  <w:vAlign w:val="center"/>
                </w:tcPr>
                <w:p w14:paraId="6CD6A522">
                  <w:pPr>
                    <w:topLinePunct/>
                    <w:jc w:val="center"/>
                    <w:rPr>
                      <w:color w:val="auto"/>
                      <w:szCs w:val="21"/>
                    </w:rPr>
                  </w:pPr>
                  <w:r>
                    <w:rPr>
                      <w:color w:val="auto"/>
                      <w:szCs w:val="21"/>
                    </w:rPr>
                    <w:t>符合</w:t>
                  </w:r>
                </w:p>
              </w:tc>
            </w:tr>
            <w:tr w14:paraId="789730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310" w:type="pct"/>
                  <w:vMerge w:val="continue"/>
                  <w:vAlign w:val="center"/>
                </w:tcPr>
                <w:p w14:paraId="23BACB15">
                  <w:pPr>
                    <w:topLinePunct/>
                    <w:jc w:val="center"/>
                    <w:rPr>
                      <w:b/>
                      <w:bCs/>
                      <w:color w:val="auto"/>
                      <w:szCs w:val="21"/>
                      <w:highlight w:val="yellow"/>
                    </w:rPr>
                  </w:pPr>
                </w:p>
              </w:tc>
              <w:tc>
                <w:tcPr>
                  <w:tcW w:w="322" w:type="pct"/>
                  <w:vMerge w:val="continue"/>
                  <w:vAlign w:val="center"/>
                </w:tcPr>
                <w:p w14:paraId="500DA511">
                  <w:pPr>
                    <w:topLinePunct/>
                    <w:jc w:val="center"/>
                    <w:rPr>
                      <w:b/>
                      <w:bCs/>
                      <w:color w:val="auto"/>
                      <w:szCs w:val="21"/>
                    </w:rPr>
                  </w:pPr>
                </w:p>
              </w:tc>
              <w:tc>
                <w:tcPr>
                  <w:tcW w:w="2194" w:type="pct"/>
                  <w:vAlign w:val="center"/>
                </w:tcPr>
                <w:p w14:paraId="36826A9C">
                  <w:pPr>
                    <w:topLinePunct/>
                    <w:jc w:val="center"/>
                    <w:rPr>
                      <w:color w:val="auto"/>
                      <w:szCs w:val="21"/>
                    </w:rPr>
                  </w:pPr>
                  <w:r>
                    <w:rPr>
                      <w:color w:val="auto"/>
                      <w:szCs w:val="21"/>
                    </w:rPr>
                    <w:t>5.表面涂装等涉VOCs排放的行业，严格按照淄博市行业环境管控要求，实施源头替代，建立健全治理设施，确保污染物稳定达标排放，做到持证排污。</w:t>
                  </w:r>
                </w:p>
              </w:tc>
              <w:tc>
                <w:tcPr>
                  <w:tcW w:w="1690" w:type="pct"/>
                  <w:vAlign w:val="center"/>
                </w:tcPr>
                <w:p w14:paraId="4440B458">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01536D5D">
                  <w:pPr>
                    <w:topLinePunct/>
                    <w:jc w:val="center"/>
                    <w:rPr>
                      <w:color w:val="auto"/>
                      <w:szCs w:val="21"/>
                    </w:rPr>
                  </w:pPr>
                  <w:r>
                    <w:rPr>
                      <w:color w:val="auto"/>
                      <w:szCs w:val="21"/>
                    </w:rPr>
                    <w:t>符合</w:t>
                  </w:r>
                </w:p>
              </w:tc>
            </w:tr>
            <w:tr w14:paraId="042F69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5B321C0F">
                  <w:pPr>
                    <w:topLinePunct/>
                    <w:jc w:val="center"/>
                    <w:rPr>
                      <w:b/>
                      <w:bCs/>
                      <w:color w:val="auto"/>
                      <w:szCs w:val="21"/>
                      <w:highlight w:val="yellow"/>
                    </w:rPr>
                  </w:pPr>
                </w:p>
              </w:tc>
              <w:tc>
                <w:tcPr>
                  <w:tcW w:w="322" w:type="pct"/>
                  <w:vMerge w:val="continue"/>
                  <w:vAlign w:val="center"/>
                </w:tcPr>
                <w:p w14:paraId="2C6B430B">
                  <w:pPr>
                    <w:topLinePunct/>
                    <w:jc w:val="center"/>
                    <w:rPr>
                      <w:b/>
                      <w:bCs/>
                      <w:color w:val="auto"/>
                      <w:szCs w:val="21"/>
                    </w:rPr>
                  </w:pPr>
                </w:p>
              </w:tc>
              <w:tc>
                <w:tcPr>
                  <w:tcW w:w="2194" w:type="pct"/>
                  <w:vAlign w:val="center"/>
                </w:tcPr>
                <w:p w14:paraId="29F7BD70">
                  <w:pPr>
                    <w:topLinePunct/>
                    <w:jc w:val="center"/>
                    <w:rPr>
                      <w:color w:val="auto"/>
                      <w:szCs w:val="21"/>
                    </w:rPr>
                  </w:pPr>
                  <w:r>
                    <w:rPr>
                      <w:color w:val="auto"/>
                      <w:szCs w:val="21"/>
                    </w:rPr>
                    <w:t>6.进一步加强对建设工程施工、建筑物拆除、交通运输、道路保洁、物料运输与堆存、采石取土、养护绿化等活动的扬尘管理。</w:t>
                  </w:r>
                </w:p>
              </w:tc>
              <w:tc>
                <w:tcPr>
                  <w:tcW w:w="1690" w:type="pct"/>
                  <w:vAlign w:val="center"/>
                </w:tcPr>
                <w:p w14:paraId="202B2D42">
                  <w:pPr>
                    <w:topLinePunct/>
                    <w:jc w:val="center"/>
                    <w:rPr>
                      <w:color w:val="auto"/>
                      <w:szCs w:val="21"/>
                    </w:rPr>
                  </w:pPr>
                  <w:r>
                    <w:rPr>
                      <w:color w:val="auto"/>
                      <w:szCs w:val="21"/>
                    </w:rPr>
                    <w:t>按要求执行。</w:t>
                  </w:r>
                </w:p>
              </w:tc>
              <w:tc>
                <w:tcPr>
                  <w:tcW w:w="481" w:type="pct"/>
                  <w:vAlign w:val="center"/>
                </w:tcPr>
                <w:p w14:paraId="3373FFF7">
                  <w:pPr>
                    <w:topLinePunct/>
                    <w:jc w:val="center"/>
                    <w:rPr>
                      <w:color w:val="auto"/>
                      <w:szCs w:val="21"/>
                    </w:rPr>
                  </w:pPr>
                  <w:r>
                    <w:rPr>
                      <w:color w:val="auto"/>
                      <w:szCs w:val="21"/>
                    </w:rPr>
                    <w:t>符合</w:t>
                  </w:r>
                </w:p>
              </w:tc>
            </w:tr>
            <w:tr w14:paraId="595386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310" w:type="pct"/>
                  <w:vMerge w:val="continue"/>
                  <w:vAlign w:val="center"/>
                </w:tcPr>
                <w:p w14:paraId="29DD9B52">
                  <w:pPr>
                    <w:topLinePunct/>
                    <w:jc w:val="center"/>
                    <w:rPr>
                      <w:b/>
                      <w:bCs/>
                      <w:color w:val="auto"/>
                      <w:szCs w:val="21"/>
                      <w:highlight w:val="yellow"/>
                    </w:rPr>
                  </w:pPr>
                </w:p>
              </w:tc>
              <w:tc>
                <w:tcPr>
                  <w:tcW w:w="322" w:type="pct"/>
                  <w:vMerge w:val="continue"/>
                  <w:vAlign w:val="center"/>
                </w:tcPr>
                <w:p w14:paraId="359C67D7">
                  <w:pPr>
                    <w:topLinePunct/>
                    <w:jc w:val="center"/>
                    <w:rPr>
                      <w:b/>
                      <w:bCs/>
                      <w:color w:val="auto"/>
                      <w:szCs w:val="21"/>
                    </w:rPr>
                  </w:pPr>
                </w:p>
              </w:tc>
              <w:tc>
                <w:tcPr>
                  <w:tcW w:w="2194" w:type="pct"/>
                  <w:vAlign w:val="center"/>
                </w:tcPr>
                <w:p w14:paraId="4C486EC8">
                  <w:pPr>
                    <w:topLinePunct/>
                    <w:jc w:val="center"/>
                    <w:rPr>
                      <w:color w:val="auto"/>
                      <w:szCs w:val="21"/>
                    </w:rPr>
                  </w:pPr>
                  <w:r>
                    <w:rPr>
                      <w:color w:val="auto"/>
                      <w:szCs w:val="21"/>
                    </w:rPr>
                    <w:t>7.加强餐饮服务业燃料烟气及油烟防治，鼓励餐饮业及居民生活能源使用天然气、液化石油气等洁净能源。餐饮行业按要求安装油烟高效净化设备并定期清洗和维护。</w:t>
                  </w:r>
                </w:p>
              </w:tc>
              <w:tc>
                <w:tcPr>
                  <w:tcW w:w="1690" w:type="pct"/>
                  <w:vAlign w:val="center"/>
                </w:tcPr>
                <w:p w14:paraId="11CEDA08">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项目，不属于餐饮服务业。</w:t>
                  </w:r>
                </w:p>
              </w:tc>
              <w:tc>
                <w:tcPr>
                  <w:tcW w:w="481" w:type="pct"/>
                  <w:vAlign w:val="center"/>
                </w:tcPr>
                <w:p w14:paraId="478F238C">
                  <w:pPr>
                    <w:topLinePunct/>
                    <w:jc w:val="center"/>
                    <w:rPr>
                      <w:color w:val="auto"/>
                      <w:szCs w:val="21"/>
                    </w:rPr>
                  </w:pPr>
                  <w:r>
                    <w:rPr>
                      <w:color w:val="auto"/>
                      <w:szCs w:val="21"/>
                    </w:rPr>
                    <w:t>符合</w:t>
                  </w:r>
                </w:p>
              </w:tc>
            </w:tr>
            <w:tr w14:paraId="779F6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1" w:hRule="atLeast"/>
                <w:jc w:val="center"/>
              </w:trPr>
              <w:tc>
                <w:tcPr>
                  <w:tcW w:w="310" w:type="pct"/>
                  <w:vMerge w:val="continue"/>
                  <w:vAlign w:val="center"/>
                </w:tcPr>
                <w:p w14:paraId="7448AD86">
                  <w:pPr>
                    <w:topLinePunct/>
                    <w:jc w:val="center"/>
                    <w:rPr>
                      <w:b/>
                      <w:bCs/>
                      <w:color w:val="auto"/>
                      <w:szCs w:val="21"/>
                      <w:highlight w:val="yellow"/>
                    </w:rPr>
                  </w:pPr>
                </w:p>
              </w:tc>
              <w:tc>
                <w:tcPr>
                  <w:tcW w:w="322" w:type="pct"/>
                  <w:vMerge w:val="restart"/>
                  <w:vAlign w:val="center"/>
                </w:tcPr>
                <w:p w14:paraId="2335F3BA">
                  <w:pPr>
                    <w:topLinePunct/>
                    <w:jc w:val="center"/>
                    <w:rPr>
                      <w:color w:val="auto"/>
                      <w:szCs w:val="21"/>
                    </w:rPr>
                  </w:pPr>
                  <w:r>
                    <w:rPr>
                      <w:color w:val="auto"/>
                      <w:szCs w:val="21"/>
                    </w:rPr>
                    <w:t>环境风险防控</w:t>
                  </w:r>
                </w:p>
              </w:tc>
              <w:tc>
                <w:tcPr>
                  <w:tcW w:w="2194" w:type="pct"/>
                  <w:vAlign w:val="center"/>
                </w:tcPr>
                <w:p w14:paraId="67D3FEC2">
                  <w:pPr>
                    <w:topLinePunct/>
                    <w:jc w:val="center"/>
                    <w:rPr>
                      <w:color w:val="auto"/>
                      <w:szCs w:val="21"/>
                    </w:rPr>
                  </w:pPr>
                  <w:r>
                    <w:rPr>
                      <w:color w:val="auto"/>
                      <w:szCs w:val="21"/>
                    </w:rPr>
                    <w:t>1.紧邻居住、科教、医院等环境敏感点的工业用地，禁止新建环境风险潜势等级高的建设项目；现有项目严格落实环评及批复环境风险防控要求。</w:t>
                  </w:r>
                </w:p>
              </w:tc>
              <w:tc>
                <w:tcPr>
                  <w:tcW w:w="1690" w:type="pct"/>
                  <w:vAlign w:val="center"/>
                </w:tcPr>
                <w:p w14:paraId="4AE150A9">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项目，用地不属于工业用地，不属于风险潜势等级高的建设项目。</w:t>
                  </w:r>
                </w:p>
              </w:tc>
              <w:tc>
                <w:tcPr>
                  <w:tcW w:w="481" w:type="pct"/>
                  <w:vAlign w:val="center"/>
                </w:tcPr>
                <w:p w14:paraId="40E04AB9">
                  <w:pPr>
                    <w:topLinePunct/>
                    <w:jc w:val="center"/>
                    <w:rPr>
                      <w:color w:val="auto"/>
                      <w:szCs w:val="21"/>
                    </w:rPr>
                  </w:pPr>
                  <w:r>
                    <w:rPr>
                      <w:color w:val="auto"/>
                      <w:szCs w:val="21"/>
                    </w:rPr>
                    <w:t>符合</w:t>
                  </w:r>
                </w:p>
              </w:tc>
            </w:tr>
            <w:tr w14:paraId="66E124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3860614E">
                  <w:pPr>
                    <w:topLinePunct/>
                    <w:jc w:val="center"/>
                    <w:rPr>
                      <w:b/>
                      <w:bCs/>
                      <w:color w:val="auto"/>
                      <w:szCs w:val="21"/>
                      <w:highlight w:val="yellow"/>
                    </w:rPr>
                  </w:pPr>
                </w:p>
              </w:tc>
              <w:tc>
                <w:tcPr>
                  <w:tcW w:w="322" w:type="pct"/>
                  <w:vMerge w:val="continue"/>
                  <w:vAlign w:val="center"/>
                </w:tcPr>
                <w:p w14:paraId="6481B258">
                  <w:pPr>
                    <w:topLinePunct/>
                    <w:jc w:val="center"/>
                    <w:rPr>
                      <w:color w:val="auto"/>
                      <w:szCs w:val="21"/>
                    </w:rPr>
                  </w:pPr>
                </w:p>
              </w:tc>
              <w:tc>
                <w:tcPr>
                  <w:tcW w:w="2194" w:type="pct"/>
                  <w:vAlign w:val="center"/>
                </w:tcPr>
                <w:p w14:paraId="5EA3BEF8">
                  <w:pPr>
                    <w:topLinePunct/>
                    <w:jc w:val="center"/>
                    <w:rPr>
                      <w:color w:val="auto"/>
                      <w:szCs w:val="21"/>
                    </w:rPr>
                  </w:pPr>
                  <w:r>
                    <w:rPr>
                      <w:color w:val="auto"/>
                      <w:szCs w:val="21"/>
                    </w:rPr>
                    <w:t>2.加强农田土壤、灌溉水的监测，对周边区域环境风险源进行评估。</w:t>
                  </w:r>
                </w:p>
              </w:tc>
              <w:tc>
                <w:tcPr>
                  <w:tcW w:w="1690" w:type="pct"/>
                  <w:vAlign w:val="center"/>
                </w:tcPr>
                <w:p w14:paraId="4AE22A9A">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61892F1C">
                  <w:pPr>
                    <w:topLinePunct/>
                    <w:jc w:val="center"/>
                    <w:rPr>
                      <w:color w:val="auto"/>
                      <w:szCs w:val="21"/>
                    </w:rPr>
                  </w:pPr>
                  <w:r>
                    <w:rPr>
                      <w:color w:val="auto"/>
                      <w:szCs w:val="21"/>
                    </w:rPr>
                    <w:t>符合</w:t>
                  </w:r>
                </w:p>
              </w:tc>
            </w:tr>
            <w:tr w14:paraId="21E5EB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310" w:type="pct"/>
                  <w:vMerge w:val="continue"/>
                  <w:vAlign w:val="center"/>
                </w:tcPr>
                <w:p w14:paraId="664FBDAC">
                  <w:pPr>
                    <w:topLinePunct/>
                    <w:jc w:val="center"/>
                    <w:rPr>
                      <w:b/>
                      <w:bCs/>
                      <w:color w:val="auto"/>
                      <w:szCs w:val="21"/>
                      <w:highlight w:val="yellow"/>
                    </w:rPr>
                  </w:pPr>
                </w:p>
              </w:tc>
              <w:tc>
                <w:tcPr>
                  <w:tcW w:w="322" w:type="pct"/>
                  <w:vMerge w:val="continue"/>
                  <w:vAlign w:val="center"/>
                </w:tcPr>
                <w:p w14:paraId="1C2C60B4">
                  <w:pPr>
                    <w:topLinePunct/>
                    <w:jc w:val="center"/>
                    <w:rPr>
                      <w:b/>
                      <w:bCs/>
                      <w:color w:val="auto"/>
                      <w:szCs w:val="21"/>
                    </w:rPr>
                  </w:pPr>
                </w:p>
              </w:tc>
              <w:tc>
                <w:tcPr>
                  <w:tcW w:w="2194" w:type="pct"/>
                  <w:vAlign w:val="center"/>
                </w:tcPr>
                <w:p w14:paraId="6D869E79">
                  <w:pPr>
                    <w:topLinePunct/>
                    <w:jc w:val="center"/>
                    <w:rPr>
                      <w:color w:val="auto"/>
                      <w:szCs w:val="21"/>
                    </w:rPr>
                  </w:pPr>
                  <w:r>
                    <w:rPr>
                      <w:color w:val="auto"/>
                      <w:szCs w:val="21"/>
                    </w:rPr>
                    <w:t>3.企业事业单位按照《企业事业单位突发环境事件应急预案备案管理办法（试行）》等要求，依法依规编制环境应急预案并定期开展演练。</w:t>
                  </w:r>
                </w:p>
              </w:tc>
              <w:tc>
                <w:tcPr>
                  <w:tcW w:w="1690" w:type="pct"/>
                  <w:vAlign w:val="center"/>
                </w:tcPr>
                <w:p w14:paraId="607A73ED">
                  <w:pPr>
                    <w:topLinePunct/>
                    <w:jc w:val="center"/>
                    <w:rPr>
                      <w:color w:val="auto"/>
                      <w:szCs w:val="21"/>
                    </w:rPr>
                  </w:pPr>
                  <w:r>
                    <w:rPr>
                      <w:color w:val="auto"/>
                      <w:szCs w:val="21"/>
                    </w:rPr>
                    <w:t>按要求执行。</w:t>
                  </w:r>
                </w:p>
              </w:tc>
              <w:tc>
                <w:tcPr>
                  <w:tcW w:w="481" w:type="pct"/>
                  <w:vAlign w:val="center"/>
                </w:tcPr>
                <w:p w14:paraId="54BE418F">
                  <w:pPr>
                    <w:topLinePunct/>
                    <w:jc w:val="center"/>
                    <w:rPr>
                      <w:color w:val="auto"/>
                      <w:szCs w:val="21"/>
                    </w:rPr>
                  </w:pPr>
                  <w:r>
                    <w:rPr>
                      <w:color w:val="auto"/>
                      <w:szCs w:val="21"/>
                    </w:rPr>
                    <w:t>符合</w:t>
                  </w:r>
                </w:p>
              </w:tc>
            </w:tr>
            <w:tr w14:paraId="64534D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310" w:type="pct"/>
                  <w:vMerge w:val="continue"/>
                  <w:vAlign w:val="center"/>
                </w:tcPr>
                <w:p w14:paraId="0C86BF8C">
                  <w:pPr>
                    <w:topLinePunct/>
                    <w:jc w:val="center"/>
                    <w:rPr>
                      <w:b/>
                      <w:bCs/>
                      <w:color w:val="auto"/>
                      <w:szCs w:val="21"/>
                      <w:highlight w:val="yellow"/>
                    </w:rPr>
                  </w:pPr>
                </w:p>
              </w:tc>
              <w:tc>
                <w:tcPr>
                  <w:tcW w:w="322" w:type="pct"/>
                  <w:vMerge w:val="continue"/>
                  <w:vAlign w:val="center"/>
                </w:tcPr>
                <w:p w14:paraId="286F21BF">
                  <w:pPr>
                    <w:topLinePunct/>
                    <w:jc w:val="center"/>
                    <w:rPr>
                      <w:b/>
                      <w:bCs/>
                      <w:color w:val="auto"/>
                      <w:szCs w:val="21"/>
                    </w:rPr>
                  </w:pPr>
                </w:p>
              </w:tc>
              <w:tc>
                <w:tcPr>
                  <w:tcW w:w="2194" w:type="pct"/>
                  <w:vAlign w:val="center"/>
                </w:tcPr>
                <w:p w14:paraId="4A6E6597">
                  <w:pPr>
                    <w:topLinePunct/>
                    <w:jc w:val="center"/>
                    <w:rPr>
                      <w:color w:val="auto"/>
                      <w:szCs w:val="21"/>
                    </w:rPr>
                  </w:pPr>
                  <w:r>
                    <w:rPr>
                      <w:color w:val="auto"/>
                      <w:szCs w:val="21"/>
                    </w:rPr>
                    <w:t>4.建立各企业危险废物的贮存、申报、经营许可（无废城市建设豁免的除外）、转移及处置管理制度，并负责对危废相应活动的全程监管和环境安全保障。</w:t>
                  </w:r>
                </w:p>
              </w:tc>
              <w:tc>
                <w:tcPr>
                  <w:tcW w:w="1690" w:type="pct"/>
                  <w:vAlign w:val="center"/>
                </w:tcPr>
                <w:p w14:paraId="083C3D75">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0A0E5EB0">
                  <w:pPr>
                    <w:topLinePunct/>
                    <w:jc w:val="center"/>
                    <w:rPr>
                      <w:color w:val="auto"/>
                      <w:szCs w:val="21"/>
                    </w:rPr>
                  </w:pPr>
                  <w:r>
                    <w:rPr>
                      <w:color w:val="auto"/>
                      <w:szCs w:val="21"/>
                    </w:rPr>
                    <w:t>符合</w:t>
                  </w:r>
                </w:p>
              </w:tc>
            </w:tr>
            <w:tr w14:paraId="2DA32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310" w:type="pct"/>
                  <w:vMerge w:val="continue"/>
                  <w:vAlign w:val="center"/>
                </w:tcPr>
                <w:p w14:paraId="6AD96621">
                  <w:pPr>
                    <w:topLinePunct/>
                    <w:jc w:val="center"/>
                    <w:rPr>
                      <w:b/>
                      <w:bCs/>
                      <w:color w:val="auto"/>
                      <w:szCs w:val="21"/>
                      <w:highlight w:val="yellow"/>
                    </w:rPr>
                  </w:pPr>
                </w:p>
              </w:tc>
              <w:tc>
                <w:tcPr>
                  <w:tcW w:w="322" w:type="pct"/>
                  <w:vMerge w:val="continue"/>
                  <w:vAlign w:val="center"/>
                </w:tcPr>
                <w:p w14:paraId="312FFB79">
                  <w:pPr>
                    <w:topLinePunct/>
                    <w:jc w:val="center"/>
                    <w:rPr>
                      <w:b/>
                      <w:bCs/>
                      <w:color w:val="auto"/>
                      <w:szCs w:val="21"/>
                    </w:rPr>
                  </w:pPr>
                </w:p>
              </w:tc>
              <w:tc>
                <w:tcPr>
                  <w:tcW w:w="2194" w:type="pct"/>
                  <w:vAlign w:val="center"/>
                </w:tcPr>
                <w:p w14:paraId="18CF119F">
                  <w:pPr>
                    <w:topLinePunct/>
                    <w:jc w:val="center"/>
                    <w:rPr>
                      <w:color w:val="auto"/>
                      <w:szCs w:val="21"/>
                    </w:rPr>
                  </w:pPr>
                  <w:r>
                    <w:rPr>
                      <w:color w:val="auto"/>
                      <w:szCs w:val="21"/>
                    </w:rPr>
                    <w:t>5.按照省市要求，做好清洁取暖改造工作。</w:t>
                  </w:r>
                </w:p>
              </w:tc>
              <w:tc>
                <w:tcPr>
                  <w:tcW w:w="1690" w:type="pct"/>
                  <w:vAlign w:val="center"/>
                </w:tcPr>
                <w:p w14:paraId="5AE3D13C">
                  <w:pPr>
                    <w:topLinePunct/>
                    <w:jc w:val="center"/>
                    <w:rPr>
                      <w:color w:val="auto"/>
                      <w:szCs w:val="21"/>
                    </w:rPr>
                  </w:pPr>
                  <w:r>
                    <w:rPr>
                      <w:color w:val="auto"/>
                      <w:szCs w:val="21"/>
                    </w:rPr>
                    <w:t>按要求执行。</w:t>
                  </w:r>
                </w:p>
              </w:tc>
              <w:tc>
                <w:tcPr>
                  <w:tcW w:w="481" w:type="pct"/>
                  <w:vAlign w:val="center"/>
                </w:tcPr>
                <w:p w14:paraId="70DEC7C8">
                  <w:pPr>
                    <w:topLinePunct/>
                    <w:jc w:val="center"/>
                    <w:rPr>
                      <w:color w:val="auto"/>
                      <w:szCs w:val="21"/>
                    </w:rPr>
                  </w:pPr>
                  <w:r>
                    <w:rPr>
                      <w:color w:val="auto"/>
                      <w:szCs w:val="21"/>
                    </w:rPr>
                    <w:t>符合</w:t>
                  </w:r>
                </w:p>
              </w:tc>
            </w:tr>
            <w:tr w14:paraId="17F6FA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6813A743">
                  <w:pPr>
                    <w:topLinePunct/>
                    <w:jc w:val="center"/>
                    <w:rPr>
                      <w:b/>
                      <w:bCs/>
                      <w:color w:val="auto"/>
                      <w:szCs w:val="21"/>
                      <w:highlight w:val="yellow"/>
                    </w:rPr>
                  </w:pPr>
                </w:p>
              </w:tc>
              <w:tc>
                <w:tcPr>
                  <w:tcW w:w="322" w:type="pct"/>
                  <w:vMerge w:val="restart"/>
                  <w:vAlign w:val="center"/>
                </w:tcPr>
                <w:p w14:paraId="5504934D">
                  <w:pPr>
                    <w:topLinePunct/>
                    <w:jc w:val="center"/>
                    <w:rPr>
                      <w:b/>
                      <w:bCs/>
                      <w:color w:val="auto"/>
                      <w:szCs w:val="21"/>
                    </w:rPr>
                  </w:pPr>
                  <w:r>
                    <w:rPr>
                      <w:color w:val="auto"/>
                      <w:szCs w:val="21"/>
                    </w:rPr>
                    <w:t>资源开放效率要求</w:t>
                  </w:r>
                </w:p>
              </w:tc>
              <w:tc>
                <w:tcPr>
                  <w:tcW w:w="2194" w:type="pct"/>
                  <w:vAlign w:val="center"/>
                </w:tcPr>
                <w:p w14:paraId="2B93C245">
                  <w:pPr>
                    <w:topLinePunct/>
                    <w:jc w:val="center"/>
                    <w:rPr>
                      <w:color w:val="auto"/>
                      <w:szCs w:val="21"/>
                    </w:rPr>
                  </w:pPr>
                  <w:r>
                    <w:rPr>
                      <w:color w:val="auto"/>
                      <w:szCs w:val="21"/>
                    </w:rPr>
                    <w:t>1.高污染燃料禁燃区内执行淄博市高污染燃料禁燃区划定文件的管控要求。</w:t>
                  </w:r>
                </w:p>
              </w:tc>
              <w:tc>
                <w:tcPr>
                  <w:tcW w:w="1690" w:type="pct"/>
                  <w:vAlign w:val="center"/>
                </w:tcPr>
                <w:p w14:paraId="5E90ADFA">
                  <w:pPr>
                    <w:topLinePunct/>
                    <w:jc w:val="center"/>
                    <w:rPr>
                      <w:color w:val="auto"/>
                      <w:szCs w:val="21"/>
                    </w:rPr>
                  </w:pPr>
                  <w:r>
                    <w:rPr>
                      <w:color w:val="auto"/>
                      <w:szCs w:val="21"/>
                    </w:rPr>
                    <w:t>本项目主要能源为水、电，均来源于就近管网，项目用水、用电量较少，符合文件要求。</w:t>
                  </w:r>
                </w:p>
              </w:tc>
              <w:tc>
                <w:tcPr>
                  <w:tcW w:w="481" w:type="pct"/>
                  <w:vAlign w:val="center"/>
                </w:tcPr>
                <w:p w14:paraId="6F6F32A6">
                  <w:pPr>
                    <w:topLinePunct/>
                    <w:jc w:val="center"/>
                    <w:rPr>
                      <w:color w:val="auto"/>
                      <w:szCs w:val="21"/>
                    </w:rPr>
                  </w:pPr>
                  <w:r>
                    <w:rPr>
                      <w:color w:val="auto"/>
                      <w:szCs w:val="21"/>
                    </w:rPr>
                    <w:t>符合</w:t>
                  </w:r>
                </w:p>
              </w:tc>
            </w:tr>
            <w:tr w14:paraId="7827F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310" w:type="pct"/>
                  <w:vMerge w:val="continue"/>
                  <w:vAlign w:val="center"/>
                </w:tcPr>
                <w:p w14:paraId="78F6AA97">
                  <w:pPr>
                    <w:topLinePunct/>
                    <w:jc w:val="center"/>
                    <w:rPr>
                      <w:b/>
                      <w:bCs/>
                      <w:color w:val="auto"/>
                      <w:szCs w:val="21"/>
                      <w:highlight w:val="yellow"/>
                    </w:rPr>
                  </w:pPr>
                </w:p>
              </w:tc>
              <w:tc>
                <w:tcPr>
                  <w:tcW w:w="322" w:type="pct"/>
                  <w:vMerge w:val="continue"/>
                  <w:vAlign w:val="center"/>
                </w:tcPr>
                <w:p w14:paraId="29FB6BFA">
                  <w:pPr>
                    <w:topLinePunct/>
                    <w:jc w:val="center"/>
                    <w:rPr>
                      <w:b/>
                      <w:bCs/>
                      <w:color w:val="auto"/>
                      <w:szCs w:val="21"/>
                    </w:rPr>
                  </w:pPr>
                </w:p>
              </w:tc>
              <w:tc>
                <w:tcPr>
                  <w:tcW w:w="2194" w:type="pct"/>
                  <w:vAlign w:val="center"/>
                </w:tcPr>
                <w:p w14:paraId="2D6A18E2">
                  <w:pPr>
                    <w:topLinePunct/>
                    <w:jc w:val="center"/>
                    <w:rPr>
                      <w:color w:val="auto"/>
                      <w:szCs w:val="21"/>
                    </w:rPr>
                  </w:pPr>
                  <w:r>
                    <w:rPr>
                      <w:color w:val="auto"/>
                      <w:szCs w:val="21"/>
                    </w:rPr>
                    <w:t>2.提升土地集约化水平。</w:t>
                  </w:r>
                </w:p>
              </w:tc>
              <w:tc>
                <w:tcPr>
                  <w:tcW w:w="1690" w:type="pct"/>
                  <w:vAlign w:val="center"/>
                </w:tcPr>
                <w:p w14:paraId="5A495F61">
                  <w:pPr>
                    <w:topLinePunct/>
                    <w:jc w:val="center"/>
                    <w:rPr>
                      <w:color w:val="auto"/>
                      <w:szCs w:val="21"/>
                    </w:rPr>
                  </w:pPr>
                  <w:r>
                    <w:rPr>
                      <w:color w:val="auto"/>
                      <w:szCs w:val="21"/>
                    </w:rPr>
                    <w:t>按要求执行。</w:t>
                  </w:r>
                </w:p>
              </w:tc>
              <w:tc>
                <w:tcPr>
                  <w:tcW w:w="481" w:type="pct"/>
                  <w:vAlign w:val="center"/>
                </w:tcPr>
                <w:p w14:paraId="4BDCFECE">
                  <w:pPr>
                    <w:topLinePunct/>
                    <w:jc w:val="center"/>
                    <w:rPr>
                      <w:color w:val="auto"/>
                      <w:szCs w:val="21"/>
                    </w:rPr>
                  </w:pPr>
                  <w:r>
                    <w:rPr>
                      <w:color w:val="auto"/>
                      <w:szCs w:val="21"/>
                    </w:rPr>
                    <w:t>符合</w:t>
                  </w:r>
                </w:p>
              </w:tc>
            </w:tr>
            <w:tr w14:paraId="09844E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vAlign w:val="center"/>
                </w:tcPr>
                <w:p w14:paraId="2FD2767F">
                  <w:pPr>
                    <w:topLinePunct/>
                    <w:jc w:val="center"/>
                    <w:rPr>
                      <w:color w:val="auto"/>
                      <w:szCs w:val="21"/>
                    </w:rPr>
                  </w:pPr>
                  <w:r>
                    <w:rPr>
                      <w:b/>
                      <w:bCs/>
                      <w:color w:val="auto"/>
                      <w:szCs w:val="21"/>
                    </w:rPr>
                    <w:t>《淄博市2023年生态环境分区管控成果动态更新项目生态环境准入清单》文件要求</w:t>
                  </w:r>
                </w:p>
              </w:tc>
              <w:tc>
                <w:tcPr>
                  <w:tcW w:w="1690" w:type="pct"/>
                  <w:vAlign w:val="center"/>
                </w:tcPr>
                <w:p w14:paraId="3818BCFB">
                  <w:pPr>
                    <w:topLinePunct/>
                    <w:jc w:val="center"/>
                    <w:rPr>
                      <w:color w:val="auto"/>
                      <w:szCs w:val="21"/>
                    </w:rPr>
                  </w:pPr>
                  <w:r>
                    <w:rPr>
                      <w:b/>
                      <w:bCs/>
                      <w:color w:val="auto"/>
                      <w:szCs w:val="21"/>
                    </w:rPr>
                    <w:t>本项目实际情况</w:t>
                  </w:r>
                </w:p>
              </w:tc>
              <w:tc>
                <w:tcPr>
                  <w:tcW w:w="481" w:type="pct"/>
                  <w:vAlign w:val="center"/>
                </w:tcPr>
                <w:p w14:paraId="2816B0AB">
                  <w:pPr>
                    <w:topLinePunct/>
                    <w:jc w:val="center"/>
                    <w:rPr>
                      <w:color w:val="auto"/>
                      <w:szCs w:val="21"/>
                    </w:rPr>
                  </w:pPr>
                  <w:r>
                    <w:rPr>
                      <w:b/>
                      <w:bCs/>
                      <w:color w:val="auto"/>
                      <w:szCs w:val="21"/>
                    </w:rPr>
                    <w:t>符合性</w:t>
                  </w:r>
                </w:p>
              </w:tc>
            </w:tr>
            <w:tr w14:paraId="4CFC8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94" w:hRule="atLeast"/>
                <w:jc w:val="center"/>
              </w:trPr>
              <w:tc>
                <w:tcPr>
                  <w:tcW w:w="310" w:type="pct"/>
                  <w:vMerge w:val="restart"/>
                  <w:vAlign w:val="center"/>
                </w:tcPr>
                <w:p w14:paraId="33C5C360">
                  <w:pPr>
                    <w:topLinePunct/>
                    <w:jc w:val="center"/>
                    <w:rPr>
                      <w:b/>
                      <w:bCs/>
                      <w:color w:val="auto"/>
                      <w:szCs w:val="21"/>
                    </w:rPr>
                  </w:pPr>
                  <w:r>
                    <w:rPr>
                      <w:color w:val="auto"/>
                      <w:szCs w:val="21"/>
                    </w:rPr>
                    <w:t>南郊镇一般管控单元</w:t>
                  </w:r>
                </w:p>
              </w:tc>
              <w:tc>
                <w:tcPr>
                  <w:tcW w:w="322" w:type="pct"/>
                  <w:vMerge w:val="restart"/>
                  <w:vAlign w:val="center"/>
                </w:tcPr>
                <w:p w14:paraId="44E4F90A">
                  <w:pPr>
                    <w:topLinePunct/>
                    <w:jc w:val="center"/>
                    <w:rPr>
                      <w:color w:val="auto"/>
                      <w:szCs w:val="21"/>
                    </w:rPr>
                  </w:pPr>
                  <w:r>
                    <w:rPr>
                      <w:color w:val="auto"/>
                      <w:szCs w:val="21"/>
                    </w:rPr>
                    <w:t>空间布局约束</w:t>
                  </w:r>
                </w:p>
              </w:tc>
              <w:tc>
                <w:tcPr>
                  <w:tcW w:w="2194" w:type="pct"/>
                  <w:vAlign w:val="center"/>
                </w:tcPr>
                <w:p w14:paraId="1F32D332">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vAlign w:val="center"/>
                </w:tcPr>
                <w:p w14:paraId="7BDCE17A">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vAlign w:val="center"/>
                </w:tcPr>
                <w:p w14:paraId="63C30DFD">
                  <w:pPr>
                    <w:topLinePunct/>
                    <w:jc w:val="center"/>
                    <w:rPr>
                      <w:color w:val="auto"/>
                      <w:szCs w:val="21"/>
                    </w:rPr>
                  </w:pPr>
                  <w:r>
                    <w:rPr>
                      <w:color w:val="auto"/>
                      <w:szCs w:val="21"/>
                    </w:rPr>
                    <w:t>符合</w:t>
                  </w:r>
                </w:p>
              </w:tc>
            </w:tr>
            <w:tr w14:paraId="12922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0" w:hRule="atLeast"/>
                <w:jc w:val="center"/>
              </w:trPr>
              <w:tc>
                <w:tcPr>
                  <w:tcW w:w="310" w:type="pct"/>
                  <w:vMerge w:val="continue"/>
                  <w:vAlign w:val="center"/>
                </w:tcPr>
                <w:p w14:paraId="0F168EBC">
                  <w:pPr>
                    <w:topLinePunct/>
                    <w:jc w:val="center"/>
                    <w:rPr>
                      <w:b/>
                      <w:bCs/>
                      <w:color w:val="auto"/>
                      <w:szCs w:val="21"/>
                    </w:rPr>
                  </w:pPr>
                </w:p>
              </w:tc>
              <w:tc>
                <w:tcPr>
                  <w:tcW w:w="322" w:type="pct"/>
                  <w:vMerge w:val="continue"/>
                  <w:vAlign w:val="center"/>
                </w:tcPr>
                <w:p w14:paraId="6F6E6E21">
                  <w:pPr>
                    <w:topLinePunct/>
                    <w:jc w:val="center"/>
                    <w:rPr>
                      <w:b/>
                      <w:bCs/>
                      <w:color w:val="auto"/>
                      <w:szCs w:val="21"/>
                    </w:rPr>
                  </w:pPr>
                </w:p>
              </w:tc>
              <w:tc>
                <w:tcPr>
                  <w:tcW w:w="2194" w:type="pct"/>
                  <w:vAlign w:val="center"/>
                </w:tcPr>
                <w:p w14:paraId="7A83CBCA">
                  <w:pPr>
                    <w:topLinePunct/>
                    <w:jc w:val="center"/>
                    <w:rPr>
                      <w:color w:val="auto"/>
                      <w:szCs w:val="21"/>
                    </w:rPr>
                  </w:pPr>
                  <w:r>
                    <w:rPr>
                      <w:color w:val="auto"/>
                      <w:szCs w:val="21"/>
                    </w:rPr>
                    <w:t>2.大气布局敏感区从严控制新建、扩建排放大气污染物的工业项目；科学合理规划布局商业、居住并严格执行。</w:t>
                  </w:r>
                </w:p>
              </w:tc>
              <w:tc>
                <w:tcPr>
                  <w:tcW w:w="1690" w:type="pct"/>
                  <w:vAlign w:val="center"/>
                </w:tcPr>
                <w:p w14:paraId="2D2E027D">
                  <w:pPr>
                    <w:topLinePunct/>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bCs/>
                      <w:color w:val="auto"/>
                      <w:szCs w:val="21"/>
                      <w:highlight w:val="none"/>
                    </w:rPr>
                    <w:t>施工扬尘采取洒水、设置围挡等措施；燃油机械及车辆产生的废气无组织排放，大型车辆安装尾气净化器；</w:t>
                  </w:r>
                  <w:r>
                    <w:rPr>
                      <w:color w:val="auto"/>
                      <w:highlight w:val="none"/>
                    </w:rPr>
                    <w:t>清淤工程采用集中施工方式，尽量缩短清淤施工时间，降低恶臭废气对周围环境影响。</w:t>
                  </w:r>
                </w:p>
              </w:tc>
              <w:tc>
                <w:tcPr>
                  <w:tcW w:w="481" w:type="pct"/>
                  <w:vAlign w:val="center"/>
                </w:tcPr>
                <w:p w14:paraId="592243DC">
                  <w:pPr>
                    <w:topLinePunct/>
                    <w:jc w:val="center"/>
                    <w:rPr>
                      <w:color w:val="auto"/>
                      <w:szCs w:val="21"/>
                    </w:rPr>
                  </w:pPr>
                  <w:r>
                    <w:rPr>
                      <w:color w:val="auto"/>
                      <w:szCs w:val="21"/>
                    </w:rPr>
                    <w:t>符合</w:t>
                  </w:r>
                </w:p>
              </w:tc>
            </w:tr>
            <w:tr w14:paraId="0EE6C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6" w:hRule="atLeast"/>
                <w:jc w:val="center"/>
              </w:trPr>
              <w:tc>
                <w:tcPr>
                  <w:tcW w:w="310" w:type="pct"/>
                  <w:vMerge w:val="continue"/>
                  <w:vAlign w:val="center"/>
                </w:tcPr>
                <w:p w14:paraId="0D3826BF">
                  <w:pPr>
                    <w:topLinePunct/>
                    <w:jc w:val="center"/>
                    <w:rPr>
                      <w:b/>
                      <w:bCs/>
                      <w:color w:val="auto"/>
                      <w:szCs w:val="21"/>
                      <w:highlight w:val="yellow"/>
                    </w:rPr>
                  </w:pPr>
                </w:p>
              </w:tc>
              <w:tc>
                <w:tcPr>
                  <w:tcW w:w="322" w:type="pct"/>
                  <w:vMerge w:val="continue"/>
                  <w:vAlign w:val="center"/>
                </w:tcPr>
                <w:p w14:paraId="3E332908">
                  <w:pPr>
                    <w:topLinePunct/>
                    <w:jc w:val="center"/>
                    <w:rPr>
                      <w:b/>
                      <w:bCs/>
                      <w:color w:val="auto"/>
                      <w:szCs w:val="21"/>
                    </w:rPr>
                  </w:pPr>
                </w:p>
              </w:tc>
              <w:tc>
                <w:tcPr>
                  <w:tcW w:w="2194" w:type="pct"/>
                  <w:vAlign w:val="center"/>
                </w:tcPr>
                <w:p w14:paraId="4BB9E1DC">
                  <w:pPr>
                    <w:topLinePunct/>
                    <w:jc w:val="center"/>
                    <w:rPr>
                      <w:color w:val="auto"/>
                      <w:szCs w:val="21"/>
                    </w:rPr>
                  </w:pPr>
                  <w:r>
                    <w:rPr>
                      <w:color w:val="auto"/>
                      <w:szCs w:val="21"/>
                    </w:rPr>
                    <w:t>3.污水处理设施不健全、未正常运行或污水管网未覆盖的地区，未配套污水处理设施的项目不得建设。</w:t>
                  </w:r>
                </w:p>
              </w:tc>
              <w:tc>
                <w:tcPr>
                  <w:tcW w:w="1690" w:type="pct"/>
                  <w:vAlign w:val="center"/>
                </w:tcPr>
                <w:p w14:paraId="351A997A">
                  <w:pPr>
                    <w:topLinePunct/>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587EAE04">
                  <w:pPr>
                    <w:topLinePunct/>
                    <w:jc w:val="center"/>
                    <w:rPr>
                      <w:color w:val="auto"/>
                      <w:szCs w:val="21"/>
                    </w:rPr>
                  </w:pPr>
                  <w:r>
                    <w:rPr>
                      <w:color w:val="auto"/>
                      <w:szCs w:val="21"/>
                    </w:rPr>
                    <w:t>符合</w:t>
                  </w:r>
                </w:p>
              </w:tc>
            </w:tr>
            <w:tr w14:paraId="16E272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10" w:type="pct"/>
                  <w:vMerge w:val="continue"/>
                  <w:vAlign w:val="center"/>
                </w:tcPr>
                <w:p w14:paraId="45942A68">
                  <w:pPr>
                    <w:topLinePunct/>
                    <w:jc w:val="center"/>
                    <w:rPr>
                      <w:b/>
                      <w:bCs/>
                      <w:color w:val="auto"/>
                      <w:szCs w:val="21"/>
                      <w:highlight w:val="yellow"/>
                    </w:rPr>
                  </w:pPr>
                </w:p>
              </w:tc>
              <w:tc>
                <w:tcPr>
                  <w:tcW w:w="322" w:type="pct"/>
                  <w:vMerge w:val="continue"/>
                  <w:vAlign w:val="center"/>
                </w:tcPr>
                <w:p w14:paraId="602B9EA9">
                  <w:pPr>
                    <w:topLinePunct/>
                    <w:jc w:val="center"/>
                    <w:rPr>
                      <w:b/>
                      <w:bCs/>
                      <w:color w:val="auto"/>
                      <w:szCs w:val="21"/>
                    </w:rPr>
                  </w:pPr>
                </w:p>
              </w:tc>
              <w:tc>
                <w:tcPr>
                  <w:tcW w:w="2194" w:type="pct"/>
                  <w:vAlign w:val="center"/>
                </w:tcPr>
                <w:p w14:paraId="0472B328">
                  <w:pPr>
                    <w:topLinePunct/>
                    <w:jc w:val="center"/>
                    <w:rPr>
                      <w:color w:val="auto"/>
                      <w:szCs w:val="21"/>
                    </w:rPr>
                  </w:pPr>
                  <w:r>
                    <w:rPr>
                      <w:color w:val="auto"/>
                      <w:szCs w:val="21"/>
                    </w:rPr>
                    <w:t>4.新建有污染物排放的工业项目，除在安全生产等方面有特殊要求的以外，应当进入工业园区或工业聚集区。</w:t>
                  </w:r>
                </w:p>
              </w:tc>
              <w:tc>
                <w:tcPr>
                  <w:tcW w:w="1690" w:type="pct"/>
                  <w:vAlign w:val="center"/>
                </w:tcPr>
                <w:p w14:paraId="3F4FBF60">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716DA867">
                  <w:pPr>
                    <w:topLinePunct/>
                    <w:jc w:val="center"/>
                    <w:rPr>
                      <w:color w:val="auto"/>
                      <w:szCs w:val="21"/>
                    </w:rPr>
                  </w:pPr>
                  <w:r>
                    <w:rPr>
                      <w:color w:val="auto"/>
                      <w:szCs w:val="21"/>
                    </w:rPr>
                    <w:t>符合</w:t>
                  </w:r>
                </w:p>
              </w:tc>
            </w:tr>
            <w:tr w14:paraId="3A9EA1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08420A07">
                  <w:pPr>
                    <w:topLinePunct/>
                    <w:jc w:val="center"/>
                    <w:rPr>
                      <w:b/>
                      <w:bCs/>
                      <w:color w:val="auto"/>
                      <w:szCs w:val="21"/>
                    </w:rPr>
                  </w:pPr>
                </w:p>
              </w:tc>
              <w:tc>
                <w:tcPr>
                  <w:tcW w:w="322" w:type="pct"/>
                  <w:vMerge w:val="continue"/>
                  <w:vAlign w:val="center"/>
                </w:tcPr>
                <w:p w14:paraId="6887696F">
                  <w:pPr>
                    <w:topLinePunct/>
                    <w:jc w:val="center"/>
                    <w:rPr>
                      <w:b/>
                      <w:bCs/>
                      <w:color w:val="auto"/>
                      <w:szCs w:val="21"/>
                    </w:rPr>
                  </w:pPr>
                </w:p>
              </w:tc>
              <w:tc>
                <w:tcPr>
                  <w:tcW w:w="2194" w:type="pct"/>
                  <w:vAlign w:val="center"/>
                </w:tcPr>
                <w:p w14:paraId="2DE4BEB0">
                  <w:pPr>
                    <w:topLinePunct/>
                    <w:jc w:val="center"/>
                    <w:rPr>
                      <w:color w:val="auto"/>
                      <w:szCs w:val="21"/>
                    </w:rPr>
                  </w:pPr>
                  <w:r>
                    <w:rPr>
                      <w:color w:val="auto"/>
                      <w:szCs w:val="21"/>
                    </w:rPr>
                    <w:t>5.按照省市要求，严格控制“两高”项目，新建“两高”项目实行“五个减量替代”。</w:t>
                  </w:r>
                </w:p>
              </w:tc>
              <w:tc>
                <w:tcPr>
                  <w:tcW w:w="1690" w:type="pct"/>
                  <w:vAlign w:val="center"/>
                </w:tcPr>
                <w:p w14:paraId="3B7426FA">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720811C5">
                  <w:pPr>
                    <w:topLinePunct/>
                    <w:jc w:val="center"/>
                    <w:rPr>
                      <w:color w:val="auto"/>
                      <w:szCs w:val="21"/>
                    </w:rPr>
                  </w:pPr>
                  <w:r>
                    <w:rPr>
                      <w:color w:val="auto"/>
                      <w:szCs w:val="21"/>
                    </w:rPr>
                    <w:t>符合</w:t>
                  </w:r>
                </w:p>
              </w:tc>
            </w:tr>
            <w:tr w14:paraId="446DC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729F3F85">
                  <w:pPr>
                    <w:topLinePunct/>
                    <w:jc w:val="center"/>
                    <w:rPr>
                      <w:b/>
                      <w:bCs/>
                      <w:color w:val="auto"/>
                      <w:szCs w:val="21"/>
                      <w:highlight w:val="yellow"/>
                    </w:rPr>
                  </w:pPr>
                </w:p>
              </w:tc>
              <w:tc>
                <w:tcPr>
                  <w:tcW w:w="322" w:type="pct"/>
                  <w:vMerge w:val="restart"/>
                  <w:vAlign w:val="center"/>
                </w:tcPr>
                <w:p w14:paraId="6254B9C4">
                  <w:pPr>
                    <w:topLinePunct/>
                    <w:jc w:val="center"/>
                    <w:rPr>
                      <w:color w:val="auto"/>
                      <w:szCs w:val="21"/>
                    </w:rPr>
                  </w:pPr>
                  <w:r>
                    <w:rPr>
                      <w:color w:val="auto"/>
                      <w:szCs w:val="21"/>
                    </w:rPr>
                    <w:t>污染物排放管控</w:t>
                  </w:r>
                </w:p>
              </w:tc>
              <w:tc>
                <w:tcPr>
                  <w:tcW w:w="2194" w:type="pct"/>
                  <w:vAlign w:val="center"/>
                </w:tcPr>
                <w:p w14:paraId="67677622">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072BDFB4">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3931BEB4">
                  <w:pPr>
                    <w:topLinePunct/>
                    <w:jc w:val="center"/>
                    <w:rPr>
                      <w:color w:val="auto"/>
                      <w:szCs w:val="21"/>
                    </w:rPr>
                  </w:pPr>
                  <w:r>
                    <w:rPr>
                      <w:color w:val="auto"/>
                      <w:szCs w:val="21"/>
                    </w:rPr>
                    <w:t>符合</w:t>
                  </w:r>
                </w:p>
              </w:tc>
            </w:tr>
            <w:tr w14:paraId="6B68D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310" w:type="pct"/>
                  <w:vMerge w:val="continue"/>
                  <w:vAlign w:val="center"/>
                </w:tcPr>
                <w:p w14:paraId="43C66E88">
                  <w:pPr>
                    <w:topLinePunct/>
                    <w:jc w:val="center"/>
                    <w:rPr>
                      <w:b/>
                      <w:bCs/>
                      <w:color w:val="auto"/>
                      <w:szCs w:val="21"/>
                      <w:highlight w:val="yellow"/>
                    </w:rPr>
                  </w:pPr>
                </w:p>
              </w:tc>
              <w:tc>
                <w:tcPr>
                  <w:tcW w:w="322" w:type="pct"/>
                  <w:vMerge w:val="continue"/>
                  <w:vAlign w:val="center"/>
                </w:tcPr>
                <w:p w14:paraId="2E8B2316">
                  <w:pPr>
                    <w:topLinePunct/>
                    <w:jc w:val="center"/>
                    <w:rPr>
                      <w:b/>
                      <w:bCs/>
                      <w:color w:val="auto"/>
                      <w:szCs w:val="21"/>
                    </w:rPr>
                  </w:pPr>
                </w:p>
              </w:tc>
              <w:tc>
                <w:tcPr>
                  <w:tcW w:w="2194" w:type="pct"/>
                  <w:vAlign w:val="center"/>
                </w:tcPr>
                <w:p w14:paraId="2ACDC801">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337E8D01">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18F43383">
                  <w:pPr>
                    <w:topLinePunct/>
                    <w:jc w:val="center"/>
                    <w:rPr>
                      <w:color w:val="auto"/>
                      <w:szCs w:val="21"/>
                    </w:rPr>
                  </w:pPr>
                  <w:r>
                    <w:rPr>
                      <w:color w:val="auto"/>
                      <w:szCs w:val="21"/>
                    </w:rPr>
                    <w:t>符合</w:t>
                  </w:r>
                </w:p>
              </w:tc>
            </w:tr>
            <w:tr w14:paraId="6F9C4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30B56B03">
                  <w:pPr>
                    <w:topLinePunct/>
                    <w:jc w:val="center"/>
                    <w:rPr>
                      <w:b/>
                      <w:bCs/>
                      <w:color w:val="auto"/>
                      <w:szCs w:val="21"/>
                      <w:highlight w:val="yellow"/>
                    </w:rPr>
                  </w:pPr>
                </w:p>
              </w:tc>
              <w:tc>
                <w:tcPr>
                  <w:tcW w:w="322" w:type="pct"/>
                  <w:vMerge w:val="continue"/>
                  <w:vAlign w:val="center"/>
                </w:tcPr>
                <w:p w14:paraId="3AD72A48">
                  <w:pPr>
                    <w:topLinePunct/>
                    <w:jc w:val="center"/>
                    <w:rPr>
                      <w:b/>
                      <w:bCs/>
                      <w:color w:val="auto"/>
                      <w:szCs w:val="21"/>
                    </w:rPr>
                  </w:pPr>
                </w:p>
              </w:tc>
              <w:tc>
                <w:tcPr>
                  <w:tcW w:w="2194" w:type="pct"/>
                  <w:vAlign w:val="center"/>
                </w:tcPr>
                <w:p w14:paraId="6B7DDDFA">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56B9A725">
                  <w:pPr>
                    <w:topLinePunct/>
                    <w:jc w:val="center"/>
                    <w:rPr>
                      <w:color w:val="auto"/>
                      <w:szCs w:val="21"/>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2B4E22DD">
                  <w:pPr>
                    <w:topLinePunct/>
                    <w:jc w:val="center"/>
                    <w:rPr>
                      <w:color w:val="auto"/>
                      <w:szCs w:val="21"/>
                    </w:rPr>
                  </w:pPr>
                  <w:r>
                    <w:rPr>
                      <w:color w:val="auto"/>
                      <w:szCs w:val="21"/>
                    </w:rPr>
                    <w:t>符合</w:t>
                  </w:r>
                </w:p>
              </w:tc>
            </w:tr>
            <w:tr w14:paraId="682E17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5A13124A">
                  <w:pPr>
                    <w:topLinePunct/>
                    <w:jc w:val="center"/>
                    <w:rPr>
                      <w:b/>
                      <w:bCs/>
                      <w:color w:val="auto"/>
                      <w:szCs w:val="21"/>
                      <w:highlight w:val="yellow"/>
                    </w:rPr>
                  </w:pPr>
                </w:p>
              </w:tc>
              <w:tc>
                <w:tcPr>
                  <w:tcW w:w="322" w:type="pct"/>
                  <w:vMerge w:val="continue"/>
                  <w:vAlign w:val="center"/>
                </w:tcPr>
                <w:p w14:paraId="28B17F5E">
                  <w:pPr>
                    <w:topLinePunct/>
                    <w:jc w:val="center"/>
                    <w:rPr>
                      <w:b/>
                      <w:bCs/>
                      <w:color w:val="auto"/>
                      <w:szCs w:val="21"/>
                    </w:rPr>
                  </w:pPr>
                </w:p>
              </w:tc>
              <w:tc>
                <w:tcPr>
                  <w:tcW w:w="2194" w:type="pct"/>
                  <w:vAlign w:val="center"/>
                </w:tcPr>
                <w:p w14:paraId="3C7014DC">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32DD225A">
                  <w:pPr>
                    <w:topLinePunct/>
                    <w:jc w:val="center"/>
                    <w:rPr>
                      <w:color w:val="auto"/>
                      <w:szCs w:val="21"/>
                    </w:rPr>
                  </w:pPr>
                  <w:r>
                    <w:rPr>
                      <w:color w:val="auto"/>
                      <w:szCs w:val="21"/>
                    </w:rPr>
                    <w:t>本项目无废水外排，不新建入河排污口。</w:t>
                  </w:r>
                </w:p>
              </w:tc>
              <w:tc>
                <w:tcPr>
                  <w:tcW w:w="481" w:type="pct"/>
                  <w:vAlign w:val="center"/>
                </w:tcPr>
                <w:p w14:paraId="687B95C8">
                  <w:pPr>
                    <w:topLinePunct/>
                    <w:jc w:val="center"/>
                    <w:rPr>
                      <w:color w:val="auto"/>
                      <w:szCs w:val="21"/>
                    </w:rPr>
                  </w:pPr>
                  <w:r>
                    <w:rPr>
                      <w:color w:val="auto"/>
                      <w:szCs w:val="21"/>
                    </w:rPr>
                    <w:t>符合</w:t>
                  </w:r>
                </w:p>
              </w:tc>
            </w:tr>
            <w:tr w14:paraId="2033CA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310" w:type="pct"/>
                  <w:vMerge w:val="continue"/>
                  <w:vAlign w:val="center"/>
                </w:tcPr>
                <w:p w14:paraId="4B4CA279">
                  <w:pPr>
                    <w:topLinePunct/>
                    <w:jc w:val="center"/>
                    <w:rPr>
                      <w:b/>
                      <w:bCs/>
                      <w:color w:val="auto"/>
                      <w:szCs w:val="21"/>
                      <w:highlight w:val="yellow"/>
                    </w:rPr>
                  </w:pPr>
                </w:p>
              </w:tc>
              <w:tc>
                <w:tcPr>
                  <w:tcW w:w="322" w:type="pct"/>
                  <w:vMerge w:val="continue"/>
                  <w:vAlign w:val="center"/>
                </w:tcPr>
                <w:p w14:paraId="5601DDE3">
                  <w:pPr>
                    <w:topLinePunct/>
                    <w:jc w:val="center"/>
                    <w:rPr>
                      <w:b/>
                      <w:bCs/>
                      <w:color w:val="auto"/>
                      <w:szCs w:val="21"/>
                    </w:rPr>
                  </w:pPr>
                </w:p>
              </w:tc>
              <w:tc>
                <w:tcPr>
                  <w:tcW w:w="2194" w:type="pct"/>
                  <w:vAlign w:val="center"/>
                </w:tcPr>
                <w:p w14:paraId="20AA36D1">
                  <w:pPr>
                    <w:topLinePunct/>
                    <w:jc w:val="center"/>
                    <w:rPr>
                      <w:color w:val="auto"/>
                      <w:szCs w:val="21"/>
                    </w:rPr>
                  </w:pPr>
                  <w:r>
                    <w:rPr>
                      <w:color w:val="auto"/>
                      <w:szCs w:val="21"/>
                    </w:rPr>
                    <w:t>5.包装印刷、表面涂装等涉VOCs排放的行业，严格按照淄博市行业环境管控要求，实施源头替代，建立健全治理设施，确保污染物稳定达标排放，做到持证排污。</w:t>
                  </w:r>
                </w:p>
              </w:tc>
              <w:tc>
                <w:tcPr>
                  <w:tcW w:w="1690" w:type="pct"/>
                  <w:vAlign w:val="center"/>
                </w:tcPr>
                <w:p w14:paraId="3D05B23D">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1E939E7C">
                  <w:pPr>
                    <w:topLinePunct/>
                    <w:jc w:val="center"/>
                    <w:rPr>
                      <w:color w:val="auto"/>
                      <w:szCs w:val="21"/>
                    </w:rPr>
                  </w:pPr>
                  <w:r>
                    <w:rPr>
                      <w:color w:val="auto"/>
                      <w:szCs w:val="21"/>
                    </w:rPr>
                    <w:t>符合</w:t>
                  </w:r>
                </w:p>
              </w:tc>
            </w:tr>
            <w:tr w14:paraId="336A7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7DDCECC2">
                  <w:pPr>
                    <w:topLinePunct/>
                    <w:jc w:val="center"/>
                    <w:rPr>
                      <w:b/>
                      <w:bCs/>
                      <w:color w:val="auto"/>
                      <w:szCs w:val="21"/>
                      <w:highlight w:val="yellow"/>
                    </w:rPr>
                  </w:pPr>
                </w:p>
              </w:tc>
              <w:tc>
                <w:tcPr>
                  <w:tcW w:w="322" w:type="pct"/>
                  <w:vMerge w:val="continue"/>
                  <w:vAlign w:val="center"/>
                </w:tcPr>
                <w:p w14:paraId="1F73B9DA">
                  <w:pPr>
                    <w:topLinePunct/>
                    <w:jc w:val="center"/>
                    <w:rPr>
                      <w:b/>
                      <w:bCs/>
                      <w:color w:val="auto"/>
                      <w:szCs w:val="21"/>
                    </w:rPr>
                  </w:pPr>
                </w:p>
              </w:tc>
              <w:tc>
                <w:tcPr>
                  <w:tcW w:w="2194" w:type="pct"/>
                  <w:vAlign w:val="center"/>
                </w:tcPr>
                <w:p w14:paraId="35AD9EE9">
                  <w:pPr>
                    <w:topLinePunct/>
                    <w:jc w:val="center"/>
                    <w:rPr>
                      <w:color w:val="auto"/>
                      <w:szCs w:val="21"/>
                    </w:rPr>
                  </w:pPr>
                  <w:r>
                    <w:rPr>
                      <w:color w:val="auto"/>
                      <w:szCs w:val="21"/>
                    </w:rPr>
                    <w:t>6.进一步加强对建设工程施工、建筑物拆除、交通运输、道路保洁、物料运输与堆存、采石取土、养护绿化等活动的扬尘管理。</w:t>
                  </w:r>
                </w:p>
              </w:tc>
              <w:tc>
                <w:tcPr>
                  <w:tcW w:w="1690" w:type="pct"/>
                  <w:vAlign w:val="center"/>
                </w:tcPr>
                <w:p w14:paraId="60B62BC1">
                  <w:pPr>
                    <w:topLinePunct/>
                    <w:jc w:val="center"/>
                    <w:rPr>
                      <w:color w:val="auto"/>
                      <w:szCs w:val="21"/>
                    </w:rPr>
                  </w:pPr>
                  <w:r>
                    <w:rPr>
                      <w:color w:val="auto"/>
                      <w:szCs w:val="21"/>
                    </w:rPr>
                    <w:t>按要求执行。</w:t>
                  </w:r>
                </w:p>
              </w:tc>
              <w:tc>
                <w:tcPr>
                  <w:tcW w:w="481" w:type="pct"/>
                  <w:vAlign w:val="center"/>
                </w:tcPr>
                <w:p w14:paraId="47B98685">
                  <w:pPr>
                    <w:topLinePunct/>
                    <w:jc w:val="center"/>
                    <w:rPr>
                      <w:color w:val="auto"/>
                      <w:szCs w:val="21"/>
                    </w:rPr>
                  </w:pPr>
                  <w:r>
                    <w:rPr>
                      <w:color w:val="auto"/>
                      <w:szCs w:val="21"/>
                    </w:rPr>
                    <w:t>符合</w:t>
                  </w:r>
                </w:p>
              </w:tc>
            </w:tr>
            <w:tr w14:paraId="4A01C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17324379">
                  <w:pPr>
                    <w:topLinePunct/>
                    <w:jc w:val="center"/>
                    <w:rPr>
                      <w:b/>
                      <w:bCs/>
                      <w:color w:val="auto"/>
                      <w:szCs w:val="21"/>
                      <w:highlight w:val="yellow"/>
                    </w:rPr>
                  </w:pPr>
                </w:p>
              </w:tc>
              <w:tc>
                <w:tcPr>
                  <w:tcW w:w="322" w:type="pct"/>
                  <w:vMerge w:val="restart"/>
                  <w:vAlign w:val="center"/>
                </w:tcPr>
                <w:p w14:paraId="7E532F34">
                  <w:pPr>
                    <w:topLinePunct/>
                    <w:jc w:val="center"/>
                    <w:rPr>
                      <w:color w:val="auto"/>
                      <w:szCs w:val="21"/>
                    </w:rPr>
                  </w:pPr>
                  <w:r>
                    <w:rPr>
                      <w:color w:val="auto"/>
                      <w:szCs w:val="21"/>
                    </w:rPr>
                    <w:t>环境风险防控</w:t>
                  </w:r>
                </w:p>
              </w:tc>
              <w:tc>
                <w:tcPr>
                  <w:tcW w:w="2194" w:type="pct"/>
                  <w:vAlign w:val="center"/>
                </w:tcPr>
                <w:p w14:paraId="5846CB36">
                  <w:pPr>
                    <w:topLinePunct/>
                    <w:jc w:val="center"/>
                    <w:rPr>
                      <w:color w:val="auto"/>
                      <w:szCs w:val="21"/>
                    </w:rPr>
                  </w:pPr>
                  <w:r>
                    <w:rPr>
                      <w:color w:val="auto"/>
                      <w:szCs w:val="21"/>
                    </w:rPr>
                    <w:t>1.加强农田土壤、灌溉水的监测，对周边区域环境风险源进行评估。</w:t>
                  </w:r>
                </w:p>
              </w:tc>
              <w:tc>
                <w:tcPr>
                  <w:tcW w:w="1690" w:type="pct"/>
                  <w:vAlign w:val="center"/>
                </w:tcPr>
                <w:p w14:paraId="2EEEB10F">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160B4925">
                  <w:pPr>
                    <w:topLinePunct/>
                    <w:jc w:val="center"/>
                    <w:rPr>
                      <w:color w:val="auto"/>
                      <w:szCs w:val="21"/>
                    </w:rPr>
                  </w:pPr>
                  <w:r>
                    <w:rPr>
                      <w:color w:val="auto"/>
                      <w:szCs w:val="21"/>
                    </w:rPr>
                    <w:t>符合</w:t>
                  </w:r>
                </w:p>
              </w:tc>
            </w:tr>
            <w:tr w14:paraId="7A2B83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10" w:type="pct"/>
                  <w:vMerge w:val="continue"/>
                  <w:vAlign w:val="center"/>
                </w:tcPr>
                <w:p w14:paraId="41839782">
                  <w:pPr>
                    <w:topLinePunct/>
                    <w:jc w:val="center"/>
                    <w:rPr>
                      <w:b/>
                      <w:bCs/>
                      <w:color w:val="auto"/>
                      <w:szCs w:val="21"/>
                      <w:highlight w:val="yellow"/>
                    </w:rPr>
                  </w:pPr>
                </w:p>
              </w:tc>
              <w:tc>
                <w:tcPr>
                  <w:tcW w:w="322" w:type="pct"/>
                  <w:vMerge w:val="continue"/>
                  <w:vAlign w:val="center"/>
                </w:tcPr>
                <w:p w14:paraId="70582C2B">
                  <w:pPr>
                    <w:topLinePunct/>
                    <w:jc w:val="center"/>
                    <w:rPr>
                      <w:color w:val="auto"/>
                      <w:szCs w:val="21"/>
                    </w:rPr>
                  </w:pPr>
                </w:p>
              </w:tc>
              <w:tc>
                <w:tcPr>
                  <w:tcW w:w="2194" w:type="pct"/>
                  <w:vAlign w:val="center"/>
                </w:tcPr>
                <w:p w14:paraId="01A35494">
                  <w:pPr>
                    <w:topLinePunct/>
                    <w:jc w:val="center"/>
                    <w:rPr>
                      <w:color w:val="auto"/>
                      <w:szCs w:val="21"/>
                    </w:rPr>
                  </w:pPr>
                  <w:r>
                    <w:rPr>
                      <w:color w:val="auto"/>
                      <w:szCs w:val="21"/>
                    </w:rPr>
                    <w:t>2.企业事业单位按照《企业事业单位突发环境事件应急预案备案管理办法（试行）》等要求，依法依规编制环境应急预案并定期开展演练。</w:t>
                  </w:r>
                </w:p>
              </w:tc>
              <w:tc>
                <w:tcPr>
                  <w:tcW w:w="1690" w:type="pct"/>
                  <w:vAlign w:val="center"/>
                </w:tcPr>
                <w:p w14:paraId="71F0550E">
                  <w:pPr>
                    <w:topLinePunct/>
                    <w:jc w:val="center"/>
                    <w:rPr>
                      <w:color w:val="auto"/>
                      <w:szCs w:val="21"/>
                    </w:rPr>
                  </w:pPr>
                  <w:r>
                    <w:rPr>
                      <w:color w:val="auto"/>
                      <w:szCs w:val="21"/>
                    </w:rPr>
                    <w:t>按要求执行。</w:t>
                  </w:r>
                </w:p>
              </w:tc>
              <w:tc>
                <w:tcPr>
                  <w:tcW w:w="481" w:type="pct"/>
                  <w:vAlign w:val="center"/>
                </w:tcPr>
                <w:p w14:paraId="2BFBE922">
                  <w:pPr>
                    <w:topLinePunct/>
                    <w:jc w:val="center"/>
                    <w:rPr>
                      <w:color w:val="auto"/>
                      <w:szCs w:val="21"/>
                    </w:rPr>
                  </w:pPr>
                  <w:r>
                    <w:rPr>
                      <w:color w:val="auto"/>
                      <w:szCs w:val="21"/>
                    </w:rPr>
                    <w:t>符合</w:t>
                  </w:r>
                </w:p>
              </w:tc>
            </w:tr>
            <w:tr w14:paraId="2CDC7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310" w:type="pct"/>
                  <w:vMerge w:val="continue"/>
                  <w:vAlign w:val="center"/>
                </w:tcPr>
                <w:p w14:paraId="7268A618">
                  <w:pPr>
                    <w:topLinePunct/>
                    <w:jc w:val="center"/>
                    <w:rPr>
                      <w:b/>
                      <w:bCs/>
                      <w:color w:val="auto"/>
                      <w:szCs w:val="21"/>
                      <w:highlight w:val="yellow"/>
                    </w:rPr>
                  </w:pPr>
                </w:p>
              </w:tc>
              <w:tc>
                <w:tcPr>
                  <w:tcW w:w="322" w:type="pct"/>
                  <w:vMerge w:val="continue"/>
                  <w:vAlign w:val="center"/>
                </w:tcPr>
                <w:p w14:paraId="33B8E3ED">
                  <w:pPr>
                    <w:topLinePunct/>
                    <w:jc w:val="center"/>
                    <w:rPr>
                      <w:b/>
                      <w:bCs/>
                      <w:color w:val="auto"/>
                      <w:szCs w:val="21"/>
                    </w:rPr>
                  </w:pPr>
                </w:p>
              </w:tc>
              <w:tc>
                <w:tcPr>
                  <w:tcW w:w="2194" w:type="pct"/>
                  <w:vAlign w:val="center"/>
                </w:tcPr>
                <w:p w14:paraId="570CC2A7">
                  <w:pPr>
                    <w:topLinePunct/>
                    <w:jc w:val="center"/>
                    <w:rPr>
                      <w:color w:val="auto"/>
                      <w:szCs w:val="21"/>
                    </w:rPr>
                  </w:pPr>
                  <w:r>
                    <w:rPr>
                      <w:color w:val="auto"/>
                      <w:szCs w:val="21"/>
                    </w:rPr>
                    <w:t>3.建立各企业危险废物的贮存、申报、经营许可（无废城市建设豁免的除外）、转移及处置管理制度，并负责对危废相应活动的全程监管和环境安全保障。</w:t>
                  </w:r>
                </w:p>
              </w:tc>
              <w:tc>
                <w:tcPr>
                  <w:tcW w:w="1690" w:type="pct"/>
                  <w:vAlign w:val="center"/>
                </w:tcPr>
                <w:p w14:paraId="1F946C6B">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1C0FFFFE">
                  <w:pPr>
                    <w:topLinePunct/>
                    <w:jc w:val="center"/>
                    <w:rPr>
                      <w:color w:val="auto"/>
                      <w:szCs w:val="21"/>
                    </w:rPr>
                  </w:pPr>
                  <w:r>
                    <w:rPr>
                      <w:color w:val="auto"/>
                      <w:szCs w:val="21"/>
                    </w:rPr>
                    <w:t>符合</w:t>
                  </w:r>
                </w:p>
              </w:tc>
            </w:tr>
            <w:tr w14:paraId="6AA1E9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6" w:hRule="atLeast"/>
                <w:jc w:val="center"/>
              </w:trPr>
              <w:tc>
                <w:tcPr>
                  <w:tcW w:w="310" w:type="pct"/>
                  <w:vMerge w:val="continue"/>
                  <w:vAlign w:val="center"/>
                </w:tcPr>
                <w:p w14:paraId="202D709A">
                  <w:pPr>
                    <w:topLinePunct/>
                    <w:jc w:val="center"/>
                    <w:rPr>
                      <w:b/>
                      <w:bCs/>
                      <w:color w:val="auto"/>
                      <w:szCs w:val="21"/>
                      <w:highlight w:val="yellow"/>
                    </w:rPr>
                  </w:pPr>
                </w:p>
              </w:tc>
              <w:tc>
                <w:tcPr>
                  <w:tcW w:w="322" w:type="pct"/>
                  <w:vMerge w:val="continue"/>
                  <w:vAlign w:val="center"/>
                </w:tcPr>
                <w:p w14:paraId="0A459206">
                  <w:pPr>
                    <w:topLinePunct/>
                    <w:jc w:val="center"/>
                    <w:rPr>
                      <w:b/>
                      <w:bCs/>
                      <w:color w:val="auto"/>
                      <w:szCs w:val="21"/>
                    </w:rPr>
                  </w:pPr>
                </w:p>
              </w:tc>
              <w:tc>
                <w:tcPr>
                  <w:tcW w:w="2194" w:type="pct"/>
                  <w:vAlign w:val="center"/>
                </w:tcPr>
                <w:p w14:paraId="29FFADFF">
                  <w:pPr>
                    <w:topLinePunct/>
                    <w:jc w:val="center"/>
                    <w:rPr>
                      <w:color w:val="auto"/>
                      <w:szCs w:val="21"/>
                    </w:rPr>
                  </w:pPr>
                  <w:r>
                    <w:rPr>
                      <w:color w:val="auto"/>
                      <w:szCs w:val="21"/>
                    </w:rPr>
                    <w:t>4.污染地块依法开展土壤污染状况调查、风险管控或者修复，未完成调查以及未达到土壤污染风险评估报告确定的风险管控、修复目标的地块，不得开工建设与风险管控和修复无关的项目。</w:t>
                  </w:r>
                </w:p>
              </w:tc>
              <w:tc>
                <w:tcPr>
                  <w:tcW w:w="1690" w:type="pct"/>
                  <w:vAlign w:val="center"/>
                </w:tcPr>
                <w:p w14:paraId="50C2E3DB">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项目，用地不属于污染地块。</w:t>
                  </w:r>
                </w:p>
              </w:tc>
              <w:tc>
                <w:tcPr>
                  <w:tcW w:w="481" w:type="pct"/>
                  <w:vAlign w:val="center"/>
                </w:tcPr>
                <w:p w14:paraId="5FAC28B1">
                  <w:pPr>
                    <w:topLinePunct/>
                    <w:jc w:val="center"/>
                    <w:rPr>
                      <w:color w:val="auto"/>
                      <w:szCs w:val="21"/>
                    </w:rPr>
                  </w:pPr>
                  <w:r>
                    <w:rPr>
                      <w:color w:val="auto"/>
                      <w:szCs w:val="21"/>
                    </w:rPr>
                    <w:t>符合</w:t>
                  </w:r>
                </w:p>
              </w:tc>
            </w:tr>
            <w:tr w14:paraId="7BD137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60959BC6">
                  <w:pPr>
                    <w:topLinePunct/>
                    <w:jc w:val="center"/>
                    <w:rPr>
                      <w:b/>
                      <w:bCs/>
                      <w:color w:val="auto"/>
                      <w:szCs w:val="21"/>
                      <w:highlight w:val="yellow"/>
                    </w:rPr>
                  </w:pPr>
                </w:p>
              </w:tc>
              <w:tc>
                <w:tcPr>
                  <w:tcW w:w="322" w:type="pct"/>
                  <w:vMerge w:val="continue"/>
                  <w:vAlign w:val="center"/>
                </w:tcPr>
                <w:p w14:paraId="6685E89F">
                  <w:pPr>
                    <w:topLinePunct/>
                    <w:jc w:val="center"/>
                    <w:rPr>
                      <w:b/>
                      <w:bCs/>
                      <w:color w:val="auto"/>
                      <w:szCs w:val="21"/>
                    </w:rPr>
                  </w:pPr>
                </w:p>
              </w:tc>
              <w:tc>
                <w:tcPr>
                  <w:tcW w:w="2194" w:type="pct"/>
                  <w:vAlign w:val="center"/>
                </w:tcPr>
                <w:p w14:paraId="3A3A18F8">
                  <w:pPr>
                    <w:topLinePunct/>
                    <w:jc w:val="center"/>
                    <w:rPr>
                      <w:color w:val="auto"/>
                      <w:szCs w:val="21"/>
                    </w:rPr>
                  </w:pPr>
                  <w:r>
                    <w:rPr>
                      <w:color w:val="auto"/>
                      <w:szCs w:val="21"/>
                    </w:rPr>
                    <w:t>5.按照省市要求，做好清洁取暖改造工作。</w:t>
                  </w:r>
                </w:p>
              </w:tc>
              <w:tc>
                <w:tcPr>
                  <w:tcW w:w="1690" w:type="pct"/>
                  <w:vAlign w:val="center"/>
                </w:tcPr>
                <w:p w14:paraId="61DCA993">
                  <w:pPr>
                    <w:topLinePunct/>
                    <w:jc w:val="center"/>
                    <w:rPr>
                      <w:color w:val="auto"/>
                      <w:szCs w:val="21"/>
                    </w:rPr>
                  </w:pPr>
                  <w:r>
                    <w:rPr>
                      <w:color w:val="auto"/>
                      <w:szCs w:val="21"/>
                    </w:rPr>
                    <w:t>按要求执行。</w:t>
                  </w:r>
                </w:p>
              </w:tc>
              <w:tc>
                <w:tcPr>
                  <w:tcW w:w="481" w:type="pct"/>
                  <w:vAlign w:val="center"/>
                </w:tcPr>
                <w:p w14:paraId="6962512E">
                  <w:pPr>
                    <w:topLinePunct/>
                    <w:jc w:val="center"/>
                    <w:rPr>
                      <w:color w:val="auto"/>
                      <w:szCs w:val="21"/>
                    </w:rPr>
                  </w:pPr>
                  <w:r>
                    <w:rPr>
                      <w:color w:val="auto"/>
                      <w:szCs w:val="21"/>
                    </w:rPr>
                    <w:t>符合</w:t>
                  </w:r>
                </w:p>
              </w:tc>
            </w:tr>
            <w:tr w14:paraId="353E88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2443DD98">
                  <w:pPr>
                    <w:topLinePunct/>
                    <w:jc w:val="center"/>
                    <w:rPr>
                      <w:b/>
                      <w:bCs/>
                      <w:color w:val="auto"/>
                      <w:szCs w:val="21"/>
                      <w:highlight w:val="yellow"/>
                    </w:rPr>
                  </w:pPr>
                </w:p>
              </w:tc>
              <w:tc>
                <w:tcPr>
                  <w:tcW w:w="322" w:type="pct"/>
                  <w:vMerge w:val="restart"/>
                  <w:vAlign w:val="center"/>
                </w:tcPr>
                <w:p w14:paraId="5A98C87D">
                  <w:pPr>
                    <w:topLinePunct/>
                    <w:jc w:val="center"/>
                    <w:rPr>
                      <w:b/>
                      <w:bCs/>
                      <w:color w:val="auto"/>
                      <w:szCs w:val="21"/>
                    </w:rPr>
                  </w:pPr>
                  <w:r>
                    <w:rPr>
                      <w:color w:val="auto"/>
                      <w:szCs w:val="21"/>
                    </w:rPr>
                    <w:t>资源开放效率要求</w:t>
                  </w:r>
                </w:p>
              </w:tc>
              <w:tc>
                <w:tcPr>
                  <w:tcW w:w="2194" w:type="pct"/>
                  <w:vAlign w:val="center"/>
                </w:tcPr>
                <w:p w14:paraId="32504D0F">
                  <w:pPr>
                    <w:topLinePunct/>
                    <w:jc w:val="center"/>
                    <w:rPr>
                      <w:color w:val="auto"/>
                      <w:szCs w:val="21"/>
                    </w:rPr>
                  </w:pPr>
                  <w:r>
                    <w:rPr>
                      <w:color w:val="auto"/>
                      <w:szCs w:val="21"/>
                    </w:rPr>
                    <w:t>1.高污染燃料禁燃区内执行淄博市高污染燃料禁燃区划定文件的管控要求。</w:t>
                  </w:r>
                </w:p>
              </w:tc>
              <w:tc>
                <w:tcPr>
                  <w:tcW w:w="1690" w:type="pct"/>
                  <w:vAlign w:val="center"/>
                </w:tcPr>
                <w:p w14:paraId="4DA916A2">
                  <w:pPr>
                    <w:topLinePunct/>
                    <w:jc w:val="center"/>
                    <w:rPr>
                      <w:color w:val="auto"/>
                      <w:szCs w:val="21"/>
                    </w:rPr>
                  </w:pPr>
                  <w:r>
                    <w:rPr>
                      <w:color w:val="auto"/>
                      <w:szCs w:val="21"/>
                    </w:rPr>
                    <w:t>本项目主要能源为水、电，均来源于就近管网，项目用水、用电量较少，符合文件要求。</w:t>
                  </w:r>
                </w:p>
              </w:tc>
              <w:tc>
                <w:tcPr>
                  <w:tcW w:w="481" w:type="pct"/>
                  <w:vAlign w:val="center"/>
                </w:tcPr>
                <w:p w14:paraId="6AD62B0D">
                  <w:pPr>
                    <w:topLinePunct/>
                    <w:jc w:val="center"/>
                    <w:rPr>
                      <w:color w:val="auto"/>
                      <w:szCs w:val="21"/>
                    </w:rPr>
                  </w:pPr>
                  <w:r>
                    <w:rPr>
                      <w:color w:val="auto"/>
                      <w:szCs w:val="21"/>
                    </w:rPr>
                    <w:t>符合</w:t>
                  </w:r>
                </w:p>
              </w:tc>
            </w:tr>
            <w:tr w14:paraId="7A4351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310" w:type="pct"/>
                  <w:vMerge w:val="continue"/>
                  <w:vAlign w:val="center"/>
                </w:tcPr>
                <w:p w14:paraId="3B0C92E2">
                  <w:pPr>
                    <w:topLinePunct/>
                    <w:jc w:val="center"/>
                    <w:rPr>
                      <w:b/>
                      <w:bCs/>
                      <w:color w:val="auto"/>
                      <w:szCs w:val="21"/>
                      <w:highlight w:val="yellow"/>
                    </w:rPr>
                  </w:pPr>
                </w:p>
              </w:tc>
              <w:tc>
                <w:tcPr>
                  <w:tcW w:w="322" w:type="pct"/>
                  <w:vMerge w:val="continue"/>
                  <w:vAlign w:val="center"/>
                </w:tcPr>
                <w:p w14:paraId="6C6BAE62">
                  <w:pPr>
                    <w:topLinePunct/>
                    <w:jc w:val="center"/>
                    <w:rPr>
                      <w:b/>
                      <w:bCs/>
                      <w:color w:val="auto"/>
                      <w:szCs w:val="21"/>
                    </w:rPr>
                  </w:pPr>
                </w:p>
              </w:tc>
              <w:tc>
                <w:tcPr>
                  <w:tcW w:w="2194" w:type="pct"/>
                  <w:vAlign w:val="center"/>
                </w:tcPr>
                <w:p w14:paraId="7A0DCDF9">
                  <w:pPr>
                    <w:topLinePunct/>
                    <w:jc w:val="center"/>
                    <w:rPr>
                      <w:color w:val="auto"/>
                      <w:szCs w:val="21"/>
                    </w:rPr>
                  </w:pPr>
                  <w:r>
                    <w:rPr>
                      <w:color w:val="auto"/>
                      <w:szCs w:val="21"/>
                    </w:rPr>
                    <w:t>2.提升土地集约化水平。</w:t>
                  </w:r>
                </w:p>
              </w:tc>
              <w:tc>
                <w:tcPr>
                  <w:tcW w:w="1690" w:type="pct"/>
                  <w:vAlign w:val="center"/>
                </w:tcPr>
                <w:p w14:paraId="7EA3CAB4">
                  <w:pPr>
                    <w:topLinePunct/>
                    <w:jc w:val="center"/>
                    <w:rPr>
                      <w:color w:val="auto"/>
                      <w:szCs w:val="21"/>
                    </w:rPr>
                  </w:pPr>
                  <w:r>
                    <w:rPr>
                      <w:color w:val="auto"/>
                      <w:szCs w:val="21"/>
                    </w:rPr>
                    <w:t>按要求执行。</w:t>
                  </w:r>
                </w:p>
              </w:tc>
              <w:tc>
                <w:tcPr>
                  <w:tcW w:w="481" w:type="pct"/>
                  <w:vAlign w:val="center"/>
                </w:tcPr>
                <w:p w14:paraId="6CA46854">
                  <w:pPr>
                    <w:topLinePunct/>
                    <w:jc w:val="center"/>
                    <w:rPr>
                      <w:color w:val="auto"/>
                      <w:szCs w:val="21"/>
                    </w:rPr>
                  </w:pPr>
                  <w:r>
                    <w:rPr>
                      <w:color w:val="auto"/>
                      <w:szCs w:val="21"/>
                    </w:rPr>
                    <w:t>符合</w:t>
                  </w:r>
                </w:p>
              </w:tc>
            </w:tr>
            <w:tr w14:paraId="0A3460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vAlign w:val="center"/>
                </w:tcPr>
                <w:p w14:paraId="03ACE094">
                  <w:pPr>
                    <w:topLinePunct/>
                    <w:jc w:val="center"/>
                    <w:rPr>
                      <w:color w:val="auto"/>
                      <w:szCs w:val="21"/>
                    </w:rPr>
                  </w:pPr>
                  <w:r>
                    <w:rPr>
                      <w:b/>
                      <w:bCs/>
                      <w:color w:val="auto"/>
                      <w:szCs w:val="21"/>
                    </w:rPr>
                    <w:t>《淄博市2023年生态环境分区管控成果动态更新项目生态环境准入清单》文件要求</w:t>
                  </w:r>
                </w:p>
              </w:tc>
              <w:tc>
                <w:tcPr>
                  <w:tcW w:w="1690" w:type="pct"/>
                  <w:vAlign w:val="center"/>
                </w:tcPr>
                <w:p w14:paraId="1A3051E1">
                  <w:pPr>
                    <w:topLinePunct/>
                    <w:jc w:val="center"/>
                    <w:rPr>
                      <w:color w:val="auto"/>
                      <w:szCs w:val="21"/>
                    </w:rPr>
                  </w:pPr>
                  <w:r>
                    <w:rPr>
                      <w:b/>
                      <w:bCs/>
                      <w:color w:val="auto"/>
                      <w:szCs w:val="21"/>
                    </w:rPr>
                    <w:t>本项目实际情况</w:t>
                  </w:r>
                </w:p>
              </w:tc>
              <w:tc>
                <w:tcPr>
                  <w:tcW w:w="481" w:type="pct"/>
                  <w:vAlign w:val="center"/>
                </w:tcPr>
                <w:p w14:paraId="4AC1DC7C">
                  <w:pPr>
                    <w:topLinePunct/>
                    <w:jc w:val="center"/>
                    <w:rPr>
                      <w:color w:val="auto"/>
                      <w:szCs w:val="21"/>
                    </w:rPr>
                  </w:pPr>
                  <w:r>
                    <w:rPr>
                      <w:b/>
                      <w:bCs/>
                      <w:color w:val="auto"/>
                      <w:szCs w:val="21"/>
                    </w:rPr>
                    <w:t>符合性</w:t>
                  </w:r>
                </w:p>
              </w:tc>
            </w:tr>
            <w:tr w14:paraId="6E8D63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9" w:hRule="atLeast"/>
                <w:jc w:val="center"/>
              </w:trPr>
              <w:tc>
                <w:tcPr>
                  <w:tcW w:w="310" w:type="pct"/>
                  <w:vMerge w:val="restart"/>
                  <w:vAlign w:val="center"/>
                </w:tcPr>
                <w:p w14:paraId="165E7ED4">
                  <w:pPr>
                    <w:topLinePunct/>
                    <w:jc w:val="center"/>
                    <w:rPr>
                      <w:b/>
                      <w:bCs/>
                      <w:color w:val="auto"/>
                      <w:szCs w:val="21"/>
                    </w:rPr>
                  </w:pPr>
                  <w:r>
                    <w:rPr>
                      <w:color w:val="auto"/>
                      <w:szCs w:val="21"/>
                    </w:rPr>
                    <w:t>双杨镇重点管控单元</w:t>
                  </w:r>
                </w:p>
              </w:tc>
              <w:tc>
                <w:tcPr>
                  <w:tcW w:w="322" w:type="pct"/>
                  <w:vMerge w:val="restart"/>
                  <w:vAlign w:val="center"/>
                </w:tcPr>
                <w:p w14:paraId="4234483B">
                  <w:pPr>
                    <w:topLinePunct/>
                    <w:jc w:val="center"/>
                    <w:rPr>
                      <w:color w:val="auto"/>
                      <w:szCs w:val="21"/>
                    </w:rPr>
                  </w:pPr>
                  <w:r>
                    <w:rPr>
                      <w:color w:val="auto"/>
                      <w:szCs w:val="21"/>
                    </w:rPr>
                    <w:t>空间布局约束</w:t>
                  </w:r>
                </w:p>
              </w:tc>
              <w:tc>
                <w:tcPr>
                  <w:tcW w:w="2194" w:type="pct"/>
                  <w:vAlign w:val="center"/>
                </w:tcPr>
                <w:p w14:paraId="6AC3E8A1">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vAlign w:val="center"/>
                </w:tcPr>
                <w:p w14:paraId="78C06996">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vAlign w:val="center"/>
                </w:tcPr>
                <w:p w14:paraId="089F9E6D">
                  <w:pPr>
                    <w:topLinePunct/>
                    <w:jc w:val="center"/>
                    <w:rPr>
                      <w:color w:val="auto"/>
                      <w:szCs w:val="21"/>
                    </w:rPr>
                  </w:pPr>
                  <w:r>
                    <w:rPr>
                      <w:color w:val="auto"/>
                      <w:szCs w:val="21"/>
                    </w:rPr>
                    <w:t>符合</w:t>
                  </w:r>
                </w:p>
              </w:tc>
            </w:tr>
            <w:tr w14:paraId="33B3C8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4136113B">
                  <w:pPr>
                    <w:topLinePunct/>
                    <w:jc w:val="center"/>
                    <w:rPr>
                      <w:b/>
                      <w:bCs/>
                      <w:color w:val="auto"/>
                      <w:szCs w:val="21"/>
                      <w:highlight w:val="yellow"/>
                    </w:rPr>
                  </w:pPr>
                </w:p>
              </w:tc>
              <w:tc>
                <w:tcPr>
                  <w:tcW w:w="322" w:type="pct"/>
                  <w:vMerge w:val="continue"/>
                  <w:vAlign w:val="center"/>
                </w:tcPr>
                <w:p w14:paraId="523FEA8F">
                  <w:pPr>
                    <w:topLinePunct/>
                    <w:jc w:val="center"/>
                    <w:rPr>
                      <w:b/>
                      <w:bCs/>
                      <w:color w:val="auto"/>
                      <w:szCs w:val="21"/>
                    </w:rPr>
                  </w:pPr>
                </w:p>
              </w:tc>
              <w:tc>
                <w:tcPr>
                  <w:tcW w:w="2194" w:type="pct"/>
                  <w:vAlign w:val="center"/>
                </w:tcPr>
                <w:p w14:paraId="79165FE4">
                  <w:pPr>
                    <w:topLinePunct/>
                    <w:jc w:val="center"/>
                    <w:rPr>
                      <w:color w:val="auto"/>
                      <w:szCs w:val="21"/>
                    </w:rPr>
                  </w:pPr>
                  <w:r>
                    <w:rPr>
                      <w:color w:val="auto"/>
                      <w:szCs w:val="21"/>
                    </w:rPr>
                    <w:t>2.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0" w:type="pct"/>
                  <w:vAlign w:val="center"/>
                </w:tcPr>
                <w:p w14:paraId="6A6995E7">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项目，不属于上述行业，不占用永久基本农田。</w:t>
                  </w:r>
                </w:p>
              </w:tc>
              <w:tc>
                <w:tcPr>
                  <w:tcW w:w="481" w:type="pct"/>
                  <w:vAlign w:val="center"/>
                </w:tcPr>
                <w:p w14:paraId="6FA8A44B">
                  <w:pPr>
                    <w:topLinePunct/>
                    <w:jc w:val="center"/>
                    <w:rPr>
                      <w:color w:val="auto"/>
                      <w:szCs w:val="21"/>
                    </w:rPr>
                  </w:pPr>
                  <w:r>
                    <w:rPr>
                      <w:color w:val="auto"/>
                      <w:szCs w:val="21"/>
                    </w:rPr>
                    <w:t>符合</w:t>
                  </w:r>
                </w:p>
              </w:tc>
            </w:tr>
            <w:tr w14:paraId="245699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1" w:hRule="atLeast"/>
                <w:jc w:val="center"/>
              </w:trPr>
              <w:tc>
                <w:tcPr>
                  <w:tcW w:w="310" w:type="pct"/>
                  <w:vMerge w:val="continue"/>
                  <w:vAlign w:val="center"/>
                </w:tcPr>
                <w:p w14:paraId="13156A5C">
                  <w:pPr>
                    <w:topLinePunct/>
                    <w:jc w:val="center"/>
                    <w:rPr>
                      <w:b/>
                      <w:bCs/>
                      <w:color w:val="auto"/>
                      <w:szCs w:val="21"/>
                      <w:highlight w:val="yellow"/>
                    </w:rPr>
                  </w:pPr>
                </w:p>
              </w:tc>
              <w:tc>
                <w:tcPr>
                  <w:tcW w:w="322" w:type="pct"/>
                  <w:vMerge w:val="continue"/>
                  <w:vAlign w:val="center"/>
                </w:tcPr>
                <w:p w14:paraId="379E069E">
                  <w:pPr>
                    <w:topLinePunct/>
                    <w:jc w:val="center"/>
                    <w:rPr>
                      <w:b/>
                      <w:bCs/>
                      <w:color w:val="auto"/>
                      <w:szCs w:val="21"/>
                    </w:rPr>
                  </w:pPr>
                </w:p>
              </w:tc>
              <w:tc>
                <w:tcPr>
                  <w:tcW w:w="2194" w:type="pct"/>
                  <w:vAlign w:val="center"/>
                </w:tcPr>
                <w:p w14:paraId="4470A1E8">
                  <w:pPr>
                    <w:topLinePunct/>
                    <w:jc w:val="center"/>
                    <w:rPr>
                      <w:color w:val="auto"/>
                      <w:szCs w:val="21"/>
                      <w:highlight w:val="none"/>
                    </w:rPr>
                  </w:pPr>
                  <w:r>
                    <w:rPr>
                      <w:color w:val="auto"/>
                      <w:szCs w:val="21"/>
                      <w:highlight w:val="none"/>
                    </w:rPr>
                    <w:t>3.污水处理设施不健全、未正常运行或污水管网未覆盖的地区，未配套污水处理设施的项目不得建设。</w:t>
                  </w:r>
                </w:p>
              </w:tc>
              <w:tc>
                <w:tcPr>
                  <w:tcW w:w="1690" w:type="pct"/>
                  <w:vAlign w:val="center"/>
                </w:tcPr>
                <w:p w14:paraId="30001833">
                  <w:pPr>
                    <w:adjustRightInd w:val="0"/>
                    <w:snapToGrid w:val="0"/>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0EAD2AFB">
                  <w:pPr>
                    <w:topLinePunct/>
                    <w:jc w:val="center"/>
                    <w:rPr>
                      <w:color w:val="auto"/>
                      <w:szCs w:val="21"/>
                      <w:highlight w:val="none"/>
                    </w:rPr>
                  </w:pPr>
                  <w:r>
                    <w:rPr>
                      <w:color w:val="auto"/>
                      <w:szCs w:val="21"/>
                      <w:highlight w:val="none"/>
                    </w:rPr>
                    <w:t>符合</w:t>
                  </w:r>
                </w:p>
              </w:tc>
            </w:tr>
            <w:tr w14:paraId="2D9DF8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310" w:type="pct"/>
                  <w:vMerge w:val="continue"/>
                  <w:vAlign w:val="center"/>
                </w:tcPr>
                <w:p w14:paraId="294AC34D">
                  <w:pPr>
                    <w:topLinePunct/>
                    <w:jc w:val="center"/>
                    <w:rPr>
                      <w:b/>
                      <w:bCs/>
                      <w:color w:val="auto"/>
                      <w:szCs w:val="21"/>
                      <w:highlight w:val="yellow"/>
                    </w:rPr>
                  </w:pPr>
                </w:p>
              </w:tc>
              <w:tc>
                <w:tcPr>
                  <w:tcW w:w="322" w:type="pct"/>
                  <w:vMerge w:val="continue"/>
                  <w:vAlign w:val="center"/>
                </w:tcPr>
                <w:p w14:paraId="34331C9E">
                  <w:pPr>
                    <w:topLinePunct/>
                    <w:jc w:val="center"/>
                    <w:rPr>
                      <w:b/>
                      <w:bCs/>
                      <w:color w:val="auto"/>
                      <w:szCs w:val="21"/>
                    </w:rPr>
                  </w:pPr>
                </w:p>
              </w:tc>
              <w:tc>
                <w:tcPr>
                  <w:tcW w:w="2194" w:type="pct"/>
                  <w:vAlign w:val="center"/>
                </w:tcPr>
                <w:p w14:paraId="27DDA35B">
                  <w:pPr>
                    <w:topLinePunct/>
                    <w:jc w:val="center"/>
                    <w:rPr>
                      <w:color w:val="auto"/>
                      <w:szCs w:val="21"/>
                    </w:rPr>
                  </w:pPr>
                  <w:r>
                    <w:rPr>
                      <w:color w:val="auto"/>
                      <w:szCs w:val="21"/>
                    </w:rPr>
                    <w:t>4.新建有污染物排放的工业项目，除在安全生产等方面有特殊要求的以外，应当进入工业园区或工业聚集区。</w:t>
                  </w:r>
                </w:p>
              </w:tc>
              <w:tc>
                <w:tcPr>
                  <w:tcW w:w="1690" w:type="pct"/>
                  <w:vAlign w:val="center"/>
                </w:tcPr>
                <w:p w14:paraId="7CD0983F">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696D9FF2">
                  <w:pPr>
                    <w:topLinePunct/>
                    <w:jc w:val="center"/>
                    <w:rPr>
                      <w:color w:val="auto"/>
                      <w:szCs w:val="21"/>
                    </w:rPr>
                  </w:pPr>
                  <w:r>
                    <w:rPr>
                      <w:color w:val="auto"/>
                      <w:szCs w:val="21"/>
                    </w:rPr>
                    <w:t>符合</w:t>
                  </w:r>
                </w:p>
              </w:tc>
            </w:tr>
            <w:tr w14:paraId="473993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2061B425">
                  <w:pPr>
                    <w:topLinePunct/>
                    <w:jc w:val="center"/>
                    <w:rPr>
                      <w:b/>
                      <w:bCs/>
                      <w:color w:val="auto"/>
                      <w:szCs w:val="21"/>
                      <w:highlight w:val="yellow"/>
                    </w:rPr>
                  </w:pPr>
                </w:p>
              </w:tc>
              <w:tc>
                <w:tcPr>
                  <w:tcW w:w="322" w:type="pct"/>
                  <w:vMerge w:val="continue"/>
                  <w:vAlign w:val="center"/>
                </w:tcPr>
                <w:p w14:paraId="5F48B233">
                  <w:pPr>
                    <w:topLinePunct/>
                    <w:jc w:val="center"/>
                    <w:rPr>
                      <w:b/>
                      <w:bCs/>
                      <w:color w:val="auto"/>
                      <w:szCs w:val="21"/>
                    </w:rPr>
                  </w:pPr>
                </w:p>
              </w:tc>
              <w:tc>
                <w:tcPr>
                  <w:tcW w:w="2194" w:type="pct"/>
                  <w:vAlign w:val="center"/>
                </w:tcPr>
                <w:p w14:paraId="02E948AA">
                  <w:pPr>
                    <w:topLinePunct/>
                    <w:jc w:val="center"/>
                    <w:rPr>
                      <w:color w:val="auto"/>
                      <w:szCs w:val="21"/>
                    </w:rPr>
                  </w:pPr>
                  <w:r>
                    <w:rPr>
                      <w:color w:val="auto"/>
                      <w:szCs w:val="21"/>
                    </w:rPr>
                    <w:t>5.按照省市要求，严格控制“两高”项目，新建“两高”项目实行“五个减量替代”。</w:t>
                  </w:r>
                </w:p>
              </w:tc>
              <w:tc>
                <w:tcPr>
                  <w:tcW w:w="1690" w:type="pct"/>
                  <w:vAlign w:val="center"/>
                </w:tcPr>
                <w:p w14:paraId="4A955815">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5E60EB8E">
                  <w:pPr>
                    <w:topLinePunct/>
                    <w:jc w:val="center"/>
                    <w:rPr>
                      <w:color w:val="auto"/>
                      <w:szCs w:val="21"/>
                    </w:rPr>
                  </w:pPr>
                  <w:r>
                    <w:rPr>
                      <w:color w:val="auto"/>
                      <w:szCs w:val="21"/>
                    </w:rPr>
                    <w:t>符合</w:t>
                  </w:r>
                </w:p>
              </w:tc>
            </w:tr>
            <w:tr w14:paraId="736E4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06E925C7">
                  <w:pPr>
                    <w:topLinePunct/>
                    <w:jc w:val="center"/>
                    <w:rPr>
                      <w:b/>
                      <w:bCs/>
                      <w:color w:val="auto"/>
                      <w:szCs w:val="21"/>
                      <w:highlight w:val="yellow"/>
                    </w:rPr>
                  </w:pPr>
                </w:p>
              </w:tc>
              <w:tc>
                <w:tcPr>
                  <w:tcW w:w="322" w:type="pct"/>
                  <w:vMerge w:val="restart"/>
                  <w:vAlign w:val="center"/>
                </w:tcPr>
                <w:p w14:paraId="395AFD23">
                  <w:pPr>
                    <w:topLinePunct/>
                    <w:jc w:val="center"/>
                    <w:rPr>
                      <w:color w:val="auto"/>
                      <w:szCs w:val="21"/>
                    </w:rPr>
                  </w:pPr>
                  <w:r>
                    <w:rPr>
                      <w:color w:val="auto"/>
                      <w:szCs w:val="21"/>
                    </w:rPr>
                    <w:t>污染物排放管控</w:t>
                  </w:r>
                </w:p>
              </w:tc>
              <w:tc>
                <w:tcPr>
                  <w:tcW w:w="2194" w:type="pct"/>
                  <w:vAlign w:val="center"/>
                </w:tcPr>
                <w:p w14:paraId="72AE0A3E">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19CBE742">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3E7396D5">
                  <w:pPr>
                    <w:topLinePunct/>
                    <w:jc w:val="center"/>
                    <w:rPr>
                      <w:color w:val="auto"/>
                      <w:szCs w:val="21"/>
                    </w:rPr>
                  </w:pPr>
                  <w:r>
                    <w:rPr>
                      <w:color w:val="auto"/>
                      <w:szCs w:val="21"/>
                    </w:rPr>
                    <w:t>符合</w:t>
                  </w:r>
                </w:p>
              </w:tc>
            </w:tr>
            <w:tr w14:paraId="33F43F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310" w:type="pct"/>
                  <w:vMerge w:val="continue"/>
                  <w:vAlign w:val="center"/>
                </w:tcPr>
                <w:p w14:paraId="69322036">
                  <w:pPr>
                    <w:topLinePunct/>
                    <w:jc w:val="center"/>
                    <w:rPr>
                      <w:b/>
                      <w:bCs/>
                      <w:color w:val="auto"/>
                      <w:szCs w:val="21"/>
                      <w:highlight w:val="yellow"/>
                    </w:rPr>
                  </w:pPr>
                </w:p>
              </w:tc>
              <w:tc>
                <w:tcPr>
                  <w:tcW w:w="322" w:type="pct"/>
                  <w:vMerge w:val="continue"/>
                  <w:vAlign w:val="center"/>
                </w:tcPr>
                <w:p w14:paraId="430A9F18">
                  <w:pPr>
                    <w:topLinePunct/>
                    <w:jc w:val="center"/>
                    <w:rPr>
                      <w:b/>
                      <w:bCs/>
                      <w:color w:val="auto"/>
                      <w:szCs w:val="21"/>
                    </w:rPr>
                  </w:pPr>
                </w:p>
              </w:tc>
              <w:tc>
                <w:tcPr>
                  <w:tcW w:w="2194" w:type="pct"/>
                  <w:vAlign w:val="center"/>
                </w:tcPr>
                <w:p w14:paraId="09862FA4">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7BDE6AD6">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1EB57FCB">
                  <w:pPr>
                    <w:topLinePunct/>
                    <w:jc w:val="center"/>
                    <w:rPr>
                      <w:color w:val="auto"/>
                      <w:szCs w:val="21"/>
                    </w:rPr>
                  </w:pPr>
                  <w:r>
                    <w:rPr>
                      <w:color w:val="auto"/>
                      <w:szCs w:val="21"/>
                    </w:rPr>
                    <w:t>符合</w:t>
                  </w:r>
                </w:p>
              </w:tc>
            </w:tr>
            <w:tr w14:paraId="3930AA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310" w:type="pct"/>
                  <w:vMerge w:val="continue"/>
                  <w:vAlign w:val="center"/>
                </w:tcPr>
                <w:p w14:paraId="3C35DB09">
                  <w:pPr>
                    <w:topLinePunct/>
                    <w:jc w:val="center"/>
                    <w:rPr>
                      <w:b/>
                      <w:bCs/>
                      <w:color w:val="auto"/>
                      <w:szCs w:val="21"/>
                      <w:highlight w:val="yellow"/>
                    </w:rPr>
                  </w:pPr>
                </w:p>
              </w:tc>
              <w:tc>
                <w:tcPr>
                  <w:tcW w:w="322" w:type="pct"/>
                  <w:vMerge w:val="continue"/>
                  <w:vAlign w:val="center"/>
                </w:tcPr>
                <w:p w14:paraId="7920BC90">
                  <w:pPr>
                    <w:topLinePunct/>
                    <w:jc w:val="center"/>
                    <w:rPr>
                      <w:b/>
                      <w:bCs/>
                      <w:color w:val="auto"/>
                      <w:szCs w:val="21"/>
                    </w:rPr>
                  </w:pPr>
                </w:p>
              </w:tc>
              <w:tc>
                <w:tcPr>
                  <w:tcW w:w="2194" w:type="pct"/>
                  <w:vAlign w:val="center"/>
                </w:tcPr>
                <w:p w14:paraId="77EEC769">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1E6504F4">
                  <w:pPr>
                    <w:topLinePunct/>
                    <w:jc w:val="center"/>
                    <w:rPr>
                      <w:rFonts w:hint="eastAsia" w:eastAsia="宋体"/>
                      <w:color w:val="auto"/>
                      <w:szCs w:val="21"/>
                      <w:lang w:eastAsia="zh-CN"/>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247BB738">
                  <w:pPr>
                    <w:topLinePunct/>
                    <w:jc w:val="center"/>
                    <w:rPr>
                      <w:color w:val="auto"/>
                      <w:szCs w:val="21"/>
                    </w:rPr>
                  </w:pPr>
                  <w:r>
                    <w:rPr>
                      <w:color w:val="auto"/>
                      <w:szCs w:val="21"/>
                    </w:rPr>
                    <w:t>符合</w:t>
                  </w:r>
                </w:p>
              </w:tc>
            </w:tr>
            <w:tr w14:paraId="5E2B6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310" w:type="pct"/>
                  <w:vMerge w:val="continue"/>
                  <w:vAlign w:val="center"/>
                </w:tcPr>
                <w:p w14:paraId="1AFB4BBE">
                  <w:pPr>
                    <w:topLinePunct/>
                    <w:jc w:val="center"/>
                    <w:rPr>
                      <w:b/>
                      <w:bCs/>
                      <w:color w:val="auto"/>
                      <w:szCs w:val="21"/>
                      <w:highlight w:val="yellow"/>
                    </w:rPr>
                  </w:pPr>
                </w:p>
              </w:tc>
              <w:tc>
                <w:tcPr>
                  <w:tcW w:w="322" w:type="pct"/>
                  <w:vMerge w:val="continue"/>
                  <w:vAlign w:val="center"/>
                </w:tcPr>
                <w:p w14:paraId="359581C1">
                  <w:pPr>
                    <w:topLinePunct/>
                    <w:jc w:val="center"/>
                    <w:rPr>
                      <w:b/>
                      <w:bCs/>
                      <w:color w:val="auto"/>
                      <w:szCs w:val="21"/>
                    </w:rPr>
                  </w:pPr>
                </w:p>
              </w:tc>
              <w:tc>
                <w:tcPr>
                  <w:tcW w:w="2194" w:type="pct"/>
                  <w:vAlign w:val="center"/>
                </w:tcPr>
                <w:p w14:paraId="439F98C3">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5CB44DE6">
                  <w:pPr>
                    <w:topLinePunct/>
                    <w:jc w:val="center"/>
                    <w:rPr>
                      <w:color w:val="auto"/>
                      <w:szCs w:val="21"/>
                    </w:rPr>
                  </w:pPr>
                  <w:r>
                    <w:rPr>
                      <w:color w:val="auto"/>
                      <w:szCs w:val="21"/>
                    </w:rPr>
                    <w:t>本项目无废水外排，不新建入河排污口。</w:t>
                  </w:r>
                </w:p>
              </w:tc>
              <w:tc>
                <w:tcPr>
                  <w:tcW w:w="481" w:type="pct"/>
                  <w:vAlign w:val="center"/>
                </w:tcPr>
                <w:p w14:paraId="0C1D6153">
                  <w:pPr>
                    <w:topLinePunct/>
                    <w:jc w:val="center"/>
                    <w:rPr>
                      <w:color w:val="auto"/>
                      <w:szCs w:val="21"/>
                    </w:rPr>
                  </w:pPr>
                  <w:r>
                    <w:rPr>
                      <w:color w:val="auto"/>
                      <w:szCs w:val="21"/>
                    </w:rPr>
                    <w:t>符合</w:t>
                  </w:r>
                </w:p>
              </w:tc>
            </w:tr>
            <w:tr w14:paraId="68CF8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310" w:type="pct"/>
                  <w:vMerge w:val="continue"/>
                  <w:vAlign w:val="center"/>
                </w:tcPr>
                <w:p w14:paraId="434619B8">
                  <w:pPr>
                    <w:topLinePunct/>
                    <w:jc w:val="center"/>
                    <w:rPr>
                      <w:b/>
                      <w:bCs/>
                      <w:color w:val="auto"/>
                      <w:szCs w:val="21"/>
                      <w:highlight w:val="yellow"/>
                    </w:rPr>
                  </w:pPr>
                </w:p>
              </w:tc>
              <w:tc>
                <w:tcPr>
                  <w:tcW w:w="322" w:type="pct"/>
                  <w:vMerge w:val="continue"/>
                  <w:vAlign w:val="center"/>
                </w:tcPr>
                <w:p w14:paraId="7355759E">
                  <w:pPr>
                    <w:topLinePunct/>
                    <w:jc w:val="center"/>
                    <w:rPr>
                      <w:b/>
                      <w:bCs/>
                      <w:color w:val="auto"/>
                      <w:szCs w:val="21"/>
                    </w:rPr>
                  </w:pPr>
                </w:p>
              </w:tc>
              <w:tc>
                <w:tcPr>
                  <w:tcW w:w="2194" w:type="pct"/>
                  <w:vAlign w:val="center"/>
                </w:tcPr>
                <w:p w14:paraId="308E1D12">
                  <w:pPr>
                    <w:topLinePunct/>
                    <w:jc w:val="center"/>
                    <w:rPr>
                      <w:color w:val="auto"/>
                      <w:szCs w:val="21"/>
                    </w:rPr>
                  </w:pPr>
                  <w:r>
                    <w:rPr>
                      <w:color w:val="auto"/>
                      <w:szCs w:val="21"/>
                    </w:rPr>
                    <w:t>5.包装印刷、表面涂装等涉VOCs排放的行业，严格按照淄博市行业环境管控要求，实施源头替代，建立健全治理设施，确保污染物稳定达标排放，做到持证排污。</w:t>
                  </w:r>
                </w:p>
              </w:tc>
              <w:tc>
                <w:tcPr>
                  <w:tcW w:w="1690" w:type="pct"/>
                  <w:vAlign w:val="center"/>
                </w:tcPr>
                <w:p w14:paraId="56FDF9F4">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686AEB3E">
                  <w:pPr>
                    <w:topLinePunct/>
                    <w:jc w:val="center"/>
                    <w:rPr>
                      <w:color w:val="auto"/>
                      <w:szCs w:val="21"/>
                    </w:rPr>
                  </w:pPr>
                  <w:r>
                    <w:rPr>
                      <w:color w:val="auto"/>
                      <w:szCs w:val="21"/>
                    </w:rPr>
                    <w:t>符合</w:t>
                  </w:r>
                </w:p>
              </w:tc>
            </w:tr>
            <w:tr w14:paraId="6214D4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310" w:type="pct"/>
                  <w:vMerge w:val="continue"/>
                  <w:vAlign w:val="center"/>
                </w:tcPr>
                <w:p w14:paraId="7DAFC447">
                  <w:pPr>
                    <w:topLinePunct/>
                    <w:jc w:val="center"/>
                    <w:rPr>
                      <w:b/>
                      <w:bCs/>
                      <w:color w:val="auto"/>
                      <w:szCs w:val="21"/>
                    </w:rPr>
                  </w:pPr>
                </w:p>
              </w:tc>
              <w:tc>
                <w:tcPr>
                  <w:tcW w:w="322" w:type="pct"/>
                  <w:vMerge w:val="continue"/>
                  <w:vAlign w:val="center"/>
                </w:tcPr>
                <w:p w14:paraId="5B09E0D6">
                  <w:pPr>
                    <w:topLinePunct/>
                    <w:jc w:val="center"/>
                    <w:rPr>
                      <w:b/>
                      <w:bCs/>
                      <w:color w:val="auto"/>
                      <w:szCs w:val="21"/>
                    </w:rPr>
                  </w:pPr>
                </w:p>
              </w:tc>
              <w:tc>
                <w:tcPr>
                  <w:tcW w:w="2194" w:type="pct"/>
                  <w:vAlign w:val="center"/>
                </w:tcPr>
                <w:p w14:paraId="25035420">
                  <w:pPr>
                    <w:topLinePunct/>
                    <w:jc w:val="center"/>
                    <w:rPr>
                      <w:color w:val="auto"/>
                      <w:szCs w:val="21"/>
                    </w:rPr>
                  </w:pPr>
                  <w:r>
                    <w:rPr>
                      <w:color w:val="auto"/>
                      <w:szCs w:val="21"/>
                    </w:rPr>
                    <w:t>6.规模养殖场（小区）粪污处理设施装备配套率达到100%。通过管网截污、小型污水处理站和氧化塘、人工湿地等方式因地制宜处理处置农村生活污水，解决农村污水直排问题。</w:t>
                  </w:r>
                </w:p>
              </w:tc>
              <w:tc>
                <w:tcPr>
                  <w:tcW w:w="1690" w:type="pct"/>
                  <w:vAlign w:val="center"/>
                </w:tcPr>
                <w:p w14:paraId="0BBF1610">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项目，不属于养殖行业。</w:t>
                  </w:r>
                </w:p>
              </w:tc>
              <w:tc>
                <w:tcPr>
                  <w:tcW w:w="481" w:type="pct"/>
                  <w:vAlign w:val="center"/>
                </w:tcPr>
                <w:p w14:paraId="3CBE0D66">
                  <w:pPr>
                    <w:topLinePunct/>
                    <w:jc w:val="center"/>
                    <w:rPr>
                      <w:color w:val="auto"/>
                      <w:szCs w:val="21"/>
                    </w:rPr>
                  </w:pPr>
                  <w:r>
                    <w:rPr>
                      <w:color w:val="auto"/>
                      <w:szCs w:val="21"/>
                    </w:rPr>
                    <w:t>符合</w:t>
                  </w:r>
                </w:p>
              </w:tc>
            </w:tr>
            <w:tr w14:paraId="37E92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542DDE68">
                  <w:pPr>
                    <w:topLinePunct/>
                    <w:jc w:val="center"/>
                    <w:rPr>
                      <w:b/>
                      <w:bCs/>
                      <w:color w:val="auto"/>
                      <w:szCs w:val="21"/>
                      <w:highlight w:val="yellow"/>
                    </w:rPr>
                  </w:pPr>
                </w:p>
              </w:tc>
              <w:tc>
                <w:tcPr>
                  <w:tcW w:w="322" w:type="pct"/>
                  <w:vMerge w:val="continue"/>
                  <w:vAlign w:val="center"/>
                </w:tcPr>
                <w:p w14:paraId="7EBA2547">
                  <w:pPr>
                    <w:topLinePunct/>
                    <w:jc w:val="center"/>
                    <w:rPr>
                      <w:b/>
                      <w:bCs/>
                      <w:color w:val="auto"/>
                      <w:szCs w:val="21"/>
                    </w:rPr>
                  </w:pPr>
                </w:p>
              </w:tc>
              <w:tc>
                <w:tcPr>
                  <w:tcW w:w="2194" w:type="pct"/>
                  <w:vAlign w:val="center"/>
                </w:tcPr>
                <w:p w14:paraId="46350B68">
                  <w:pPr>
                    <w:topLinePunct/>
                    <w:jc w:val="center"/>
                    <w:rPr>
                      <w:color w:val="auto"/>
                      <w:szCs w:val="21"/>
                    </w:rPr>
                  </w:pPr>
                  <w:r>
                    <w:rPr>
                      <w:color w:val="auto"/>
                      <w:szCs w:val="21"/>
                    </w:rPr>
                    <w:t>7.进一步加强对建设工程施工、建筑物拆除、交通运输、道路保洁、物料运输与堆存、采石取土、养护绿化等活动的扬尘管理。</w:t>
                  </w:r>
                </w:p>
              </w:tc>
              <w:tc>
                <w:tcPr>
                  <w:tcW w:w="1690" w:type="pct"/>
                  <w:vAlign w:val="center"/>
                </w:tcPr>
                <w:p w14:paraId="7C035CEF">
                  <w:pPr>
                    <w:topLinePunct/>
                    <w:jc w:val="center"/>
                    <w:rPr>
                      <w:color w:val="auto"/>
                      <w:szCs w:val="21"/>
                    </w:rPr>
                  </w:pPr>
                  <w:r>
                    <w:rPr>
                      <w:color w:val="auto"/>
                      <w:szCs w:val="21"/>
                    </w:rPr>
                    <w:t>按要求执行。</w:t>
                  </w:r>
                </w:p>
              </w:tc>
              <w:tc>
                <w:tcPr>
                  <w:tcW w:w="481" w:type="pct"/>
                  <w:vAlign w:val="center"/>
                </w:tcPr>
                <w:p w14:paraId="281139F5">
                  <w:pPr>
                    <w:topLinePunct/>
                    <w:jc w:val="center"/>
                    <w:rPr>
                      <w:color w:val="auto"/>
                      <w:szCs w:val="21"/>
                    </w:rPr>
                  </w:pPr>
                  <w:r>
                    <w:rPr>
                      <w:color w:val="auto"/>
                      <w:szCs w:val="21"/>
                    </w:rPr>
                    <w:t>符合</w:t>
                  </w:r>
                </w:p>
              </w:tc>
            </w:tr>
            <w:tr w14:paraId="08562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4" w:hRule="atLeast"/>
                <w:jc w:val="center"/>
              </w:trPr>
              <w:tc>
                <w:tcPr>
                  <w:tcW w:w="310" w:type="pct"/>
                  <w:vMerge w:val="continue"/>
                  <w:vAlign w:val="center"/>
                </w:tcPr>
                <w:p w14:paraId="07636C99">
                  <w:pPr>
                    <w:topLinePunct/>
                    <w:jc w:val="center"/>
                    <w:rPr>
                      <w:b/>
                      <w:bCs/>
                      <w:color w:val="auto"/>
                      <w:szCs w:val="21"/>
                      <w:highlight w:val="yellow"/>
                    </w:rPr>
                  </w:pPr>
                </w:p>
              </w:tc>
              <w:tc>
                <w:tcPr>
                  <w:tcW w:w="322" w:type="pct"/>
                  <w:vMerge w:val="restart"/>
                  <w:vAlign w:val="center"/>
                </w:tcPr>
                <w:p w14:paraId="0C49E035">
                  <w:pPr>
                    <w:topLinePunct/>
                    <w:jc w:val="center"/>
                    <w:rPr>
                      <w:color w:val="auto"/>
                      <w:szCs w:val="21"/>
                    </w:rPr>
                  </w:pPr>
                  <w:r>
                    <w:rPr>
                      <w:color w:val="auto"/>
                      <w:szCs w:val="21"/>
                    </w:rPr>
                    <w:t>环境风险防控</w:t>
                  </w:r>
                </w:p>
              </w:tc>
              <w:tc>
                <w:tcPr>
                  <w:tcW w:w="2194" w:type="pct"/>
                  <w:vAlign w:val="center"/>
                </w:tcPr>
                <w:p w14:paraId="092B14B1">
                  <w:pPr>
                    <w:topLinePunct/>
                    <w:jc w:val="center"/>
                    <w:rPr>
                      <w:color w:val="auto"/>
                      <w:szCs w:val="21"/>
                    </w:rPr>
                  </w:pPr>
                  <w:r>
                    <w:rPr>
                      <w:color w:val="auto"/>
                      <w:szCs w:val="21"/>
                    </w:rPr>
                    <w:t>1.紧邻居住、科教、医院等环境敏感点的工业用地，禁止新建环境风险潜势等级高的建设项目；现有项目严格落实环评及批复环境风险防控要求。</w:t>
                  </w:r>
                </w:p>
              </w:tc>
              <w:tc>
                <w:tcPr>
                  <w:tcW w:w="1690" w:type="pct"/>
                  <w:vAlign w:val="center"/>
                </w:tcPr>
                <w:p w14:paraId="54C5900F">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项目，用地不属于工业用地，不属于风险潜势等级高的建设项目。</w:t>
                  </w:r>
                </w:p>
              </w:tc>
              <w:tc>
                <w:tcPr>
                  <w:tcW w:w="481" w:type="pct"/>
                  <w:vAlign w:val="center"/>
                </w:tcPr>
                <w:p w14:paraId="3A346D69">
                  <w:pPr>
                    <w:topLinePunct/>
                    <w:jc w:val="center"/>
                    <w:rPr>
                      <w:color w:val="auto"/>
                      <w:szCs w:val="21"/>
                    </w:rPr>
                  </w:pPr>
                  <w:r>
                    <w:rPr>
                      <w:color w:val="auto"/>
                      <w:szCs w:val="21"/>
                    </w:rPr>
                    <w:t>符合</w:t>
                  </w:r>
                </w:p>
              </w:tc>
            </w:tr>
            <w:tr w14:paraId="6F651D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310" w:type="pct"/>
                  <w:vMerge w:val="continue"/>
                  <w:vAlign w:val="center"/>
                </w:tcPr>
                <w:p w14:paraId="6C0D99F6">
                  <w:pPr>
                    <w:topLinePunct/>
                    <w:jc w:val="center"/>
                    <w:rPr>
                      <w:b/>
                      <w:bCs/>
                      <w:color w:val="auto"/>
                      <w:szCs w:val="21"/>
                      <w:highlight w:val="yellow"/>
                    </w:rPr>
                  </w:pPr>
                </w:p>
              </w:tc>
              <w:tc>
                <w:tcPr>
                  <w:tcW w:w="322" w:type="pct"/>
                  <w:vMerge w:val="continue"/>
                  <w:vAlign w:val="center"/>
                </w:tcPr>
                <w:p w14:paraId="60D85532">
                  <w:pPr>
                    <w:topLinePunct/>
                    <w:jc w:val="center"/>
                    <w:rPr>
                      <w:b/>
                      <w:bCs/>
                      <w:color w:val="auto"/>
                      <w:szCs w:val="21"/>
                    </w:rPr>
                  </w:pPr>
                </w:p>
              </w:tc>
              <w:tc>
                <w:tcPr>
                  <w:tcW w:w="2194" w:type="pct"/>
                  <w:vAlign w:val="center"/>
                </w:tcPr>
                <w:p w14:paraId="66494F7B">
                  <w:pPr>
                    <w:topLinePunct/>
                    <w:jc w:val="center"/>
                    <w:rPr>
                      <w:color w:val="auto"/>
                      <w:szCs w:val="21"/>
                    </w:rPr>
                  </w:pPr>
                  <w:r>
                    <w:rPr>
                      <w:color w:val="auto"/>
                      <w:szCs w:val="21"/>
                    </w:rPr>
                    <w:t>2.加强农田土壤、灌溉水的监测，对周边区域环境风险源进行评估。</w:t>
                  </w:r>
                </w:p>
              </w:tc>
              <w:tc>
                <w:tcPr>
                  <w:tcW w:w="1690" w:type="pct"/>
                  <w:vAlign w:val="center"/>
                </w:tcPr>
                <w:p w14:paraId="257B063D">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7BAB22DB">
                  <w:pPr>
                    <w:topLinePunct/>
                    <w:jc w:val="center"/>
                    <w:rPr>
                      <w:color w:val="auto"/>
                      <w:szCs w:val="21"/>
                    </w:rPr>
                  </w:pPr>
                  <w:r>
                    <w:rPr>
                      <w:color w:val="auto"/>
                      <w:szCs w:val="21"/>
                    </w:rPr>
                    <w:t>符合</w:t>
                  </w:r>
                </w:p>
              </w:tc>
            </w:tr>
            <w:tr w14:paraId="12B738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1527A237">
                  <w:pPr>
                    <w:topLinePunct/>
                    <w:jc w:val="center"/>
                    <w:rPr>
                      <w:b/>
                      <w:bCs/>
                      <w:color w:val="auto"/>
                      <w:szCs w:val="21"/>
                      <w:highlight w:val="yellow"/>
                    </w:rPr>
                  </w:pPr>
                </w:p>
              </w:tc>
              <w:tc>
                <w:tcPr>
                  <w:tcW w:w="322" w:type="pct"/>
                  <w:vMerge w:val="continue"/>
                  <w:vAlign w:val="center"/>
                </w:tcPr>
                <w:p w14:paraId="2C86DEF0">
                  <w:pPr>
                    <w:topLinePunct/>
                    <w:jc w:val="center"/>
                    <w:rPr>
                      <w:b/>
                      <w:bCs/>
                      <w:color w:val="auto"/>
                      <w:szCs w:val="21"/>
                    </w:rPr>
                  </w:pPr>
                </w:p>
              </w:tc>
              <w:tc>
                <w:tcPr>
                  <w:tcW w:w="2194" w:type="pct"/>
                  <w:vAlign w:val="center"/>
                </w:tcPr>
                <w:p w14:paraId="4D23778D">
                  <w:pPr>
                    <w:topLinePunct/>
                    <w:jc w:val="center"/>
                    <w:rPr>
                      <w:color w:val="auto"/>
                      <w:szCs w:val="21"/>
                    </w:rPr>
                  </w:pPr>
                  <w:r>
                    <w:rPr>
                      <w:color w:val="auto"/>
                      <w:szCs w:val="21"/>
                    </w:rPr>
                    <w:t>3.企业事业单位按照《企业事业单位突发环境事件应急预案备案管理办法（试行）》等要求，依法依规编制环境应急预案并定期开展演练。</w:t>
                  </w:r>
                </w:p>
              </w:tc>
              <w:tc>
                <w:tcPr>
                  <w:tcW w:w="1690" w:type="pct"/>
                  <w:vAlign w:val="center"/>
                </w:tcPr>
                <w:p w14:paraId="64AE384F">
                  <w:pPr>
                    <w:topLinePunct/>
                    <w:jc w:val="center"/>
                    <w:rPr>
                      <w:color w:val="auto"/>
                      <w:szCs w:val="21"/>
                    </w:rPr>
                  </w:pPr>
                  <w:r>
                    <w:rPr>
                      <w:color w:val="auto"/>
                      <w:szCs w:val="21"/>
                    </w:rPr>
                    <w:t>按要求执行。</w:t>
                  </w:r>
                </w:p>
              </w:tc>
              <w:tc>
                <w:tcPr>
                  <w:tcW w:w="481" w:type="pct"/>
                  <w:vAlign w:val="center"/>
                </w:tcPr>
                <w:p w14:paraId="0AB3119C">
                  <w:pPr>
                    <w:topLinePunct/>
                    <w:jc w:val="center"/>
                    <w:rPr>
                      <w:color w:val="auto"/>
                      <w:szCs w:val="21"/>
                    </w:rPr>
                  </w:pPr>
                  <w:r>
                    <w:rPr>
                      <w:color w:val="auto"/>
                      <w:szCs w:val="21"/>
                    </w:rPr>
                    <w:t>符合</w:t>
                  </w:r>
                </w:p>
              </w:tc>
            </w:tr>
            <w:tr w14:paraId="53AB32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310" w:type="pct"/>
                  <w:vMerge w:val="continue"/>
                  <w:vAlign w:val="center"/>
                </w:tcPr>
                <w:p w14:paraId="19F23000">
                  <w:pPr>
                    <w:topLinePunct/>
                    <w:jc w:val="center"/>
                    <w:rPr>
                      <w:b/>
                      <w:bCs/>
                      <w:color w:val="auto"/>
                      <w:szCs w:val="21"/>
                      <w:highlight w:val="yellow"/>
                    </w:rPr>
                  </w:pPr>
                </w:p>
              </w:tc>
              <w:tc>
                <w:tcPr>
                  <w:tcW w:w="322" w:type="pct"/>
                  <w:vMerge w:val="continue"/>
                  <w:vAlign w:val="center"/>
                </w:tcPr>
                <w:p w14:paraId="7B281ED4">
                  <w:pPr>
                    <w:topLinePunct/>
                    <w:jc w:val="center"/>
                    <w:rPr>
                      <w:b/>
                      <w:bCs/>
                      <w:color w:val="auto"/>
                      <w:szCs w:val="21"/>
                    </w:rPr>
                  </w:pPr>
                </w:p>
              </w:tc>
              <w:tc>
                <w:tcPr>
                  <w:tcW w:w="2194" w:type="pct"/>
                  <w:vAlign w:val="center"/>
                </w:tcPr>
                <w:p w14:paraId="4D339903">
                  <w:pPr>
                    <w:topLinePunct/>
                    <w:jc w:val="center"/>
                    <w:rPr>
                      <w:color w:val="auto"/>
                      <w:szCs w:val="21"/>
                    </w:rPr>
                  </w:pPr>
                  <w:r>
                    <w:rPr>
                      <w:color w:val="auto"/>
                      <w:szCs w:val="21"/>
                    </w:rPr>
                    <w:t>4.建立各企业危险废物的贮存、申报、经营许可（无废城市建设豁免的除外）、转移及处置管理制度，并负责对危废相应活动的全程监管和环境安全保障。</w:t>
                  </w:r>
                </w:p>
              </w:tc>
              <w:tc>
                <w:tcPr>
                  <w:tcW w:w="1690" w:type="pct"/>
                  <w:vAlign w:val="center"/>
                </w:tcPr>
                <w:p w14:paraId="4F81D471">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42BFD069">
                  <w:pPr>
                    <w:topLinePunct/>
                    <w:jc w:val="center"/>
                    <w:rPr>
                      <w:color w:val="auto"/>
                      <w:szCs w:val="21"/>
                    </w:rPr>
                  </w:pPr>
                  <w:r>
                    <w:rPr>
                      <w:color w:val="auto"/>
                      <w:szCs w:val="21"/>
                    </w:rPr>
                    <w:t>符合</w:t>
                  </w:r>
                </w:p>
              </w:tc>
            </w:tr>
            <w:tr w14:paraId="41C9F7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310" w:type="pct"/>
                  <w:vMerge w:val="continue"/>
                  <w:vAlign w:val="center"/>
                </w:tcPr>
                <w:p w14:paraId="69BA30C0">
                  <w:pPr>
                    <w:topLinePunct/>
                    <w:jc w:val="center"/>
                    <w:rPr>
                      <w:b/>
                      <w:bCs/>
                      <w:color w:val="auto"/>
                      <w:szCs w:val="21"/>
                      <w:highlight w:val="yellow"/>
                    </w:rPr>
                  </w:pPr>
                </w:p>
              </w:tc>
              <w:tc>
                <w:tcPr>
                  <w:tcW w:w="322" w:type="pct"/>
                  <w:vMerge w:val="continue"/>
                  <w:vAlign w:val="center"/>
                </w:tcPr>
                <w:p w14:paraId="26ED1596">
                  <w:pPr>
                    <w:topLinePunct/>
                    <w:jc w:val="center"/>
                    <w:rPr>
                      <w:b/>
                      <w:bCs/>
                      <w:color w:val="auto"/>
                      <w:szCs w:val="21"/>
                    </w:rPr>
                  </w:pPr>
                </w:p>
              </w:tc>
              <w:tc>
                <w:tcPr>
                  <w:tcW w:w="2194" w:type="pct"/>
                  <w:vAlign w:val="center"/>
                </w:tcPr>
                <w:p w14:paraId="7061DB2E">
                  <w:pPr>
                    <w:topLinePunct/>
                    <w:jc w:val="center"/>
                    <w:rPr>
                      <w:color w:val="auto"/>
                      <w:szCs w:val="21"/>
                    </w:rPr>
                  </w:pPr>
                  <w:r>
                    <w:rPr>
                      <w:color w:val="auto"/>
                      <w:szCs w:val="21"/>
                    </w:rPr>
                    <w:t>5.按照省市要求，做好清洁取暖改造工作。</w:t>
                  </w:r>
                </w:p>
              </w:tc>
              <w:tc>
                <w:tcPr>
                  <w:tcW w:w="1690" w:type="pct"/>
                  <w:vAlign w:val="center"/>
                </w:tcPr>
                <w:p w14:paraId="75225CAF">
                  <w:pPr>
                    <w:topLinePunct/>
                    <w:jc w:val="center"/>
                    <w:rPr>
                      <w:color w:val="auto"/>
                      <w:szCs w:val="21"/>
                    </w:rPr>
                  </w:pPr>
                  <w:r>
                    <w:rPr>
                      <w:color w:val="auto"/>
                      <w:szCs w:val="21"/>
                    </w:rPr>
                    <w:t>按要求执行。</w:t>
                  </w:r>
                </w:p>
              </w:tc>
              <w:tc>
                <w:tcPr>
                  <w:tcW w:w="481" w:type="pct"/>
                  <w:vAlign w:val="center"/>
                </w:tcPr>
                <w:p w14:paraId="424A91D9">
                  <w:pPr>
                    <w:topLinePunct/>
                    <w:jc w:val="center"/>
                    <w:rPr>
                      <w:color w:val="auto"/>
                      <w:szCs w:val="21"/>
                    </w:rPr>
                  </w:pPr>
                  <w:r>
                    <w:rPr>
                      <w:color w:val="auto"/>
                      <w:szCs w:val="21"/>
                    </w:rPr>
                    <w:t>符合</w:t>
                  </w:r>
                </w:p>
              </w:tc>
            </w:tr>
            <w:tr w14:paraId="0415FC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7C267A12">
                  <w:pPr>
                    <w:topLinePunct/>
                    <w:jc w:val="center"/>
                    <w:rPr>
                      <w:b/>
                      <w:bCs/>
                      <w:color w:val="auto"/>
                      <w:szCs w:val="21"/>
                      <w:highlight w:val="yellow"/>
                    </w:rPr>
                  </w:pPr>
                </w:p>
              </w:tc>
              <w:tc>
                <w:tcPr>
                  <w:tcW w:w="322" w:type="pct"/>
                  <w:vMerge w:val="restart"/>
                  <w:vAlign w:val="center"/>
                </w:tcPr>
                <w:p w14:paraId="6B260470">
                  <w:pPr>
                    <w:topLinePunct/>
                    <w:jc w:val="center"/>
                    <w:rPr>
                      <w:b/>
                      <w:bCs/>
                      <w:color w:val="auto"/>
                      <w:szCs w:val="21"/>
                    </w:rPr>
                  </w:pPr>
                  <w:r>
                    <w:rPr>
                      <w:color w:val="auto"/>
                      <w:szCs w:val="21"/>
                    </w:rPr>
                    <w:t>资源开放效率要求</w:t>
                  </w:r>
                </w:p>
              </w:tc>
              <w:tc>
                <w:tcPr>
                  <w:tcW w:w="2194" w:type="pct"/>
                  <w:vAlign w:val="center"/>
                </w:tcPr>
                <w:p w14:paraId="2C853F4A">
                  <w:pPr>
                    <w:topLinePunct/>
                    <w:jc w:val="center"/>
                    <w:rPr>
                      <w:color w:val="auto"/>
                      <w:szCs w:val="21"/>
                    </w:rPr>
                  </w:pPr>
                  <w:r>
                    <w:rPr>
                      <w:color w:val="auto"/>
                      <w:szCs w:val="21"/>
                    </w:rPr>
                    <w:t>1.高污染燃料禁燃区内执行淄博市高污染燃料禁燃区划定文件的管控要求。</w:t>
                  </w:r>
                </w:p>
              </w:tc>
              <w:tc>
                <w:tcPr>
                  <w:tcW w:w="1690" w:type="pct"/>
                  <w:vAlign w:val="center"/>
                </w:tcPr>
                <w:p w14:paraId="0ED9C471">
                  <w:pPr>
                    <w:topLinePunct/>
                    <w:jc w:val="center"/>
                    <w:rPr>
                      <w:color w:val="auto"/>
                      <w:szCs w:val="21"/>
                    </w:rPr>
                  </w:pPr>
                  <w:r>
                    <w:rPr>
                      <w:color w:val="auto"/>
                      <w:szCs w:val="21"/>
                    </w:rPr>
                    <w:t>本项目主要能源为水、电，均来源于就近管网，项目用水、用电量较少，符合文件要求。</w:t>
                  </w:r>
                </w:p>
              </w:tc>
              <w:tc>
                <w:tcPr>
                  <w:tcW w:w="481" w:type="pct"/>
                  <w:vAlign w:val="center"/>
                </w:tcPr>
                <w:p w14:paraId="5351CC43">
                  <w:pPr>
                    <w:topLinePunct/>
                    <w:jc w:val="center"/>
                    <w:rPr>
                      <w:color w:val="auto"/>
                      <w:szCs w:val="21"/>
                    </w:rPr>
                  </w:pPr>
                  <w:r>
                    <w:rPr>
                      <w:color w:val="auto"/>
                      <w:szCs w:val="21"/>
                    </w:rPr>
                    <w:t>符合</w:t>
                  </w:r>
                </w:p>
              </w:tc>
            </w:tr>
            <w:tr w14:paraId="27F6E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10" w:type="pct"/>
                  <w:vMerge w:val="continue"/>
                  <w:vAlign w:val="center"/>
                </w:tcPr>
                <w:p w14:paraId="5A81FCD9">
                  <w:pPr>
                    <w:topLinePunct/>
                    <w:jc w:val="center"/>
                    <w:rPr>
                      <w:b/>
                      <w:bCs/>
                      <w:color w:val="auto"/>
                      <w:szCs w:val="21"/>
                      <w:highlight w:val="yellow"/>
                    </w:rPr>
                  </w:pPr>
                </w:p>
              </w:tc>
              <w:tc>
                <w:tcPr>
                  <w:tcW w:w="322" w:type="pct"/>
                  <w:vMerge w:val="continue"/>
                  <w:vAlign w:val="center"/>
                </w:tcPr>
                <w:p w14:paraId="47CDF875">
                  <w:pPr>
                    <w:topLinePunct/>
                    <w:jc w:val="center"/>
                    <w:rPr>
                      <w:b/>
                      <w:bCs/>
                      <w:color w:val="auto"/>
                      <w:szCs w:val="21"/>
                    </w:rPr>
                  </w:pPr>
                </w:p>
              </w:tc>
              <w:tc>
                <w:tcPr>
                  <w:tcW w:w="2194" w:type="pct"/>
                  <w:vAlign w:val="center"/>
                </w:tcPr>
                <w:p w14:paraId="43C1825C">
                  <w:pPr>
                    <w:topLinePunct/>
                    <w:jc w:val="center"/>
                    <w:rPr>
                      <w:color w:val="auto"/>
                      <w:szCs w:val="21"/>
                    </w:rPr>
                  </w:pPr>
                  <w:r>
                    <w:rPr>
                      <w:color w:val="auto"/>
                      <w:szCs w:val="21"/>
                    </w:rPr>
                    <w:t>2.加强农业节水，提高水资源使用效率。</w:t>
                  </w:r>
                </w:p>
              </w:tc>
              <w:tc>
                <w:tcPr>
                  <w:tcW w:w="1690" w:type="pct"/>
                  <w:vAlign w:val="center"/>
                </w:tcPr>
                <w:p w14:paraId="71B2E5CD">
                  <w:pPr>
                    <w:topLinePunct/>
                    <w:jc w:val="center"/>
                    <w:rPr>
                      <w:color w:val="auto"/>
                      <w:szCs w:val="21"/>
                    </w:rPr>
                  </w:pPr>
                  <w:r>
                    <w:rPr>
                      <w:color w:val="auto"/>
                      <w:szCs w:val="21"/>
                    </w:rPr>
                    <w:t>按要求执行。</w:t>
                  </w:r>
                </w:p>
              </w:tc>
              <w:tc>
                <w:tcPr>
                  <w:tcW w:w="481" w:type="pct"/>
                  <w:vAlign w:val="center"/>
                </w:tcPr>
                <w:p w14:paraId="7726D644">
                  <w:pPr>
                    <w:topLinePunct/>
                    <w:jc w:val="center"/>
                    <w:rPr>
                      <w:color w:val="auto"/>
                      <w:szCs w:val="21"/>
                    </w:rPr>
                  </w:pPr>
                  <w:r>
                    <w:rPr>
                      <w:color w:val="auto"/>
                      <w:szCs w:val="21"/>
                    </w:rPr>
                    <w:t>符合</w:t>
                  </w:r>
                </w:p>
              </w:tc>
            </w:tr>
            <w:tr w14:paraId="738E75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45BC9D19">
                  <w:pPr>
                    <w:topLinePunct/>
                    <w:jc w:val="center"/>
                    <w:rPr>
                      <w:b/>
                      <w:bCs/>
                      <w:color w:val="auto"/>
                      <w:szCs w:val="21"/>
                      <w:highlight w:val="yellow"/>
                    </w:rPr>
                  </w:pPr>
                </w:p>
              </w:tc>
              <w:tc>
                <w:tcPr>
                  <w:tcW w:w="322" w:type="pct"/>
                  <w:vMerge w:val="continue"/>
                  <w:vAlign w:val="center"/>
                </w:tcPr>
                <w:p w14:paraId="6FE3AF55">
                  <w:pPr>
                    <w:topLinePunct/>
                    <w:jc w:val="center"/>
                    <w:rPr>
                      <w:b/>
                      <w:bCs/>
                      <w:color w:val="auto"/>
                      <w:szCs w:val="21"/>
                    </w:rPr>
                  </w:pPr>
                </w:p>
              </w:tc>
              <w:tc>
                <w:tcPr>
                  <w:tcW w:w="2194" w:type="pct"/>
                  <w:vAlign w:val="center"/>
                </w:tcPr>
                <w:p w14:paraId="0CCA3543">
                  <w:pPr>
                    <w:topLinePunct/>
                    <w:jc w:val="center"/>
                    <w:rPr>
                      <w:color w:val="auto"/>
                      <w:szCs w:val="21"/>
                    </w:rPr>
                  </w:pPr>
                  <w:r>
                    <w:rPr>
                      <w:color w:val="auto"/>
                      <w:szCs w:val="21"/>
                    </w:rPr>
                    <w:t>3.提升土地集约化水平。</w:t>
                  </w:r>
                </w:p>
              </w:tc>
              <w:tc>
                <w:tcPr>
                  <w:tcW w:w="1690" w:type="pct"/>
                  <w:vAlign w:val="center"/>
                </w:tcPr>
                <w:p w14:paraId="4469F5AD">
                  <w:pPr>
                    <w:topLinePunct/>
                    <w:jc w:val="center"/>
                    <w:rPr>
                      <w:color w:val="auto"/>
                      <w:szCs w:val="21"/>
                    </w:rPr>
                  </w:pPr>
                  <w:r>
                    <w:rPr>
                      <w:color w:val="auto"/>
                      <w:szCs w:val="21"/>
                    </w:rPr>
                    <w:t>按要求执行。</w:t>
                  </w:r>
                </w:p>
              </w:tc>
              <w:tc>
                <w:tcPr>
                  <w:tcW w:w="481" w:type="pct"/>
                  <w:vAlign w:val="center"/>
                </w:tcPr>
                <w:p w14:paraId="3002B960">
                  <w:pPr>
                    <w:topLinePunct/>
                    <w:jc w:val="center"/>
                    <w:rPr>
                      <w:color w:val="auto"/>
                      <w:szCs w:val="21"/>
                    </w:rPr>
                  </w:pPr>
                  <w:r>
                    <w:rPr>
                      <w:color w:val="auto"/>
                      <w:szCs w:val="21"/>
                    </w:rPr>
                    <w:t>符合</w:t>
                  </w:r>
                </w:p>
              </w:tc>
            </w:tr>
            <w:tr w14:paraId="3A598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310" w:type="pct"/>
                  <w:vMerge w:val="continue"/>
                  <w:vAlign w:val="center"/>
                </w:tcPr>
                <w:p w14:paraId="3B3744F2">
                  <w:pPr>
                    <w:topLinePunct/>
                    <w:jc w:val="center"/>
                    <w:rPr>
                      <w:b/>
                      <w:bCs/>
                      <w:color w:val="auto"/>
                      <w:szCs w:val="21"/>
                      <w:highlight w:val="yellow"/>
                    </w:rPr>
                  </w:pPr>
                </w:p>
              </w:tc>
              <w:tc>
                <w:tcPr>
                  <w:tcW w:w="322" w:type="pct"/>
                  <w:vMerge w:val="continue"/>
                  <w:vAlign w:val="center"/>
                </w:tcPr>
                <w:p w14:paraId="525CCB75">
                  <w:pPr>
                    <w:topLinePunct/>
                    <w:jc w:val="center"/>
                    <w:rPr>
                      <w:b/>
                      <w:bCs/>
                      <w:color w:val="auto"/>
                      <w:szCs w:val="21"/>
                    </w:rPr>
                  </w:pPr>
                </w:p>
              </w:tc>
              <w:tc>
                <w:tcPr>
                  <w:tcW w:w="2194" w:type="pct"/>
                  <w:vAlign w:val="center"/>
                </w:tcPr>
                <w:p w14:paraId="4CF635A6">
                  <w:pPr>
                    <w:topLinePunct/>
                    <w:jc w:val="center"/>
                    <w:rPr>
                      <w:color w:val="auto"/>
                      <w:szCs w:val="21"/>
                    </w:rPr>
                  </w:pPr>
                  <w:r>
                    <w:rPr>
                      <w:color w:val="auto"/>
                      <w:szCs w:val="21"/>
                    </w:rPr>
                    <w:t>4.调整能源利用结构，控制煤炭消费量，实现减量化，鼓励使用清洁能源、新能源和可再生能源。</w:t>
                  </w:r>
                </w:p>
              </w:tc>
              <w:tc>
                <w:tcPr>
                  <w:tcW w:w="1690" w:type="pct"/>
                  <w:vAlign w:val="center"/>
                </w:tcPr>
                <w:p w14:paraId="1C74FB99">
                  <w:pPr>
                    <w:topLinePunct/>
                    <w:jc w:val="center"/>
                    <w:rPr>
                      <w:color w:val="auto"/>
                      <w:szCs w:val="21"/>
                    </w:rPr>
                  </w:pPr>
                  <w:r>
                    <w:rPr>
                      <w:color w:val="auto"/>
                      <w:szCs w:val="21"/>
                    </w:rPr>
                    <w:t>按要求执行。</w:t>
                  </w:r>
                </w:p>
              </w:tc>
              <w:tc>
                <w:tcPr>
                  <w:tcW w:w="481" w:type="pct"/>
                  <w:vAlign w:val="center"/>
                </w:tcPr>
                <w:p w14:paraId="4EE4CB56">
                  <w:pPr>
                    <w:topLinePunct/>
                    <w:jc w:val="center"/>
                    <w:rPr>
                      <w:color w:val="auto"/>
                      <w:szCs w:val="21"/>
                    </w:rPr>
                  </w:pPr>
                  <w:r>
                    <w:rPr>
                      <w:color w:val="auto"/>
                      <w:szCs w:val="21"/>
                    </w:rPr>
                    <w:t>符合</w:t>
                  </w:r>
                </w:p>
              </w:tc>
            </w:tr>
            <w:tr w14:paraId="58031F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vAlign w:val="center"/>
                </w:tcPr>
                <w:p w14:paraId="17F3EC8B">
                  <w:pPr>
                    <w:topLinePunct/>
                    <w:jc w:val="center"/>
                    <w:rPr>
                      <w:color w:val="auto"/>
                      <w:szCs w:val="21"/>
                    </w:rPr>
                  </w:pPr>
                  <w:r>
                    <w:rPr>
                      <w:b/>
                      <w:bCs/>
                      <w:color w:val="auto"/>
                      <w:szCs w:val="21"/>
                    </w:rPr>
                    <w:t>《淄博市2023年生态环境分区管控成果动态更新项目生态环境准入清单》文件要求</w:t>
                  </w:r>
                </w:p>
              </w:tc>
              <w:tc>
                <w:tcPr>
                  <w:tcW w:w="1690" w:type="pct"/>
                  <w:vAlign w:val="center"/>
                </w:tcPr>
                <w:p w14:paraId="03C6471F">
                  <w:pPr>
                    <w:topLinePunct/>
                    <w:jc w:val="center"/>
                    <w:rPr>
                      <w:color w:val="auto"/>
                      <w:szCs w:val="21"/>
                    </w:rPr>
                  </w:pPr>
                  <w:r>
                    <w:rPr>
                      <w:b/>
                      <w:bCs/>
                      <w:color w:val="auto"/>
                      <w:szCs w:val="21"/>
                    </w:rPr>
                    <w:t>本项目实际情况</w:t>
                  </w:r>
                </w:p>
              </w:tc>
              <w:tc>
                <w:tcPr>
                  <w:tcW w:w="481" w:type="pct"/>
                  <w:vAlign w:val="center"/>
                </w:tcPr>
                <w:p w14:paraId="68A333B2">
                  <w:pPr>
                    <w:topLinePunct/>
                    <w:jc w:val="center"/>
                    <w:rPr>
                      <w:color w:val="auto"/>
                      <w:szCs w:val="21"/>
                    </w:rPr>
                  </w:pPr>
                  <w:r>
                    <w:rPr>
                      <w:b/>
                      <w:bCs/>
                      <w:color w:val="auto"/>
                      <w:szCs w:val="21"/>
                    </w:rPr>
                    <w:t>符合性</w:t>
                  </w:r>
                </w:p>
              </w:tc>
            </w:tr>
            <w:tr w14:paraId="5EE44F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310" w:type="pct"/>
                  <w:vMerge w:val="restart"/>
                  <w:vAlign w:val="center"/>
                </w:tcPr>
                <w:p w14:paraId="0AE73FFC">
                  <w:pPr>
                    <w:topLinePunct/>
                    <w:jc w:val="center"/>
                    <w:rPr>
                      <w:b/>
                      <w:bCs/>
                      <w:color w:val="auto"/>
                      <w:szCs w:val="21"/>
                    </w:rPr>
                  </w:pPr>
                  <w:r>
                    <w:rPr>
                      <w:color w:val="auto"/>
                      <w:szCs w:val="21"/>
                    </w:rPr>
                    <w:t>罗村镇重点管控单元</w:t>
                  </w:r>
                </w:p>
              </w:tc>
              <w:tc>
                <w:tcPr>
                  <w:tcW w:w="322" w:type="pct"/>
                  <w:vMerge w:val="restart"/>
                  <w:vAlign w:val="center"/>
                </w:tcPr>
                <w:p w14:paraId="648E517B">
                  <w:pPr>
                    <w:topLinePunct/>
                    <w:jc w:val="center"/>
                    <w:rPr>
                      <w:color w:val="auto"/>
                      <w:szCs w:val="21"/>
                    </w:rPr>
                  </w:pPr>
                  <w:r>
                    <w:rPr>
                      <w:color w:val="auto"/>
                      <w:szCs w:val="21"/>
                    </w:rPr>
                    <w:t>空间布局约束</w:t>
                  </w:r>
                </w:p>
              </w:tc>
              <w:tc>
                <w:tcPr>
                  <w:tcW w:w="2194" w:type="pct"/>
                  <w:vAlign w:val="center"/>
                </w:tcPr>
                <w:p w14:paraId="42D8B898">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vAlign w:val="center"/>
                </w:tcPr>
                <w:p w14:paraId="0F2E820D">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vAlign w:val="center"/>
                </w:tcPr>
                <w:p w14:paraId="063FF69B">
                  <w:pPr>
                    <w:topLinePunct/>
                    <w:jc w:val="center"/>
                    <w:rPr>
                      <w:color w:val="auto"/>
                      <w:szCs w:val="21"/>
                    </w:rPr>
                  </w:pPr>
                  <w:r>
                    <w:rPr>
                      <w:color w:val="auto"/>
                      <w:szCs w:val="21"/>
                    </w:rPr>
                    <w:t>符合</w:t>
                  </w:r>
                </w:p>
              </w:tc>
            </w:tr>
            <w:tr w14:paraId="067896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77CBE939">
                  <w:pPr>
                    <w:topLinePunct/>
                    <w:jc w:val="center"/>
                    <w:rPr>
                      <w:b/>
                      <w:bCs/>
                      <w:color w:val="auto"/>
                      <w:szCs w:val="21"/>
                      <w:highlight w:val="yellow"/>
                    </w:rPr>
                  </w:pPr>
                </w:p>
              </w:tc>
              <w:tc>
                <w:tcPr>
                  <w:tcW w:w="322" w:type="pct"/>
                  <w:vMerge w:val="continue"/>
                  <w:vAlign w:val="center"/>
                </w:tcPr>
                <w:p w14:paraId="64BF2139">
                  <w:pPr>
                    <w:topLinePunct/>
                    <w:jc w:val="center"/>
                    <w:rPr>
                      <w:b/>
                      <w:bCs/>
                      <w:color w:val="auto"/>
                      <w:szCs w:val="21"/>
                    </w:rPr>
                  </w:pPr>
                </w:p>
              </w:tc>
              <w:tc>
                <w:tcPr>
                  <w:tcW w:w="2194" w:type="pct"/>
                  <w:vAlign w:val="center"/>
                </w:tcPr>
                <w:p w14:paraId="136A68BE">
                  <w:pPr>
                    <w:topLinePunct/>
                    <w:jc w:val="center"/>
                    <w:rPr>
                      <w:color w:val="auto"/>
                      <w:szCs w:val="21"/>
                    </w:rPr>
                  </w:pPr>
                  <w:r>
                    <w:rPr>
                      <w:color w:val="auto"/>
                      <w:szCs w:val="21"/>
                    </w:rPr>
                    <w:t>2.按照省市要求，严格控制“两高”项目，新建“两高”项目实行“五个减量替代”。</w:t>
                  </w:r>
                </w:p>
              </w:tc>
              <w:tc>
                <w:tcPr>
                  <w:tcW w:w="1690" w:type="pct"/>
                  <w:vAlign w:val="center"/>
                </w:tcPr>
                <w:p w14:paraId="7440FD1D">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7C3B354C">
                  <w:pPr>
                    <w:topLinePunct/>
                    <w:jc w:val="center"/>
                    <w:rPr>
                      <w:color w:val="auto"/>
                      <w:szCs w:val="21"/>
                    </w:rPr>
                  </w:pPr>
                  <w:r>
                    <w:rPr>
                      <w:color w:val="auto"/>
                      <w:szCs w:val="21"/>
                    </w:rPr>
                    <w:t>符合</w:t>
                  </w:r>
                </w:p>
              </w:tc>
            </w:tr>
            <w:tr w14:paraId="0EE6C6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6" w:hRule="atLeast"/>
                <w:jc w:val="center"/>
              </w:trPr>
              <w:tc>
                <w:tcPr>
                  <w:tcW w:w="310" w:type="pct"/>
                  <w:vMerge w:val="continue"/>
                  <w:vAlign w:val="center"/>
                </w:tcPr>
                <w:p w14:paraId="5B40E95D">
                  <w:pPr>
                    <w:topLinePunct/>
                    <w:jc w:val="center"/>
                    <w:rPr>
                      <w:b/>
                      <w:bCs/>
                      <w:color w:val="auto"/>
                      <w:szCs w:val="21"/>
                      <w:highlight w:val="yellow"/>
                    </w:rPr>
                  </w:pPr>
                </w:p>
              </w:tc>
              <w:tc>
                <w:tcPr>
                  <w:tcW w:w="322" w:type="pct"/>
                  <w:vMerge w:val="continue"/>
                  <w:vAlign w:val="center"/>
                </w:tcPr>
                <w:p w14:paraId="64457464">
                  <w:pPr>
                    <w:topLinePunct/>
                    <w:jc w:val="center"/>
                    <w:rPr>
                      <w:b/>
                      <w:bCs/>
                      <w:color w:val="auto"/>
                      <w:szCs w:val="21"/>
                    </w:rPr>
                  </w:pPr>
                </w:p>
              </w:tc>
              <w:tc>
                <w:tcPr>
                  <w:tcW w:w="2194" w:type="pct"/>
                  <w:vAlign w:val="center"/>
                </w:tcPr>
                <w:p w14:paraId="578F17D6">
                  <w:pPr>
                    <w:topLinePunct/>
                    <w:jc w:val="center"/>
                    <w:rPr>
                      <w:color w:val="auto"/>
                      <w:szCs w:val="21"/>
                    </w:rPr>
                  </w:pPr>
                  <w:r>
                    <w:rPr>
                      <w:color w:val="auto"/>
                      <w:szCs w:val="21"/>
                    </w:rPr>
                    <w:t>3.生态红线外淄川省级风景名胜区依据《中华人民共和国自然保护条例》《森林公园管理办法》《风景名胜区条例》《国家级公益林管理办法》《国家湿地公园管理办法》的要求进行管控。不得在生态红线内开展城镇化、工业化等有损害主导生态功能的活动。</w:t>
                  </w:r>
                </w:p>
              </w:tc>
              <w:tc>
                <w:tcPr>
                  <w:tcW w:w="1690" w:type="pct"/>
                  <w:vAlign w:val="center"/>
                </w:tcPr>
                <w:p w14:paraId="27926215">
                  <w:pPr>
                    <w:topLinePunct/>
                    <w:jc w:val="center"/>
                    <w:rPr>
                      <w:color w:val="auto"/>
                      <w:szCs w:val="21"/>
                      <w:highlight w:val="yellow"/>
                    </w:rPr>
                  </w:pPr>
                  <w:r>
                    <w:rPr>
                      <w:color w:val="auto"/>
                      <w:szCs w:val="21"/>
                    </w:rPr>
                    <w:t>根据</w:t>
                  </w:r>
                  <w:r>
                    <w:rPr>
                      <w:rFonts w:hint="eastAsia"/>
                      <w:color w:val="auto"/>
                      <w:szCs w:val="21"/>
                    </w:rPr>
                    <w:t>淄博市国土空间总体规划（2021-2035年）市域国土空间控制线规划图</w:t>
                  </w:r>
                  <w:r>
                    <w:rPr>
                      <w:color w:val="auto"/>
                      <w:szCs w:val="21"/>
                    </w:rPr>
                    <w:t>（附图3），项目不占用生态保护红线、不占用永久基本农田。</w:t>
                  </w:r>
                </w:p>
              </w:tc>
              <w:tc>
                <w:tcPr>
                  <w:tcW w:w="481" w:type="pct"/>
                  <w:vAlign w:val="center"/>
                </w:tcPr>
                <w:p w14:paraId="35C98457">
                  <w:pPr>
                    <w:topLinePunct/>
                    <w:jc w:val="center"/>
                    <w:rPr>
                      <w:color w:val="auto"/>
                      <w:szCs w:val="21"/>
                      <w:highlight w:val="yellow"/>
                    </w:rPr>
                  </w:pPr>
                  <w:r>
                    <w:rPr>
                      <w:color w:val="auto"/>
                      <w:szCs w:val="21"/>
                    </w:rPr>
                    <w:t>符合</w:t>
                  </w:r>
                </w:p>
              </w:tc>
            </w:tr>
            <w:tr w14:paraId="3E914F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4" w:hRule="atLeast"/>
                <w:jc w:val="center"/>
              </w:trPr>
              <w:tc>
                <w:tcPr>
                  <w:tcW w:w="310" w:type="pct"/>
                  <w:vMerge w:val="continue"/>
                  <w:vAlign w:val="center"/>
                </w:tcPr>
                <w:p w14:paraId="4662FEED">
                  <w:pPr>
                    <w:topLinePunct/>
                    <w:jc w:val="center"/>
                    <w:rPr>
                      <w:b/>
                      <w:bCs/>
                      <w:color w:val="auto"/>
                      <w:szCs w:val="21"/>
                      <w:highlight w:val="yellow"/>
                    </w:rPr>
                  </w:pPr>
                </w:p>
              </w:tc>
              <w:tc>
                <w:tcPr>
                  <w:tcW w:w="322" w:type="pct"/>
                  <w:vMerge w:val="continue"/>
                  <w:vAlign w:val="center"/>
                </w:tcPr>
                <w:p w14:paraId="5EDAA1C3">
                  <w:pPr>
                    <w:topLinePunct/>
                    <w:jc w:val="center"/>
                    <w:rPr>
                      <w:b/>
                      <w:bCs/>
                      <w:color w:val="auto"/>
                      <w:szCs w:val="21"/>
                    </w:rPr>
                  </w:pPr>
                </w:p>
              </w:tc>
              <w:tc>
                <w:tcPr>
                  <w:tcW w:w="2194" w:type="pct"/>
                  <w:vAlign w:val="center"/>
                </w:tcPr>
                <w:p w14:paraId="047CA39D">
                  <w:pPr>
                    <w:topLinePunct/>
                    <w:jc w:val="center"/>
                    <w:rPr>
                      <w:color w:val="auto"/>
                      <w:szCs w:val="21"/>
                    </w:rPr>
                  </w:pPr>
                  <w:r>
                    <w:rPr>
                      <w:color w:val="auto"/>
                      <w:szCs w:val="21"/>
                    </w:rPr>
                    <w:t>4.按照《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0" w:type="pct"/>
                  <w:vAlign w:val="center"/>
                </w:tcPr>
                <w:p w14:paraId="3C9D757C">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项目，不属于上述行业，不占用永久基本农田。</w:t>
                  </w:r>
                </w:p>
              </w:tc>
              <w:tc>
                <w:tcPr>
                  <w:tcW w:w="481" w:type="pct"/>
                  <w:vAlign w:val="center"/>
                </w:tcPr>
                <w:p w14:paraId="7FB0D967">
                  <w:pPr>
                    <w:topLinePunct/>
                    <w:jc w:val="center"/>
                    <w:rPr>
                      <w:color w:val="auto"/>
                      <w:szCs w:val="21"/>
                    </w:rPr>
                  </w:pPr>
                  <w:r>
                    <w:rPr>
                      <w:color w:val="auto"/>
                      <w:szCs w:val="21"/>
                    </w:rPr>
                    <w:t>符合</w:t>
                  </w:r>
                </w:p>
              </w:tc>
            </w:tr>
            <w:tr w14:paraId="5468C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04" w:hRule="atLeast"/>
                <w:jc w:val="center"/>
              </w:trPr>
              <w:tc>
                <w:tcPr>
                  <w:tcW w:w="310" w:type="pct"/>
                  <w:vMerge w:val="continue"/>
                  <w:vAlign w:val="center"/>
                </w:tcPr>
                <w:p w14:paraId="67B4660E">
                  <w:pPr>
                    <w:topLinePunct/>
                    <w:jc w:val="center"/>
                    <w:rPr>
                      <w:b/>
                      <w:bCs/>
                      <w:color w:val="auto"/>
                      <w:szCs w:val="21"/>
                      <w:highlight w:val="yellow"/>
                    </w:rPr>
                  </w:pPr>
                </w:p>
              </w:tc>
              <w:tc>
                <w:tcPr>
                  <w:tcW w:w="322" w:type="pct"/>
                  <w:vMerge w:val="continue"/>
                  <w:vAlign w:val="center"/>
                </w:tcPr>
                <w:p w14:paraId="0EBC05F3">
                  <w:pPr>
                    <w:topLinePunct/>
                    <w:jc w:val="center"/>
                    <w:rPr>
                      <w:b/>
                      <w:bCs/>
                      <w:color w:val="auto"/>
                      <w:szCs w:val="21"/>
                    </w:rPr>
                  </w:pPr>
                </w:p>
              </w:tc>
              <w:tc>
                <w:tcPr>
                  <w:tcW w:w="2194" w:type="pct"/>
                  <w:vAlign w:val="center"/>
                </w:tcPr>
                <w:p w14:paraId="5E3CED1A">
                  <w:pPr>
                    <w:topLinePunct/>
                    <w:jc w:val="center"/>
                    <w:rPr>
                      <w:color w:val="auto"/>
                      <w:szCs w:val="21"/>
                    </w:rPr>
                  </w:pPr>
                  <w:r>
                    <w:rPr>
                      <w:color w:val="auto"/>
                      <w:szCs w:val="21"/>
                    </w:rPr>
                    <w:t>5.污水处理设施不健全、未正常运行或污水管网未覆盖的地区，未配套污水处理设施的项目不得建设。</w:t>
                  </w:r>
                </w:p>
              </w:tc>
              <w:tc>
                <w:tcPr>
                  <w:tcW w:w="1690" w:type="pct"/>
                  <w:vAlign w:val="center"/>
                </w:tcPr>
                <w:p w14:paraId="6260F6A1">
                  <w:pPr>
                    <w:adjustRightInd w:val="0"/>
                    <w:snapToGrid w:val="0"/>
                    <w:jc w:val="center"/>
                    <w:rPr>
                      <w:color w:val="auto"/>
                      <w:szCs w:val="21"/>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3CE265D1">
                  <w:pPr>
                    <w:topLinePunct/>
                    <w:jc w:val="center"/>
                    <w:rPr>
                      <w:color w:val="auto"/>
                      <w:szCs w:val="21"/>
                    </w:rPr>
                  </w:pPr>
                  <w:r>
                    <w:rPr>
                      <w:color w:val="auto"/>
                      <w:szCs w:val="21"/>
                    </w:rPr>
                    <w:t>符合</w:t>
                  </w:r>
                </w:p>
              </w:tc>
            </w:tr>
            <w:tr w14:paraId="16C8E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10" w:type="pct"/>
                  <w:vMerge w:val="continue"/>
                  <w:vAlign w:val="center"/>
                </w:tcPr>
                <w:p w14:paraId="52F05F25">
                  <w:pPr>
                    <w:topLinePunct/>
                    <w:jc w:val="center"/>
                    <w:rPr>
                      <w:b/>
                      <w:bCs/>
                      <w:color w:val="auto"/>
                      <w:szCs w:val="21"/>
                      <w:highlight w:val="yellow"/>
                    </w:rPr>
                  </w:pPr>
                </w:p>
              </w:tc>
              <w:tc>
                <w:tcPr>
                  <w:tcW w:w="322" w:type="pct"/>
                  <w:vMerge w:val="continue"/>
                  <w:vAlign w:val="center"/>
                </w:tcPr>
                <w:p w14:paraId="6A7EF9BD">
                  <w:pPr>
                    <w:topLinePunct/>
                    <w:jc w:val="center"/>
                    <w:rPr>
                      <w:color w:val="auto"/>
                      <w:szCs w:val="21"/>
                    </w:rPr>
                  </w:pPr>
                </w:p>
              </w:tc>
              <w:tc>
                <w:tcPr>
                  <w:tcW w:w="2194" w:type="pct"/>
                  <w:vAlign w:val="center"/>
                </w:tcPr>
                <w:p w14:paraId="243FA5B2">
                  <w:pPr>
                    <w:topLinePunct/>
                    <w:jc w:val="center"/>
                    <w:rPr>
                      <w:color w:val="auto"/>
                      <w:szCs w:val="21"/>
                    </w:rPr>
                  </w:pPr>
                  <w:r>
                    <w:rPr>
                      <w:color w:val="auto"/>
                      <w:szCs w:val="21"/>
                    </w:rPr>
                    <w:t>6.新建有污染物排放的工业项目，除在安全生产等方面有特殊要求的以外，应当进入工业园区或工业聚集区。</w:t>
                  </w:r>
                </w:p>
              </w:tc>
              <w:tc>
                <w:tcPr>
                  <w:tcW w:w="1690" w:type="pct"/>
                  <w:vAlign w:val="center"/>
                </w:tcPr>
                <w:p w14:paraId="38C475EE">
                  <w:pPr>
                    <w:adjustRightInd w:val="0"/>
                    <w:snapToGrid w:val="0"/>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63ED0440">
                  <w:pPr>
                    <w:topLinePunct/>
                    <w:jc w:val="center"/>
                    <w:rPr>
                      <w:color w:val="auto"/>
                      <w:szCs w:val="21"/>
                    </w:rPr>
                  </w:pPr>
                  <w:r>
                    <w:rPr>
                      <w:color w:val="auto"/>
                      <w:szCs w:val="21"/>
                    </w:rPr>
                    <w:t>符合</w:t>
                  </w:r>
                </w:p>
              </w:tc>
            </w:tr>
            <w:tr w14:paraId="11A8E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10" w:type="pct"/>
                  <w:vMerge w:val="continue"/>
                  <w:vAlign w:val="center"/>
                </w:tcPr>
                <w:p w14:paraId="3570C4DD">
                  <w:pPr>
                    <w:topLinePunct/>
                    <w:jc w:val="center"/>
                    <w:rPr>
                      <w:b/>
                      <w:bCs/>
                      <w:color w:val="auto"/>
                      <w:szCs w:val="21"/>
                      <w:highlight w:val="yellow"/>
                    </w:rPr>
                  </w:pPr>
                </w:p>
              </w:tc>
              <w:tc>
                <w:tcPr>
                  <w:tcW w:w="322" w:type="pct"/>
                  <w:vMerge w:val="restart"/>
                  <w:vAlign w:val="center"/>
                </w:tcPr>
                <w:p w14:paraId="423D1B44">
                  <w:pPr>
                    <w:topLinePunct/>
                    <w:jc w:val="center"/>
                    <w:rPr>
                      <w:b/>
                      <w:bCs/>
                      <w:color w:val="auto"/>
                      <w:szCs w:val="21"/>
                    </w:rPr>
                  </w:pPr>
                  <w:r>
                    <w:rPr>
                      <w:color w:val="auto"/>
                      <w:szCs w:val="21"/>
                    </w:rPr>
                    <w:t>污染物排放管控</w:t>
                  </w:r>
                </w:p>
              </w:tc>
              <w:tc>
                <w:tcPr>
                  <w:tcW w:w="2194" w:type="pct"/>
                  <w:vAlign w:val="center"/>
                </w:tcPr>
                <w:p w14:paraId="3D4BD665">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216CC09A">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64259A9A">
                  <w:pPr>
                    <w:topLinePunct/>
                    <w:jc w:val="center"/>
                    <w:rPr>
                      <w:color w:val="auto"/>
                      <w:szCs w:val="21"/>
                    </w:rPr>
                  </w:pPr>
                  <w:r>
                    <w:rPr>
                      <w:color w:val="auto"/>
                      <w:szCs w:val="21"/>
                    </w:rPr>
                    <w:t>符合</w:t>
                  </w:r>
                </w:p>
              </w:tc>
            </w:tr>
            <w:tr w14:paraId="377B89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184480AF">
                  <w:pPr>
                    <w:topLinePunct/>
                    <w:jc w:val="center"/>
                    <w:rPr>
                      <w:b/>
                      <w:bCs/>
                      <w:color w:val="auto"/>
                      <w:szCs w:val="21"/>
                      <w:highlight w:val="yellow"/>
                    </w:rPr>
                  </w:pPr>
                </w:p>
              </w:tc>
              <w:tc>
                <w:tcPr>
                  <w:tcW w:w="322" w:type="pct"/>
                  <w:vMerge w:val="continue"/>
                  <w:vAlign w:val="center"/>
                </w:tcPr>
                <w:p w14:paraId="1709749F">
                  <w:pPr>
                    <w:topLinePunct/>
                    <w:jc w:val="center"/>
                    <w:rPr>
                      <w:b/>
                      <w:bCs/>
                      <w:color w:val="auto"/>
                      <w:szCs w:val="21"/>
                    </w:rPr>
                  </w:pPr>
                </w:p>
              </w:tc>
              <w:tc>
                <w:tcPr>
                  <w:tcW w:w="2194" w:type="pct"/>
                  <w:vAlign w:val="center"/>
                </w:tcPr>
                <w:p w14:paraId="60CBB055">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01388C0B">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71612955">
                  <w:pPr>
                    <w:topLinePunct/>
                    <w:jc w:val="center"/>
                    <w:rPr>
                      <w:color w:val="auto"/>
                      <w:szCs w:val="21"/>
                    </w:rPr>
                  </w:pPr>
                  <w:r>
                    <w:rPr>
                      <w:color w:val="auto"/>
                      <w:szCs w:val="21"/>
                    </w:rPr>
                    <w:t>符合</w:t>
                  </w:r>
                </w:p>
              </w:tc>
            </w:tr>
            <w:tr w14:paraId="5182B9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10" w:type="pct"/>
                  <w:vMerge w:val="continue"/>
                  <w:vAlign w:val="center"/>
                </w:tcPr>
                <w:p w14:paraId="1959E722">
                  <w:pPr>
                    <w:topLinePunct/>
                    <w:jc w:val="center"/>
                    <w:rPr>
                      <w:b/>
                      <w:bCs/>
                      <w:color w:val="auto"/>
                      <w:szCs w:val="21"/>
                      <w:highlight w:val="yellow"/>
                    </w:rPr>
                  </w:pPr>
                </w:p>
              </w:tc>
              <w:tc>
                <w:tcPr>
                  <w:tcW w:w="322" w:type="pct"/>
                  <w:vMerge w:val="continue"/>
                  <w:vAlign w:val="center"/>
                </w:tcPr>
                <w:p w14:paraId="2904BA33">
                  <w:pPr>
                    <w:topLinePunct/>
                    <w:jc w:val="center"/>
                    <w:rPr>
                      <w:b/>
                      <w:bCs/>
                      <w:color w:val="auto"/>
                      <w:szCs w:val="21"/>
                    </w:rPr>
                  </w:pPr>
                </w:p>
              </w:tc>
              <w:tc>
                <w:tcPr>
                  <w:tcW w:w="2194" w:type="pct"/>
                  <w:vAlign w:val="center"/>
                </w:tcPr>
                <w:p w14:paraId="35680EDE">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740F3A67">
                  <w:pPr>
                    <w:topLinePunct/>
                    <w:jc w:val="center"/>
                    <w:rPr>
                      <w:color w:val="auto"/>
                      <w:szCs w:val="21"/>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074086DE">
                  <w:pPr>
                    <w:topLinePunct/>
                    <w:jc w:val="center"/>
                    <w:rPr>
                      <w:color w:val="auto"/>
                      <w:szCs w:val="21"/>
                    </w:rPr>
                  </w:pPr>
                  <w:r>
                    <w:rPr>
                      <w:color w:val="auto"/>
                      <w:szCs w:val="21"/>
                    </w:rPr>
                    <w:t>符合</w:t>
                  </w:r>
                </w:p>
              </w:tc>
            </w:tr>
            <w:tr w14:paraId="7EA5BD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1F1189EF">
                  <w:pPr>
                    <w:topLinePunct/>
                    <w:jc w:val="center"/>
                    <w:rPr>
                      <w:b/>
                      <w:bCs/>
                      <w:color w:val="auto"/>
                      <w:szCs w:val="21"/>
                      <w:highlight w:val="yellow"/>
                    </w:rPr>
                  </w:pPr>
                </w:p>
              </w:tc>
              <w:tc>
                <w:tcPr>
                  <w:tcW w:w="322" w:type="pct"/>
                  <w:vMerge w:val="continue"/>
                  <w:vAlign w:val="center"/>
                </w:tcPr>
                <w:p w14:paraId="7EE553C9">
                  <w:pPr>
                    <w:topLinePunct/>
                    <w:jc w:val="center"/>
                    <w:rPr>
                      <w:b/>
                      <w:bCs/>
                      <w:color w:val="auto"/>
                      <w:szCs w:val="21"/>
                    </w:rPr>
                  </w:pPr>
                </w:p>
              </w:tc>
              <w:tc>
                <w:tcPr>
                  <w:tcW w:w="2194" w:type="pct"/>
                  <w:vAlign w:val="center"/>
                </w:tcPr>
                <w:p w14:paraId="3ECC4E8A">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3EEDDC2D">
                  <w:pPr>
                    <w:topLinePunct/>
                    <w:jc w:val="center"/>
                    <w:rPr>
                      <w:color w:val="auto"/>
                      <w:szCs w:val="21"/>
                    </w:rPr>
                  </w:pPr>
                  <w:r>
                    <w:rPr>
                      <w:color w:val="auto"/>
                      <w:szCs w:val="21"/>
                    </w:rPr>
                    <w:t>本项目无废水外排，不新建入河排污口。</w:t>
                  </w:r>
                </w:p>
              </w:tc>
              <w:tc>
                <w:tcPr>
                  <w:tcW w:w="481" w:type="pct"/>
                  <w:vAlign w:val="center"/>
                </w:tcPr>
                <w:p w14:paraId="46246E3C">
                  <w:pPr>
                    <w:topLinePunct/>
                    <w:jc w:val="center"/>
                    <w:rPr>
                      <w:color w:val="auto"/>
                      <w:szCs w:val="21"/>
                    </w:rPr>
                  </w:pPr>
                  <w:r>
                    <w:rPr>
                      <w:color w:val="auto"/>
                      <w:szCs w:val="21"/>
                    </w:rPr>
                    <w:t>符合</w:t>
                  </w:r>
                </w:p>
              </w:tc>
            </w:tr>
            <w:tr w14:paraId="3EC8EA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10" w:type="pct"/>
                  <w:vMerge w:val="continue"/>
                  <w:vAlign w:val="center"/>
                </w:tcPr>
                <w:p w14:paraId="37509499">
                  <w:pPr>
                    <w:topLinePunct/>
                    <w:jc w:val="center"/>
                    <w:rPr>
                      <w:b/>
                      <w:bCs/>
                      <w:color w:val="auto"/>
                      <w:szCs w:val="21"/>
                      <w:highlight w:val="yellow"/>
                    </w:rPr>
                  </w:pPr>
                </w:p>
              </w:tc>
              <w:tc>
                <w:tcPr>
                  <w:tcW w:w="322" w:type="pct"/>
                  <w:vMerge w:val="continue"/>
                  <w:vAlign w:val="center"/>
                </w:tcPr>
                <w:p w14:paraId="29618521">
                  <w:pPr>
                    <w:topLinePunct/>
                    <w:jc w:val="center"/>
                    <w:rPr>
                      <w:b/>
                      <w:bCs/>
                      <w:color w:val="auto"/>
                      <w:szCs w:val="21"/>
                    </w:rPr>
                  </w:pPr>
                </w:p>
              </w:tc>
              <w:tc>
                <w:tcPr>
                  <w:tcW w:w="2194" w:type="pct"/>
                  <w:vAlign w:val="center"/>
                </w:tcPr>
                <w:p w14:paraId="1D3D0AC6">
                  <w:pPr>
                    <w:topLinePunct/>
                    <w:jc w:val="center"/>
                    <w:rPr>
                      <w:color w:val="auto"/>
                      <w:szCs w:val="21"/>
                    </w:rPr>
                  </w:pPr>
                  <w:r>
                    <w:rPr>
                      <w:color w:val="auto"/>
                      <w:szCs w:val="21"/>
                    </w:rPr>
                    <w:t>5.涉VOCs排放的行业，严格按照淄博市行业环境管控要求，实施源头替代，建立健全治理设施，确保污染物稳定达标排放，做到持证排污。</w:t>
                  </w:r>
                </w:p>
              </w:tc>
              <w:tc>
                <w:tcPr>
                  <w:tcW w:w="1690" w:type="pct"/>
                  <w:vAlign w:val="center"/>
                </w:tcPr>
                <w:p w14:paraId="49D301DB">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3EFB03AD">
                  <w:pPr>
                    <w:topLinePunct/>
                    <w:jc w:val="center"/>
                    <w:rPr>
                      <w:color w:val="auto"/>
                      <w:szCs w:val="21"/>
                    </w:rPr>
                  </w:pPr>
                  <w:r>
                    <w:rPr>
                      <w:color w:val="auto"/>
                      <w:szCs w:val="21"/>
                    </w:rPr>
                    <w:t>符合</w:t>
                  </w:r>
                </w:p>
              </w:tc>
            </w:tr>
            <w:tr w14:paraId="0C43C9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3CE763D9">
                  <w:pPr>
                    <w:topLinePunct/>
                    <w:jc w:val="center"/>
                    <w:rPr>
                      <w:b/>
                      <w:bCs/>
                      <w:color w:val="auto"/>
                      <w:szCs w:val="21"/>
                    </w:rPr>
                  </w:pPr>
                </w:p>
              </w:tc>
              <w:tc>
                <w:tcPr>
                  <w:tcW w:w="322" w:type="pct"/>
                  <w:vMerge w:val="continue"/>
                  <w:vAlign w:val="center"/>
                </w:tcPr>
                <w:p w14:paraId="13EE58D2">
                  <w:pPr>
                    <w:topLinePunct/>
                    <w:jc w:val="center"/>
                    <w:rPr>
                      <w:b/>
                      <w:bCs/>
                      <w:color w:val="auto"/>
                      <w:szCs w:val="21"/>
                    </w:rPr>
                  </w:pPr>
                </w:p>
              </w:tc>
              <w:tc>
                <w:tcPr>
                  <w:tcW w:w="2194" w:type="pct"/>
                  <w:vAlign w:val="center"/>
                </w:tcPr>
                <w:p w14:paraId="39D233BA">
                  <w:pPr>
                    <w:topLinePunct/>
                    <w:jc w:val="center"/>
                    <w:rPr>
                      <w:color w:val="auto"/>
                      <w:szCs w:val="21"/>
                    </w:rPr>
                  </w:pPr>
                  <w:r>
                    <w:rPr>
                      <w:color w:val="auto"/>
                      <w:szCs w:val="21"/>
                    </w:rPr>
                    <w:t>6.进一步加强对建设工程施工、建筑物拆除、交通运输、道路保洁、物料运输与堆存、采石取土、养护绿化等活动的扬尘管理。</w:t>
                  </w:r>
                </w:p>
              </w:tc>
              <w:tc>
                <w:tcPr>
                  <w:tcW w:w="1690" w:type="pct"/>
                  <w:vAlign w:val="center"/>
                </w:tcPr>
                <w:p w14:paraId="50172C54">
                  <w:pPr>
                    <w:topLinePunct/>
                    <w:jc w:val="center"/>
                    <w:rPr>
                      <w:color w:val="auto"/>
                      <w:szCs w:val="21"/>
                    </w:rPr>
                  </w:pPr>
                  <w:r>
                    <w:rPr>
                      <w:color w:val="auto"/>
                      <w:szCs w:val="21"/>
                    </w:rPr>
                    <w:t>按要求执行。</w:t>
                  </w:r>
                </w:p>
              </w:tc>
              <w:tc>
                <w:tcPr>
                  <w:tcW w:w="481" w:type="pct"/>
                  <w:vAlign w:val="center"/>
                </w:tcPr>
                <w:p w14:paraId="240C707A">
                  <w:pPr>
                    <w:topLinePunct/>
                    <w:jc w:val="center"/>
                    <w:rPr>
                      <w:color w:val="auto"/>
                      <w:szCs w:val="21"/>
                    </w:rPr>
                  </w:pPr>
                  <w:r>
                    <w:rPr>
                      <w:color w:val="auto"/>
                      <w:szCs w:val="21"/>
                    </w:rPr>
                    <w:t>符合</w:t>
                  </w:r>
                </w:p>
              </w:tc>
            </w:tr>
            <w:tr w14:paraId="05434C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310" w:type="pct"/>
                  <w:vMerge w:val="continue"/>
                  <w:vAlign w:val="center"/>
                </w:tcPr>
                <w:p w14:paraId="1F9A8F50">
                  <w:pPr>
                    <w:topLinePunct/>
                    <w:jc w:val="center"/>
                    <w:rPr>
                      <w:b/>
                      <w:bCs/>
                      <w:color w:val="auto"/>
                      <w:szCs w:val="21"/>
                      <w:highlight w:val="yellow"/>
                    </w:rPr>
                  </w:pPr>
                </w:p>
              </w:tc>
              <w:tc>
                <w:tcPr>
                  <w:tcW w:w="322" w:type="pct"/>
                  <w:vMerge w:val="restart"/>
                  <w:vAlign w:val="center"/>
                </w:tcPr>
                <w:p w14:paraId="0778AC89">
                  <w:pPr>
                    <w:topLinePunct/>
                    <w:jc w:val="center"/>
                    <w:rPr>
                      <w:color w:val="auto"/>
                      <w:szCs w:val="21"/>
                    </w:rPr>
                  </w:pPr>
                  <w:r>
                    <w:rPr>
                      <w:color w:val="auto"/>
                      <w:szCs w:val="21"/>
                    </w:rPr>
                    <w:t>环境风险防控</w:t>
                  </w:r>
                </w:p>
              </w:tc>
              <w:tc>
                <w:tcPr>
                  <w:tcW w:w="2194" w:type="pct"/>
                  <w:vAlign w:val="center"/>
                </w:tcPr>
                <w:p w14:paraId="3B7FA749">
                  <w:pPr>
                    <w:topLinePunct/>
                    <w:jc w:val="center"/>
                    <w:rPr>
                      <w:color w:val="auto"/>
                      <w:szCs w:val="21"/>
                    </w:rPr>
                  </w:pPr>
                  <w:r>
                    <w:rPr>
                      <w:color w:val="auto"/>
                      <w:szCs w:val="21"/>
                    </w:rPr>
                    <w:t>1.紧邻居住、科教、医院等环境敏感点的工业用地，禁止新建环境风险潜势等级高的建设项目；现有项目严格落实环评及批复环境风险防控要求。</w:t>
                  </w:r>
                </w:p>
              </w:tc>
              <w:tc>
                <w:tcPr>
                  <w:tcW w:w="1690" w:type="pct"/>
                  <w:vAlign w:val="center"/>
                </w:tcPr>
                <w:p w14:paraId="2B41791B">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项目，用地不属于工业用地，不属于风险潜势等级高的建设项目。</w:t>
                  </w:r>
                </w:p>
              </w:tc>
              <w:tc>
                <w:tcPr>
                  <w:tcW w:w="481" w:type="pct"/>
                  <w:vAlign w:val="center"/>
                </w:tcPr>
                <w:p w14:paraId="09CFD5A2">
                  <w:pPr>
                    <w:topLinePunct/>
                    <w:jc w:val="center"/>
                    <w:rPr>
                      <w:color w:val="auto"/>
                      <w:szCs w:val="21"/>
                    </w:rPr>
                  </w:pPr>
                  <w:r>
                    <w:rPr>
                      <w:color w:val="auto"/>
                      <w:szCs w:val="21"/>
                    </w:rPr>
                    <w:t>符合</w:t>
                  </w:r>
                </w:p>
              </w:tc>
            </w:tr>
            <w:tr w14:paraId="41033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6" w:hRule="atLeast"/>
                <w:jc w:val="center"/>
              </w:trPr>
              <w:tc>
                <w:tcPr>
                  <w:tcW w:w="310" w:type="pct"/>
                  <w:vMerge w:val="continue"/>
                  <w:vAlign w:val="center"/>
                </w:tcPr>
                <w:p w14:paraId="01E0108A">
                  <w:pPr>
                    <w:topLinePunct/>
                    <w:jc w:val="center"/>
                    <w:rPr>
                      <w:b/>
                      <w:bCs/>
                      <w:color w:val="auto"/>
                      <w:szCs w:val="21"/>
                      <w:highlight w:val="yellow"/>
                    </w:rPr>
                  </w:pPr>
                </w:p>
              </w:tc>
              <w:tc>
                <w:tcPr>
                  <w:tcW w:w="322" w:type="pct"/>
                  <w:vMerge w:val="continue"/>
                  <w:vAlign w:val="center"/>
                </w:tcPr>
                <w:p w14:paraId="0BE73343">
                  <w:pPr>
                    <w:topLinePunct/>
                    <w:jc w:val="center"/>
                    <w:rPr>
                      <w:b/>
                      <w:bCs/>
                      <w:color w:val="auto"/>
                      <w:szCs w:val="21"/>
                    </w:rPr>
                  </w:pPr>
                </w:p>
              </w:tc>
              <w:tc>
                <w:tcPr>
                  <w:tcW w:w="2194" w:type="pct"/>
                  <w:vAlign w:val="center"/>
                </w:tcPr>
                <w:p w14:paraId="3FA63C80">
                  <w:pPr>
                    <w:topLinePunct/>
                    <w:jc w:val="center"/>
                    <w:rPr>
                      <w:color w:val="auto"/>
                      <w:szCs w:val="21"/>
                    </w:rPr>
                  </w:pPr>
                  <w:r>
                    <w:rPr>
                      <w:color w:val="auto"/>
                      <w:szCs w:val="21"/>
                    </w:rPr>
                    <w:t>2.重点企业应采取防腐防渗等有效措施，建立完善三级防护体系，防止因渗漏污染土壤、地下水以及因事故废水直排污染地表水。一般固废填埋场采取防腐防渗等有效措施，防止因渗漏污染土壤、地下水。</w:t>
                  </w:r>
                </w:p>
              </w:tc>
              <w:tc>
                <w:tcPr>
                  <w:tcW w:w="1690" w:type="pct"/>
                  <w:vAlign w:val="center"/>
                </w:tcPr>
                <w:p w14:paraId="676BDCF2">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项目，不属于重点企业。</w:t>
                  </w:r>
                </w:p>
              </w:tc>
              <w:tc>
                <w:tcPr>
                  <w:tcW w:w="481" w:type="pct"/>
                  <w:vAlign w:val="center"/>
                </w:tcPr>
                <w:p w14:paraId="30081465">
                  <w:pPr>
                    <w:topLinePunct/>
                    <w:jc w:val="center"/>
                    <w:rPr>
                      <w:color w:val="auto"/>
                      <w:szCs w:val="21"/>
                    </w:rPr>
                  </w:pPr>
                  <w:r>
                    <w:rPr>
                      <w:color w:val="auto"/>
                      <w:szCs w:val="21"/>
                    </w:rPr>
                    <w:t>符合</w:t>
                  </w:r>
                </w:p>
              </w:tc>
            </w:tr>
            <w:tr w14:paraId="2016B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310" w:type="pct"/>
                  <w:vMerge w:val="continue"/>
                  <w:vAlign w:val="center"/>
                </w:tcPr>
                <w:p w14:paraId="32656EE2">
                  <w:pPr>
                    <w:topLinePunct/>
                    <w:jc w:val="center"/>
                    <w:rPr>
                      <w:b/>
                      <w:bCs/>
                      <w:color w:val="auto"/>
                      <w:szCs w:val="21"/>
                      <w:highlight w:val="yellow"/>
                    </w:rPr>
                  </w:pPr>
                </w:p>
              </w:tc>
              <w:tc>
                <w:tcPr>
                  <w:tcW w:w="322" w:type="pct"/>
                  <w:vMerge w:val="continue"/>
                  <w:vAlign w:val="center"/>
                </w:tcPr>
                <w:p w14:paraId="785BB129">
                  <w:pPr>
                    <w:topLinePunct/>
                    <w:jc w:val="center"/>
                    <w:rPr>
                      <w:b/>
                      <w:bCs/>
                      <w:color w:val="auto"/>
                      <w:szCs w:val="21"/>
                    </w:rPr>
                  </w:pPr>
                </w:p>
              </w:tc>
              <w:tc>
                <w:tcPr>
                  <w:tcW w:w="2194" w:type="pct"/>
                  <w:vAlign w:val="center"/>
                </w:tcPr>
                <w:p w14:paraId="70A862A9">
                  <w:pPr>
                    <w:topLinePunct/>
                    <w:jc w:val="center"/>
                    <w:rPr>
                      <w:color w:val="auto"/>
                      <w:szCs w:val="21"/>
                    </w:rPr>
                  </w:pPr>
                  <w:r>
                    <w:rPr>
                      <w:color w:val="auto"/>
                      <w:szCs w:val="21"/>
                    </w:rPr>
                    <w:t>3.企业事业单位按照《企业事业单位突发环境事件应急预案备案管理办法（试行）》等要求，依法依规编制环境应急预案并定期开展演练。</w:t>
                  </w:r>
                </w:p>
              </w:tc>
              <w:tc>
                <w:tcPr>
                  <w:tcW w:w="1690" w:type="pct"/>
                  <w:vAlign w:val="center"/>
                </w:tcPr>
                <w:p w14:paraId="06DDD579">
                  <w:pPr>
                    <w:topLinePunct/>
                    <w:jc w:val="center"/>
                    <w:rPr>
                      <w:color w:val="auto"/>
                      <w:szCs w:val="21"/>
                    </w:rPr>
                  </w:pPr>
                  <w:r>
                    <w:rPr>
                      <w:color w:val="auto"/>
                      <w:szCs w:val="21"/>
                    </w:rPr>
                    <w:t>按要求执行。</w:t>
                  </w:r>
                </w:p>
              </w:tc>
              <w:tc>
                <w:tcPr>
                  <w:tcW w:w="481" w:type="pct"/>
                  <w:vAlign w:val="center"/>
                </w:tcPr>
                <w:p w14:paraId="075341FA">
                  <w:pPr>
                    <w:topLinePunct/>
                    <w:jc w:val="center"/>
                    <w:rPr>
                      <w:color w:val="auto"/>
                      <w:szCs w:val="21"/>
                    </w:rPr>
                  </w:pPr>
                  <w:r>
                    <w:rPr>
                      <w:color w:val="auto"/>
                      <w:szCs w:val="21"/>
                    </w:rPr>
                    <w:t>符合</w:t>
                  </w:r>
                </w:p>
              </w:tc>
            </w:tr>
            <w:tr w14:paraId="477DFA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9" w:hRule="atLeast"/>
                <w:jc w:val="center"/>
              </w:trPr>
              <w:tc>
                <w:tcPr>
                  <w:tcW w:w="310" w:type="pct"/>
                  <w:vMerge w:val="continue"/>
                  <w:vAlign w:val="center"/>
                </w:tcPr>
                <w:p w14:paraId="2386F031">
                  <w:pPr>
                    <w:topLinePunct/>
                    <w:jc w:val="center"/>
                    <w:rPr>
                      <w:b/>
                      <w:bCs/>
                      <w:color w:val="auto"/>
                      <w:szCs w:val="21"/>
                      <w:highlight w:val="yellow"/>
                    </w:rPr>
                  </w:pPr>
                </w:p>
              </w:tc>
              <w:tc>
                <w:tcPr>
                  <w:tcW w:w="322" w:type="pct"/>
                  <w:vMerge w:val="continue"/>
                  <w:vAlign w:val="center"/>
                </w:tcPr>
                <w:p w14:paraId="0AB942FF">
                  <w:pPr>
                    <w:topLinePunct/>
                    <w:jc w:val="center"/>
                    <w:rPr>
                      <w:b/>
                      <w:bCs/>
                      <w:color w:val="auto"/>
                      <w:szCs w:val="21"/>
                    </w:rPr>
                  </w:pPr>
                </w:p>
              </w:tc>
              <w:tc>
                <w:tcPr>
                  <w:tcW w:w="2194" w:type="pct"/>
                  <w:vAlign w:val="center"/>
                </w:tcPr>
                <w:p w14:paraId="004BF726">
                  <w:pPr>
                    <w:topLinePunct/>
                    <w:jc w:val="center"/>
                    <w:rPr>
                      <w:color w:val="auto"/>
                      <w:szCs w:val="21"/>
                    </w:rPr>
                  </w:pPr>
                  <w:r>
                    <w:rPr>
                      <w:color w:val="auto"/>
                      <w:szCs w:val="21"/>
                    </w:rPr>
                    <w:t>4.建立各企业危险废物的贮存、申报、经营许可（无废城市建设豁免的除外）、转移及处置管理制度，并负责对危废相应活动的全程监管和环境安全保障。</w:t>
                  </w:r>
                </w:p>
              </w:tc>
              <w:tc>
                <w:tcPr>
                  <w:tcW w:w="1690" w:type="pct"/>
                  <w:vAlign w:val="center"/>
                </w:tcPr>
                <w:p w14:paraId="7D551D5B">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455420E0">
                  <w:pPr>
                    <w:topLinePunct/>
                    <w:jc w:val="center"/>
                    <w:rPr>
                      <w:color w:val="auto"/>
                      <w:szCs w:val="21"/>
                    </w:rPr>
                  </w:pPr>
                  <w:r>
                    <w:rPr>
                      <w:color w:val="auto"/>
                      <w:szCs w:val="21"/>
                    </w:rPr>
                    <w:t>符合</w:t>
                  </w:r>
                </w:p>
              </w:tc>
            </w:tr>
            <w:tr w14:paraId="1956A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4" w:hRule="atLeast"/>
                <w:jc w:val="center"/>
              </w:trPr>
              <w:tc>
                <w:tcPr>
                  <w:tcW w:w="310" w:type="pct"/>
                  <w:vMerge w:val="continue"/>
                  <w:vAlign w:val="center"/>
                </w:tcPr>
                <w:p w14:paraId="46F1AC23">
                  <w:pPr>
                    <w:topLinePunct/>
                    <w:jc w:val="center"/>
                    <w:rPr>
                      <w:b/>
                      <w:bCs/>
                      <w:color w:val="auto"/>
                      <w:szCs w:val="21"/>
                      <w:highlight w:val="yellow"/>
                    </w:rPr>
                  </w:pPr>
                </w:p>
              </w:tc>
              <w:tc>
                <w:tcPr>
                  <w:tcW w:w="322" w:type="pct"/>
                  <w:vMerge w:val="continue"/>
                  <w:vAlign w:val="center"/>
                </w:tcPr>
                <w:p w14:paraId="4065A6FD">
                  <w:pPr>
                    <w:topLinePunct/>
                    <w:jc w:val="center"/>
                    <w:rPr>
                      <w:b/>
                      <w:bCs/>
                      <w:color w:val="auto"/>
                      <w:szCs w:val="21"/>
                    </w:rPr>
                  </w:pPr>
                </w:p>
              </w:tc>
              <w:tc>
                <w:tcPr>
                  <w:tcW w:w="2194" w:type="pct"/>
                  <w:vAlign w:val="center"/>
                </w:tcPr>
                <w:p w14:paraId="16C3FD72">
                  <w:pPr>
                    <w:topLinePunct/>
                    <w:jc w:val="center"/>
                    <w:rPr>
                      <w:color w:val="auto"/>
                      <w:szCs w:val="21"/>
                    </w:rPr>
                  </w:pPr>
                  <w:r>
                    <w:rPr>
                      <w:color w:val="auto"/>
                      <w:szCs w:val="21"/>
                    </w:rPr>
                    <w:t>5.污染地块依法开展土壤污染状况调查、风险管控或者修复，未完成调查以及未达到土壤污染风险评估报告确定的风险管控、修复目标的地块，不得开工建设与风险管控和修复无关的项目。</w:t>
                  </w:r>
                </w:p>
              </w:tc>
              <w:tc>
                <w:tcPr>
                  <w:tcW w:w="1690" w:type="pct"/>
                  <w:vAlign w:val="center"/>
                </w:tcPr>
                <w:p w14:paraId="77DEC777">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项目，用地不属于疑似污染地块。</w:t>
                  </w:r>
                </w:p>
              </w:tc>
              <w:tc>
                <w:tcPr>
                  <w:tcW w:w="481" w:type="pct"/>
                  <w:vAlign w:val="center"/>
                </w:tcPr>
                <w:p w14:paraId="38972441">
                  <w:pPr>
                    <w:topLinePunct/>
                    <w:jc w:val="center"/>
                    <w:rPr>
                      <w:color w:val="auto"/>
                      <w:szCs w:val="21"/>
                    </w:rPr>
                  </w:pPr>
                  <w:r>
                    <w:rPr>
                      <w:color w:val="auto"/>
                      <w:szCs w:val="21"/>
                    </w:rPr>
                    <w:t>符合</w:t>
                  </w:r>
                </w:p>
              </w:tc>
            </w:tr>
            <w:tr w14:paraId="0A210B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310" w:type="pct"/>
                  <w:vMerge w:val="continue"/>
                  <w:vAlign w:val="center"/>
                </w:tcPr>
                <w:p w14:paraId="2D4CCF31">
                  <w:pPr>
                    <w:topLinePunct/>
                    <w:jc w:val="center"/>
                    <w:rPr>
                      <w:b/>
                      <w:bCs/>
                      <w:color w:val="auto"/>
                      <w:szCs w:val="21"/>
                      <w:highlight w:val="yellow"/>
                    </w:rPr>
                  </w:pPr>
                </w:p>
              </w:tc>
              <w:tc>
                <w:tcPr>
                  <w:tcW w:w="322" w:type="pct"/>
                  <w:vMerge w:val="continue"/>
                  <w:vAlign w:val="center"/>
                </w:tcPr>
                <w:p w14:paraId="76B563E3">
                  <w:pPr>
                    <w:topLinePunct/>
                    <w:jc w:val="center"/>
                    <w:rPr>
                      <w:b/>
                      <w:bCs/>
                      <w:color w:val="auto"/>
                      <w:szCs w:val="21"/>
                    </w:rPr>
                  </w:pPr>
                </w:p>
              </w:tc>
              <w:tc>
                <w:tcPr>
                  <w:tcW w:w="2194" w:type="pct"/>
                  <w:vAlign w:val="center"/>
                </w:tcPr>
                <w:p w14:paraId="27C5FA8C">
                  <w:pPr>
                    <w:topLinePunct/>
                    <w:jc w:val="center"/>
                    <w:rPr>
                      <w:color w:val="auto"/>
                      <w:szCs w:val="21"/>
                    </w:rPr>
                  </w:pPr>
                  <w:r>
                    <w:rPr>
                      <w:color w:val="auto"/>
                      <w:szCs w:val="21"/>
                    </w:rPr>
                    <w:t>6.加强农田土壤、灌溉水的监测，对周边区域环境风险源进行评估。</w:t>
                  </w:r>
                </w:p>
              </w:tc>
              <w:tc>
                <w:tcPr>
                  <w:tcW w:w="1690" w:type="pct"/>
                  <w:vAlign w:val="center"/>
                </w:tcPr>
                <w:p w14:paraId="712982BB">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608930C6">
                  <w:pPr>
                    <w:topLinePunct/>
                    <w:jc w:val="center"/>
                    <w:rPr>
                      <w:color w:val="auto"/>
                      <w:szCs w:val="21"/>
                    </w:rPr>
                  </w:pPr>
                  <w:r>
                    <w:rPr>
                      <w:color w:val="auto"/>
                      <w:szCs w:val="21"/>
                    </w:rPr>
                    <w:t>符合</w:t>
                  </w:r>
                </w:p>
              </w:tc>
            </w:tr>
            <w:tr w14:paraId="27194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310" w:type="pct"/>
                  <w:vMerge w:val="continue"/>
                  <w:vAlign w:val="center"/>
                </w:tcPr>
                <w:p w14:paraId="30B1B383">
                  <w:pPr>
                    <w:topLinePunct/>
                    <w:jc w:val="center"/>
                    <w:rPr>
                      <w:b/>
                      <w:bCs/>
                      <w:color w:val="auto"/>
                      <w:szCs w:val="21"/>
                      <w:highlight w:val="yellow"/>
                    </w:rPr>
                  </w:pPr>
                </w:p>
              </w:tc>
              <w:tc>
                <w:tcPr>
                  <w:tcW w:w="322" w:type="pct"/>
                  <w:vMerge w:val="continue"/>
                  <w:vAlign w:val="center"/>
                </w:tcPr>
                <w:p w14:paraId="2C406E80">
                  <w:pPr>
                    <w:topLinePunct/>
                    <w:jc w:val="center"/>
                    <w:rPr>
                      <w:b/>
                      <w:bCs/>
                      <w:color w:val="auto"/>
                      <w:szCs w:val="21"/>
                    </w:rPr>
                  </w:pPr>
                </w:p>
              </w:tc>
              <w:tc>
                <w:tcPr>
                  <w:tcW w:w="2194" w:type="pct"/>
                  <w:vAlign w:val="center"/>
                </w:tcPr>
                <w:p w14:paraId="3EDBEA09">
                  <w:pPr>
                    <w:topLinePunct/>
                    <w:jc w:val="center"/>
                    <w:rPr>
                      <w:color w:val="auto"/>
                      <w:szCs w:val="21"/>
                    </w:rPr>
                  </w:pPr>
                  <w:r>
                    <w:rPr>
                      <w:color w:val="auto"/>
                      <w:szCs w:val="21"/>
                    </w:rPr>
                    <w:t>7.按照省市要求，做好清洁取暖改造工作。</w:t>
                  </w:r>
                </w:p>
              </w:tc>
              <w:tc>
                <w:tcPr>
                  <w:tcW w:w="1690" w:type="pct"/>
                  <w:vAlign w:val="center"/>
                </w:tcPr>
                <w:p w14:paraId="15AE2454">
                  <w:pPr>
                    <w:topLinePunct/>
                    <w:jc w:val="center"/>
                    <w:rPr>
                      <w:color w:val="auto"/>
                      <w:szCs w:val="21"/>
                    </w:rPr>
                  </w:pPr>
                  <w:r>
                    <w:rPr>
                      <w:color w:val="auto"/>
                      <w:szCs w:val="21"/>
                    </w:rPr>
                    <w:t>按要求执行。</w:t>
                  </w:r>
                </w:p>
              </w:tc>
              <w:tc>
                <w:tcPr>
                  <w:tcW w:w="481" w:type="pct"/>
                  <w:vAlign w:val="center"/>
                </w:tcPr>
                <w:p w14:paraId="54B461D0">
                  <w:pPr>
                    <w:topLinePunct/>
                    <w:jc w:val="center"/>
                    <w:rPr>
                      <w:color w:val="auto"/>
                      <w:szCs w:val="21"/>
                    </w:rPr>
                  </w:pPr>
                  <w:r>
                    <w:rPr>
                      <w:color w:val="auto"/>
                      <w:szCs w:val="21"/>
                    </w:rPr>
                    <w:t>符合</w:t>
                  </w:r>
                </w:p>
              </w:tc>
            </w:tr>
            <w:tr w14:paraId="73698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310" w:type="pct"/>
                  <w:vMerge w:val="continue"/>
                  <w:vAlign w:val="center"/>
                </w:tcPr>
                <w:p w14:paraId="0F5FF7BB">
                  <w:pPr>
                    <w:topLinePunct/>
                    <w:jc w:val="center"/>
                    <w:rPr>
                      <w:b/>
                      <w:bCs/>
                      <w:color w:val="auto"/>
                      <w:szCs w:val="21"/>
                      <w:highlight w:val="yellow"/>
                    </w:rPr>
                  </w:pPr>
                </w:p>
              </w:tc>
              <w:tc>
                <w:tcPr>
                  <w:tcW w:w="322" w:type="pct"/>
                  <w:vMerge w:val="restart"/>
                  <w:vAlign w:val="center"/>
                </w:tcPr>
                <w:p w14:paraId="6FAF7BE6">
                  <w:pPr>
                    <w:topLinePunct/>
                    <w:jc w:val="center"/>
                    <w:rPr>
                      <w:b/>
                      <w:bCs/>
                      <w:color w:val="auto"/>
                      <w:szCs w:val="21"/>
                    </w:rPr>
                  </w:pPr>
                  <w:r>
                    <w:rPr>
                      <w:color w:val="auto"/>
                      <w:szCs w:val="21"/>
                    </w:rPr>
                    <w:t>资源开放效率要求</w:t>
                  </w:r>
                </w:p>
              </w:tc>
              <w:tc>
                <w:tcPr>
                  <w:tcW w:w="2194" w:type="pct"/>
                  <w:vAlign w:val="center"/>
                </w:tcPr>
                <w:p w14:paraId="3A3124E2">
                  <w:pPr>
                    <w:topLinePunct/>
                    <w:jc w:val="center"/>
                    <w:rPr>
                      <w:color w:val="auto"/>
                      <w:szCs w:val="21"/>
                    </w:rPr>
                  </w:pPr>
                  <w:r>
                    <w:rPr>
                      <w:color w:val="auto"/>
                      <w:szCs w:val="21"/>
                    </w:rPr>
                    <w:t>1.强化节水措施，提高水资源使用效率。</w:t>
                  </w:r>
                </w:p>
              </w:tc>
              <w:tc>
                <w:tcPr>
                  <w:tcW w:w="1690" w:type="pct"/>
                  <w:vAlign w:val="center"/>
                </w:tcPr>
                <w:p w14:paraId="0A60D589">
                  <w:pPr>
                    <w:topLinePunct/>
                    <w:jc w:val="center"/>
                    <w:rPr>
                      <w:color w:val="auto"/>
                      <w:szCs w:val="21"/>
                    </w:rPr>
                  </w:pPr>
                  <w:r>
                    <w:rPr>
                      <w:color w:val="auto"/>
                      <w:szCs w:val="21"/>
                    </w:rPr>
                    <w:t>按要求执行。</w:t>
                  </w:r>
                </w:p>
              </w:tc>
              <w:tc>
                <w:tcPr>
                  <w:tcW w:w="481" w:type="pct"/>
                  <w:vAlign w:val="center"/>
                </w:tcPr>
                <w:p w14:paraId="3FEC9DAB">
                  <w:pPr>
                    <w:topLinePunct/>
                    <w:jc w:val="center"/>
                    <w:rPr>
                      <w:color w:val="auto"/>
                      <w:szCs w:val="21"/>
                    </w:rPr>
                  </w:pPr>
                  <w:r>
                    <w:rPr>
                      <w:color w:val="auto"/>
                      <w:szCs w:val="21"/>
                    </w:rPr>
                    <w:t>符合</w:t>
                  </w:r>
                </w:p>
              </w:tc>
            </w:tr>
            <w:tr w14:paraId="653A45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10" w:type="pct"/>
                  <w:vMerge w:val="continue"/>
                  <w:vAlign w:val="center"/>
                </w:tcPr>
                <w:p w14:paraId="33309943">
                  <w:pPr>
                    <w:topLinePunct/>
                    <w:jc w:val="center"/>
                    <w:rPr>
                      <w:b/>
                      <w:bCs/>
                      <w:color w:val="auto"/>
                      <w:szCs w:val="21"/>
                      <w:highlight w:val="yellow"/>
                    </w:rPr>
                  </w:pPr>
                </w:p>
              </w:tc>
              <w:tc>
                <w:tcPr>
                  <w:tcW w:w="322" w:type="pct"/>
                  <w:vMerge w:val="continue"/>
                  <w:vAlign w:val="center"/>
                </w:tcPr>
                <w:p w14:paraId="6A7474AE">
                  <w:pPr>
                    <w:topLinePunct/>
                    <w:jc w:val="center"/>
                    <w:rPr>
                      <w:b/>
                      <w:bCs/>
                      <w:color w:val="auto"/>
                      <w:szCs w:val="21"/>
                    </w:rPr>
                  </w:pPr>
                </w:p>
              </w:tc>
              <w:tc>
                <w:tcPr>
                  <w:tcW w:w="2194" w:type="pct"/>
                  <w:vAlign w:val="center"/>
                </w:tcPr>
                <w:p w14:paraId="10AD3325">
                  <w:pPr>
                    <w:topLinePunct/>
                    <w:jc w:val="center"/>
                    <w:rPr>
                      <w:color w:val="auto"/>
                      <w:szCs w:val="21"/>
                    </w:rPr>
                  </w:pPr>
                  <w:r>
                    <w:rPr>
                      <w:color w:val="auto"/>
                      <w:szCs w:val="21"/>
                    </w:rPr>
                    <w:t>2.提升土地集约化水平。</w:t>
                  </w:r>
                </w:p>
              </w:tc>
              <w:tc>
                <w:tcPr>
                  <w:tcW w:w="1690" w:type="pct"/>
                  <w:vAlign w:val="center"/>
                </w:tcPr>
                <w:p w14:paraId="5F8FD68D">
                  <w:pPr>
                    <w:topLinePunct/>
                    <w:jc w:val="center"/>
                    <w:rPr>
                      <w:color w:val="auto"/>
                      <w:szCs w:val="21"/>
                    </w:rPr>
                  </w:pPr>
                  <w:r>
                    <w:rPr>
                      <w:color w:val="auto"/>
                      <w:szCs w:val="21"/>
                    </w:rPr>
                    <w:t>按要求执行。</w:t>
                  </w:r>
                </w:p>
              </w:tc>
              <w:tc>
                <w:tcPr>
                  <w:tcW w:w="481" w:type="pct"/>
                  <w:vAlign w:val="center"/>
                </w:tcPr>
                <w:p w14:paraId="2C26BD56">
                  <w:pPr>
                    <w:topLinePunct/>
                    <w:jc w:val="center"/>
                    <w:rPr>
                      <w:color w:val="auto"/>
                      <w:szCs w:val="21"/>
                    </w:rPr>
                  </w:pPr>
                  <w:r>
                    <w:rPr>
                      <w:color w:val="auto"/>
                      <w:szCs w:val="21"/>
                    </w:rPr>
                    <w:t>符合</w:t>
                  </w:r>
                </w:p>
              </w:tc>
            </w:tr>
            <w:tr w14:paraId="3AB6CC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7" w:hRule="atLeast"/>
                <w:jc w:val="center"/>
              </w:trPr>
              <w:tc>
                <w:tcPr>
                  <w:tcW w:w="310" w:type="pct"/>
                  <w:vMerge w:val="continue"/>
                  <w:vAlign w:val="center"/>
                </w:tcPr>
                <w:p w14:paraId="077A3E35">
                  <w:pPr>
                    <w:topLinePunct/>
                    <w:jc w:val="center"/>
                    <w:rPr>
                      <w:b/>
                      <w:bCs/>
                      <w:color w:val="auto"/>
                      <w:szCs w:val="21"/>
                      <w:highlight w:val="yellow"/>
                    </w:rPr>
                  </w:pPr>
                </w:p>
              </w:tc>
              <w:tc>
                <w:tcPr>
                  <w:tcW w:w="322" w:type="pct"/>
                  <w:vMerge w:val="continue"/>
                  <w:vAlign w:val="center"/>
                </w:tcPr>
                <w:p w14:paraId="77B13478">
                  <w:pPr>
                    <w:topLinePunct/>
                    <w:jc w:val="center"/>
                    <w:rPr>
                      <w:b/>
                      <w:bCs/>
                      <w:color w:val="auto"/>
                      <w:szCs w:val="21"/>
                    </w:rPr>
                  </w:pPr>
                </w:p>
              </w:tc>
              <w:tc>
                <w:tcPr>
                  <w:tcW w:w="2194" w:type="pct"/>
                  <w:vAlign w:val="center"/>
                </w:tcPr>
                <w:p w14:paraId="6436C8CB">
                  <w:pPr>
                    <w:topLinePunct/>
                    <w:jc w:val="center"/>
                    <w:rPr>
                      <w:color w:val="auto"/>
                      <w:szCs w:val="21"/>
                    </w:rPr>
                  </w:pPr>
                  <w:r>
                    <w:rPr>
                      <w:color w:val="auto"/>
                      <w:szCs w:val="21"/>
                    </w:rPr>
                    <w:t>3.调整能源利用结构，控制煤炭消费量，实现减量化，鼓励使用清洁能源、新能源和可再生能源。</w:t>
                  </w:r>
                </w:p>
              </w:tc>
              <w:tc>
                <w:tcPr>
                  <w:tcW w:w="1690" w:type="pct"/>
                  <w:vAlign w:val="center"/>
                </w:tcPr>
                <w:p w14:paraId="24C1EE7C">
                  <w:pPr>
                    <w:topLinePunct/>
                    <w:jc w:val="center"/>
                    <w:rPr>
                      <w:color w:val="auto"/>
                      <w:szCs w:val="21"/>
                    </w:rPr>
                  </w:pPr>
                  <w:r>
                    <w:rPr>
                      <w:color w:val="auto"/>
                      <w:szCs w:val="21"/>
                    </w:rPr>
                    <w:t>按要求执行。</w:t>
                  </w:r>
                </w:p>
              </w:tc>
              <w:tc>
                <w:tcPr>
                  <w:tcW w:w="481" w:type="pct"/>
                  <w:vAlign w:val="center"/>
                </w:tcPr>
                <w:p w14:paraId="3EE6E39D">
                  <w:pPr>
                    <w:topLinePunct/>
                    <w:jc w:val="center"/>
                    <w:rPr>
                      <w:color w:val="auto"/>
                      <w:szCs w:val="21"/>
                    </w:rPr>
                  </w:pPr>
                  <w:r>
                    <w:rPr>
                      <w:color w:val="auto"/>
                      <w:szCs w:val="21"/>
                    </w:rPr>
                    <w:t>符合</w:t>
                  </w:r>
                </w:p>
              </w:tc>
            </w:tr>
            <w:tr w14:paraId="0FB41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827" w:type="pct"/>
                  <w:gridSpan w:val="3"/>
                  <w:vAlign w:val="center"/>
                </w:tcPr>
                <w:p w14:paraId="11C9D1F7">
                  <w:pPr>
                    <w:topLinePunct/>
                    <w:jc w:val="center"/>
                    <w:rPr>
                      <w:color w:val="auto"/>
                      <w:szCs w:val="21"/>
                    </w:rPr>
                  </w:pPr>
                  <w:r>
                    <w:rPr>
                      <w:b/>
                      <w:bCs/>
                      <w:color w:val="auto"/>
                      <w:szCs w:val="21"/>
                    </w:rPr>
                    <w:t>《淄博市2023年生态环境分区管控成果动态更新项目生态环境准入清单》文件要求</w:t>
                  </w:r>
                </w:p>
              </w:tc>
              <w:tc>
                <w:tcPr>
                  <w:tcW w:w="1690" w:type="pct"/>
                  <w:vAlign w:val="center"/>
                </w:tcPr>
                <w:p w14:paraId="0688B897">
                  <w:pPr>
                    <w:topLinePunct/>
                    <w:jc w:val="center"/>
                    <w:rPr>
                      <w:color w:val="auto"/>
                      <w:szCs w:val="21"/>
                    </w:rPr>
                  </w:pPr>
                  <w:r>
                    <w:rPr>
                      <w:b/>
                      <w:bCs/>
                      <w:color w:val="auto"/>
                      <w:szCs w:val="21"/>
                    </w:rPr>
                    <w:t>本项目实际情况</w:t>
                  </w:r>
                </w:p>
              </w:tc>
              <w:tc>
                <w:tcPr>
                  <w:tcW w:w="481" w:type="pct"/>
                  <w:vAlign w:val="center"/>
                </w:tcPr>
                <w:p w14:paraId="461E33C0">
                  <w:pPr>
                    <w:topLinePunct/>
                    <w:jc w:val="center"/>
                    <w:rPr>
                      <w:color w:val="auto"/>
                      <w:szCs w:val="21"/>
                    </w:rPr>
                  </w:pPr>
                  <w:r>
                    <w:rPr>
                      <w:b/>
                      <w:bCs/>
                      <w:color w:val="auto"/>
                      <w:szCs w:val="21"/>
                    </w:rPr>
                    <w:t>符合性</w:t>
                  </w:r>
                </w:p>
              </w:tc>
            </w:tr>
            <w:tr w14:paraId="38A7E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1" w:hRule="atLeast"/>
                <w:jc w:val="center"/>
              </w:trPr>
              <w:tc>
                <w:tcPr>
                  <w:tcW w:w="310" w:type="pct"/>
                  <w:vMerge w:val="restart"/>
                  <w:vAlign w:val="center"/>
                </w:tcPr>
                <w:p w14:paraId="0BE60FCB">
                  <w:pPr>
                    <w:topLinePunct/>
                    <w:jc w:val="center"/>
                    <w:rPr>
                      <w:b/>
                      <w:bCs/>
                      <w:color w:val="auto"/>
                      <w:szCs w:val="21"/>
                    </w:rPr>
                  </w:pPr>
                  <w:r>
                    <w:rPr>
                      <w:color w:val="auto"/>
                      <w:szCs w:val="21"/>
                    </w:rPr>
                    <w:t>萌水镇一般管控单元</w:t>
                  </w:r>
                </w:p>
              </w:tc>
              <w:tc>
                <w:tcPr>
                  <w:tcW w:w="322" w:type="pct"/>
                  <w:vMerge w:val="restart"/>
                  <w:vAlign w:val="center"/>
                </w:tcPr>
                <w:p w14:paraId="13F88556">
                  <w:pPr>
                    <w:topLinePunct/>
                    <w:jc w:val="center"/>
                    <w:rPr>
                      <w:color w:val="auto"/>
                      <w:szCs w:val="21"/>
                    </w:rPr>
                  </w:pPr>
                  <w:r>
                    <w:rPr>
                      <w:color w:val="auto"/>
                      <w:szCs w:val="21"/>
                    </w:rPr>
                    <w:t>空间布局约束</w:t>
                  </w:r>
                </w:p>
              </w:tc>
              <w:tc>
                <w:tcPr>
                  <w:tcW w:w="2194" w:type="pct"/>
                  <w:vAlign w:val="center"/>
                </w:tcPr>
                <w:p w14:paraId="401FFCA0">
                  <w:pPr>
                    <w:topLinePunct/>
                    <w:jc w:val="center"/>
                    <w:rPr>
                      <w:color w:val="auto"/>
                      <w:szCs w:val="21"/>
                    </w:rPr>
                  </w:pPr>
                  <w:r>
                    <w:rPr>
                      <w:color w:val="auto"/>
                      <w:szCs w:val="21"/>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90" w:type="pct"/>
                  <w:vAlign w:val="center"/>
                </w:tcPr>
                <w:p w14:paraId="262B4B70">
                  <w:pPr>
                    <w:topLinePunct/>
                    <w:jc w:val="center"/>
                    <w:rPr>
                      <w:color w:val="auto"/>
                      <w:szCs w:val="21"/>
                    </w:rPr>
                  </w:pPr>
                  <w:r>
                    <w:rPr>
                      <w:color w:val="auto"/>
                      <w:szCs w:val="21"/>
                    </w:rPr>
                    <w:t>根据《产业结构调整指导目录（2024年）》，本项目属于鼓励类（二）水利3、防洪提升工程</w:t>
                  </w:r>
                  <w:r>
                    <w:rPr>
                      <w:rFonts w:hint="eastAsia"/>
                      <w:color w:val="auto"/>
                      <w:szCs w:val="21"/>
                      <w:lang w:eastAsia="zh-CN"/>
                    </w:rPr>
                    <w:t>和</w:t>
                  </w:r>
                  <w:r>
                    <w:rPr>
                      <w:rFonts w:hint="eastAsia"/>
                      <w:color w:val="auto"/>
                      <w:szCs w:val="21"/>
                      <w:lang w:val="en-US" w:eastAsia="zh-CN"/>
                    </w:rPr>
                    <w:t>（二十二）</w:t>
                  </w:r>
                  <w:r>
                    <w:rPr>
                      <w:color w:val="auto"/>
                      <w:szCs w:val="21"/>
                      <w:lang w:val="en-US" w:eastAsia="zh-CN"/>
                    </w:rPr>
                    <w:t>城市基础设施2</w:t>
                  </w:r>
                  <w:r>
                    <w:rPr>
                      <w:rFonts w:hint="eastAsia"/>
                      <w:color w:val="auto"/>
                      <w:szCs w:val="21"/>
                      <w:lang w:val="en-US" w:eastAsia="zh-CN"/>
                    </w:rPr>
                    <w:t>、</w:t>
                  </w:r>
                  <w:r>
                    <w:rPr>
                      <w:color w:val="auto"/>
                      <w:szCs w:val="21"/>
                      <w:lang w:val="en-US" w:eastAsia="zh-CN"/>
                    </w:rPr>
                    <w:t>城镇供排水工程及相关设备生产，</w:t>
                  </w:r>
                  <w:r>
                    <w:rPr>
                      <w:color w:val="auto"/>
                      <w:szCs w:val="21"/>
                    </w:rPr>
                    <w:t>符合国家及地方产业政策的要求，本项目不属于《市场准入负面清单（2020版）》禁止准入类。</w:t>
                  </w:r>
                </w:p>
              </w:tc>
              <w:tc>
                <w:tcPr>
                  <w:tcW w:w="481" w:type="pct"/>
                  <w:vAlign w:val="center"/>
                </w:tcPr>
                <w:p w14:paraId="65F9BBD6">
                  <w:pPr>
                    <w:topLinePunct/>
                    <w:jc w:val="center"/>
                    <w:rPr>
                      <w:color w:val="auto"/>
                      <w:szCs w:val="21"/>
                    </w:rPr>
                  </w:pPr>
                  <w:r>
                    <w:rPr>
                      <w:color w:val="auto"/>
                      <w:szCs w:val="21"/>
                    </w:rPr>
                    <w:t>符合</w:t>
                  </w:r>
                </w:p>
              </w:tc>
            </w:tr>
            <w:tr w14:paraId="3ABB9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3" w:hRule="atLeast"/>
                <w:jc w:val="center"/>
              </w:trPr>
              <w:tc>
                <w:tcPr>
                  <w:tcW w:w="310" w:type="pct"/>
                  <w:vMerge w:val="continue"/>
                  <w:vAlign w:val="center"/>
                </w:tcPr>
                <w:p w14:paraId="1CE63BDE">
                  <w:pPr>
                    <w:topLinePunct/>
                    <w:jc w:val="center"/>
                    <w:rPr>
                      <w:b/>
                      <w:bCs/>
                      <w:color w:val="auto"/>
                      <w:szCs w:val="21"/>
                      <w:highlight w:val="yellow"/>
                    </w:rPr>
                  </w:pPr>
                </w:p>
              </w:tc>
              <w:tc>
                <w:tcPr>
                  <w:tcW w:w="322" w:type="pct"/>
                  <w:vMerge w:val="continue"/>
                  <w:vAlign w:val="center"/>
                </w:tcPr>
                <w:p w14:paraId="4793853F">
                  <w:pPr>
                    <w:topLinePunct/>
                    <w:jc w:val="center"/>
                    <w:rPr>
                      <w:b/>
                      <w:bCs/>
                      <w:color w:val="auto"/>
                      <w:szCs w:val="21"/>
                    </w:rPr>
                  </w:pPr>
                </w:p>
              </w:tc>
              <w:tc>
                <w:tcPr>
                  <w:tcW w:w="2194" w:type="pct"/>
                  <w:vAlign w:val="center"/>
                </w:tcPr>
                <w:p w14:paraId="016B9450">
                  <w:pPr>
                    <w:topLinePunct/>
                    <w:jc w:val="center"/>
                    <w:rPr>
                      <w:color w:val="auto"/>
                      <w:szCs w:val="21"/>
                    </w:rPr>
                  </w:pPr>
                  <w:r>
                    <w:rPr>
                      <w:color w:val="auto"/>
                      <w:szCs w:val="21"/>
                    </w:rPr>
                    <w:t>2.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2019年11月）、《关于划定并严守生态保护红线的若干意见》《自然生态空间用途管制办法（试行）》（国土资发〔2017〕33号）等相关要求管控。</w:t>
                  </w:r>
                </w:p>
              </w:tc>
              <w:tc>
                <w:tcPr>
                  <w:tcW w:w="1690" w:type="pct"/>
                  <w:vAlign w:val="center"/>
                </w:tcPr>
                <w:p w14:paraId="17256D0C">
                  <w:pPr>
                    <w:topLinePunct/>
                    <w:rPr>
                      <w:color w:val="auto"/>
                      <w:szCs w:val="21"/>
                      <w:highlight w:val="yellow"/>
                    </w:rPr>
                  </w:pPr>
                  <w:r>
                    <w:rPr>
                      <w:color w:val="auto"/>
                      <w:szCs w:val="21"/>
                    </w:rPr>
                    <w:t>根据</w:t>
                  </w:r>
                  <w:r>
                    <w:rPr>
                      <w:rFonts w:hint="eastAsia"/>
                      <w:color w:val="auto"/>
                      <w:szCs w:val="21"/>
                    </w:rPr>
                    <w:t>淄博市国土空间总体规划（2021-2035年）市域国土空间控制线规划图</w:t>
                  </w:r>
                  <w:r>
                    <w:rPr>
                      <w:color w:val="auto"/>
                      <w:szCs w:val="21"/>
                    </w:rPr>
                    <w:t>（附图3），项目不占用生态保护红线、不占用永久基本农田。</w:t>
                  </w:r>
                </w:p>
              </w:tc>
              <w:tc>
                <w:tcPr>
                  <w:tcW w:w="481" w:type="pct"/>
                  <w:vAlign w:val="center"/>
                </w:tcPr>
                <w:p w14:paraId="11D530BE">
                  <w:pPr>
                    <w:topLinePunct/>
                    <w:jc w:val="center"/>
                    <w:rPr>
                      <w:color w:val="auto"/>
                      <w:szCs w:val="21"/>
                      <w:highlight w:val="yellow"/>
                    </w:rPr>
                  </w:pPr>
                  <w:r>
                    <w:rPr>
                      <w:color w:val="auto"/>
                      <w:szCs w:val="21"/>
                    </w:rPr>
                    <w:t>符合</w:t>
                  </w:r>
                </w:p>
              </w:tc>
            </w:tr>
            <w:tr w14:paraId="16444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10" w:type="pct"/>
                  <w:vMerge w:val="continue"/>
                  <w:vAlign w:val="center"/>
                </w:tcPr>
                <w:p w14:paraId="4A9C3A2B">
                  <w:pPr>
                    <w:topLinePunct/>
                    <w:jc w:val="center"/>
                    <w:rPr>
                      <w:b/>
                      <w:bCs/>
                      <w:color w:val="auto"/>
                      <w:szCs w:val="21"/>
                      <w:highlight w:val="yellow"/>
                    </w:rPr>
                  </w:pPr>
                </w:p>
              </w:tc>
              <w:tc>
                <w:tcPr>
                  <w:tcW w:w="322" w:type="pct"/>
                  <w:vMerge w:val="continue"/>
                  <w:vAlign w:val="center"/>
                </w:tcPr>
                <w:p w14:paraId="667056A4">
                  <w:pPr>
                    <w:topLinePunct/>
                    <w:jc w:val="center"/>
                    <w:rPr>
                      <w:b/>
                      <w:bCs/>
                      <w:color w:val="auto"/>
                      <w:szCs w:val="21"/>
                    </w:rPr>
                  </w:pPr>
                </w:p>
              </w:tc>
              <w:tc>
                <w:tcPr>
                  <w:tcW w:w="2194" w:type="pct"/>
                  <w:vAlign w:val="center"/>
                </w:tcPr>
                <w:p w14:paraId="7EB8B54E">
                  <w:pPr>
                    <w:topLinePunct/>
                    <w:jc w:val="center"/>
                    <w:rPr>
                      <w:color w:val="auto"/>
                      <w:szCs w:val="21"/>
                    </w:rPr>
                  </w:pPr>
                  <w:r>
                    <w:rPr>
                      <w:color w:val="auto"/>
                      <w:szCs w:val="21"/>
                    </w:rPr>
                    <w:t>3.生态保护红线外的生态空间，依法依规以保护为主，严格限制大规模、高强度的区域开发，并根据其主导生态功能进行分类管控。</w:t>
                  </w:r>
                </w:p>
              </w:tc>
              <w:tc>
                <w:tcPr>
                  <w:tcW w:w="1690" w:type="pct"/>
                  <w:vAlign w:val="center"/>
                </w:tcPr>
                <w:p w14:paraId="0F10687A">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项目，不属于开发项目。</w:t>
                  </w:r>
                </w:p>
              </w:tc>
              <w:tc>
                <w:tcPr>
                  <w:tcW w:w="481" w:type="pct"/>
                  <w:vAlign w:val="center"/>
                </w:tcPr>
                <w:p w14:paraId="0384BC9B">
                  <w:pPr>
                    <w:topLinePunct/>
                    <w:jc w:val="center"/>
                    <w:rPr>
                      <w:color w:val="auto"/>
                      <w:szCs w:val="21"/>
                    </w:rPr>
                  </w:pPr>
                  <w:r>
                    <w:rPr>
                      <w:color w:val="auto"/>
                      <w:szCs w:val="21"/>
                    </w:rPr>
                    <w:t>符合</w:t>
                  </w:r>
                </w:p>
              </w:tc>
            </w:tr>
            <w:tr w14:paraId="086518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49" w:hRule="atLeast"/>
                <w:jc w:val="center"/>
              </w:trPr>
              <w:tc>
                <w:tcPr>
                  <w:tcW w:w="310" w:type="pct"/>
                  <w:vMerge w:val="continue"/>
                  <w:vAlign w:val="center"/>
                </w:tcPr>
                <w:p w14:paraId="546C2E8B">
                  <w:pPr>
                    <w:topLinePunct/>
                    <w:jc w:val="center"/>
                    <w:rPr>
                      <w:b/>
                      <w:bCs/>
                      <w:color w:val="auto"/>
                      <w:szCs w:val="21"/>
                      <w:highlight w:val="yellow"/>
                    </w:rPr>
                  </w:pPr>
                </w:p>
              </w:tc>
              <w:tc>
                <w:tcPr>
                  <w:tcW w:w="322" w:type="pct"/>
                  <w:vMerge w:val="continue"/>
                  <w:vAlign w:val="center"/>
                </w:tcPr>
                <w:p w14:paraId="55425B1E">
                  <w:pPr>
                    <w:topLinePunct/>
                    <w:jc w:val="center"/>
                    <w:rPr>
                      <w:b/>
                      <w:bCs/>
                      <w:color w:val="auto"/>
                      <w:szCs w:val="21"/>
                    </w:rPr>
                  </w:pPr>
                </w:p>
              </w:tc>
              <w:tc>
                <w:tcPr>
                  <w:tcW w:w="2194" w:type="pct"/>
                  <w:vAlign w:val="center"/>
                </w:tcPr>
                <w:p w14:paraId="6DAE78D2">
                  <w:pPr>
                    <w:topLinePunct/>
                    <w:jc w:val="center"/>
                    <w:rPr>
                      <w:color w:val="auto"/>
                      <w:szCs w:val="21"/>
                    </w:rPr>
                  </w:pPr>
                  <w:r>
                    <w:rPr>
                      <w:color w:val="auto"/>
                      <w:szCs w:val="21"/>
                    </w:rPr>
                    <w:t>4.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90" w:type="pct"/>
                  <w:vAlign w:val="center"/>
                </w:tcPr>
                <w:p w14:paraId="595DF1D8">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项目，不属于上述行业，不占用永久基本农田。</w:t>
                  </w:r>
                </w:p>
              </w:tc>
              <w:tc>
                <w:tcPr>
                  <w:tcW w:w="481" w:type="pct"/>
                  <w:vAlign w:val="center"/>
                </w:tcPr>
                <w:p w14:paraId="0413D87E">
                  <w:pPr>
                    <w:topLinePunct/>
                    <w:jc w:val="center"/>
                    <w:rPr>
                      <w:color w:val="auto"/>
                      <w:szCs w:val="21"/>
                    </w:rPr>
                  </w:pPr>
                  <w:r>
                    <w:rPr>
                      <w:color w:val="auto"/>
                      <w:szCs w:val="21"/>
                    </w:rPr>
                    <w:t>符合</w:t>
                  </w:r>
                </w:p>
              </w:tc>
            </w:tr>
            <w:tr w14:paraId="15E614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8" w:hRule="atLeast"/>
                <w:jc w:val="center"/>
              </w:trPr>
              <w:tc>
                <w:tcPr>
                  <w:tcW w:w="310" w:type="pct"/>
                  <w:vMerge w:val="continue"/>
                  <w:vAlign w:val="center"/>
                </w:tcPr>
                <w:p w14:paraId="2960AEEA">
                  <w:pPr>
                    <w:topLinePunct/>
                    <w:jc w:val="center"/>
                    <w:rPr>
                      <w:b/>
                      <w:bCs/>
                      <w:color w:val="auto"/>
                      <w:szCs w:val="21"/>
                      <w:highlight w:val="yellow"/>
                    </w:rPr>
                  </w:pPr>
                </w:p>
              </w:tc>
              <w:tc>
                <w:tcPr>
                  <w:tcW w:w="322" w:type="pct"/>
                  <w:vMerge w:val="continue"/>
                  <w:vAlign w:val="center"/>
                </w:tcPr>
                <w:p w14:paraId="7D23020C">
                  <w:pPr>
                    <w:topLinePunct/>
                    <w:jc w:val="center"/>
                    <w:rPr>
                      <w:b/>
                      <w:bCs/>
                      <w:color w:val="auto"/>
                      <w:szCs w:val="21"/>
                    </w:rPr>
                  </w:pPr>
                </w:p>
              </w:tc>
              <w:tc>
                <w:tcPr>
                  <w:tcW w:w="2194" w:type="pct"/>
                  <w:vAlign w:val="center"/>
                </w:tcPr>
                <w:p w14:paraId="43128BA8">
                  <w:pPr>
                    <w:topLinePunct/>
                    <w:jc w:val="center"/>
                    <w:rPr>
                      <w:color w:val="auto"/>
                      <w:szCs w:val="21"/>
                      <w:highlight w:val="none"/>
                    </w:rPr>
                  </w:pPr>
                  <w:r>
                    <w:rPr>
                      <w:color w:val="auto"/>
                      <w:szCs w:val="21"/>
                      <w:highlight w:val="none"/>
                    </w:rPr>
                    <w:t>5.大气布局敏感区从严控制新建、扩建排放大气污染物的工业项目；科学合理规划布局商业、居住并严格执行。</w:t>
                  </w:r>
                </w:p>
              </w:tc>
              <w:tc>
                <w:tcPr>
                  <w:tcW w:w="1690" w:type="pct"/>
                  <w:vAlign w:val="center"/>
                </w:tcPr>
                <w:p w14:paraId="39848B44">
                  <w:pPr>
                    <w:topLinePunct/>
                    <w:jc w:val="center"/>
                    <w:rPr>
                      <w:color w:val="auto"/>
                      <w:szCs w:val="21"/>
                      <w:highlight w:val="none"/>
                    </w:rPr>
                  </w:pPr>
                  <w:r>
                    <w:rPr>
                      <w:color w:val="auto"/>
                      <w:szCs w:val="21"/>
                      <w:highlight w:val="none"/>
                    </w:rPr>
                    <w:t>本项目为</w:t>
                  </w:r>
                  <w:r>
                    <w:rPr>
                      <w:rFonts w:hint="eastAsia"/>
                      <w:color w:val="auto"/>
                      <w:szCs w:val="21"/>
                      <w:highlight w:val="none"/>
                    </w:rPr>
                    <w:t>防洪除涝</w:t>
                  </w:r>
                  <w:r>
                    <w:rPr>
                      <w:rFonts w:hint="eastAsia"/>
                      <w:color w:val="auto"/>
                      <w:szCs w:val="21"/>
                      <w:highlight w:val="none"/>
                      <w:lang w:eastAsia="zh-CN"/>
                    </w:rPr>
                    <w:t>及</w:t>
                  </w:r>
                  <w:r>
                    <w:rPr>
                      <w:color w:val="auto"/>
                      <w:szCs w:val="21"/>
                      <w:highlight w:val="none"/>
                      <w:lang w:val="en-US" w:eastAsia="zh-CN"/>
                    </w:rPr>
                    <w:t>城镇供排水工程</w:t>
                  </w:r>
                  <w:r>
                    <w:rPr>
                      <w:color w:val="auto"/>
                      <w:szCs w:val="21"/>
                      <w:highlight w:val="none"/>
                    </w:rPr>
                    <w:t>项目，</w:t>
                  </w:r>
                  <w:r>
                    <w:rPr>
                      <w:bCs/>
                      <w:color w:val="auto"/>
                      <w:szCs w:val="21"/>
                      <w:highlight w:val="none"/>
                    </w:rPr>
                    <w:t>施工扬尘采取洒水、设置围挡等措施；燃油机械及车辆产生的废气无组织排放，大型车辆安装尾气净化器；</w:t>
                  </w:r>
                  <w:r>
                    <w:rPr>
                      <w:color w:val="auto"/>
                      <w:highlight w:val="none"/>
                    </w:rPr>
                    <w:t>清淤工程采用集中施工方式，尽量缩短施工时间，降低恶臭废气对周围环境影响。</w:t>
                  </w:r>
                </w:p>
              </w:tc>
              <w:tc>
                <w:tcPr>
                  <w:tcW w:w="481" w:type="pct"/>
                  <w:vAlign w:val="center"/>
                </w:tcPr>
                <w:p w14:paraId="2CDF8460">
                  <w:pPr>
                    <w:topLinePunct/>
                    <w:jc w:val="center"/>
                    <w:rPr>
                      <w:color w:val="auto"/>
                      <w:szCs w:val="21"/>
                    </w:rPr>
                  </w:pPr>
                  <w:r>
                    <w:rPr>
                      <w:color w:val="auto"/>
                      <w:szCs w:val="21"/>
                    </w:rPr>
                    <w:t>符合</w:t>
                  </w:r>
                </w:p>
              </w:tc>
            </w:tr>
            <w:tr w14:paraId="50FEBF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369D9F8E">
                  <w:pPr>
                    <w:topLinePunct/>
                    <w:jc w:val="center"/>
                    <w:rPr>
                      <w:b/>
                      <w:bCs/>
                      <w:color w:val="auto"/>
                      <w:szCs w:val="21"/>
                      <w:highlight w:val="yellow"/>
                    </w:rPr>
                  </w:pPr>
                </w:p>
              </w:tc>
              <w:tc>
                <w:tcPr>
                  <w:tcW w:w="322" w:type="pct"/>
                  <w:vMerge w:val="continue"/>
                  <w:vAlign w:val="center"/>
                </w:tcPr>
                <w:p w14:paraId="57FEE553">
                  <w:pPr>
                    <w:topLinePunct/>
                    <w:jc w:val="center"/>
                    <w:rPr>
                      <w:b/>
                      <w:bCs/>
                      <w:color w:val="auto"/>
                      <w:szCs w:val="21"/>
                    </w:rPr>
                  </w:pPr>
                </w:p>
              </w:tc>
              <w:tc>
                <w:tcPr>
                  <w:tcW w:w="2194" w:type="pct"/>
                  <w:vAlign w:val="center"/>
                </w:tcPr>
                <w:p w14:paraId="68B079B7">
                  <w:pPr>
                    <w:topLinePunct/>
                    <w:jc w:val="center"/>
                    <w:rPr>
                      <w:color w:val="auto"/>
                      <w:szCs w:val="21"/>
                    </w:rPr>
                  </w:pPr>
                  <w:r>
                    <w:rPr>
                      <w:color w:val="auto"/>
                      <w:szCs w:val="21"/>
                    </w:rPr>
                    <w:t>6.污水处理设施不健全、未正常运行或污水管网未覆盖的地区，未配套污水处理设施的项目不得建设。</w:t>
                  </w:r>
                </w:p>
              </w:tc>
              <w:tc>
                <w:tcPr>
                  <w:tcW w:w="1690" w:type="pct"/>
                  <w:vAlign w:val="center"/>
                </w:tcPr>
                <w:p w14:paraId="553A5625">
                  <w:pPr>
                    <w:topLinePunct/>
                    <w:jc w:val="center"/>
                    <w:rPr>
                      <w:color w:val="auto"/>
                      <w:szCs w:val="21"/>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3A079C2A">
                  <w:pPr>
                    <w:topLinePunct/>
                    <w:jc w:val="center"/>
                    <w:rPr>
                      <w:color w:val="auto"/>
                      <w:szCs w:val="21"/>
                    </w:rPr>
                  </w:pPr>
                  <w:r>
                    <w:rPr>
                      <w:color w:val="auto"/>
                      <w:szCs w:val="21"/>
                    </w:rPr>
                    <w:t>符合</w:t>
                  </w:r>
                </w:p>
              </w:tc>
            </w:tr>
            <w:tr w14:paraId="49229E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310" w:type="pct"/>
                  <w:vMerge w:val="continue"/>
                  <w:vAlign w:val="center"/>
                </w:tcPr>
                <w:p w14:paraId="57F69CCA">
                  <w:pPr>
                    <w:topLinePunct/>
                    <w:jc w:val="center"/>
                    <w:rPr>
                      <w:b/>
                      <w:bCs/>
                      <w:color w:val="auto"/>
                      <w:szCs w:val="21"/>
                      <w:highlight w:val="yellow"/>
                    </w:rPr>
                  </w:pPr>
                </w:p>
              </w:tc>
              <w:tc>
                <w:tcPr>
                  <w:tcW w:w="322" w:type="pct"/>
                  <w:vMerge w:val="continue"/>
                  <w:vAlign w:val="center"/>
                </w:tcPr>
                <w:p w14:paraId="2AE9E8BF">
                  <w:pPr>
                    <w:topLinePunct/>
                    <w:jc w:val="center"/>
                    <w:rPr>
                      <w:b/>
                      <w:bCs/>
                      <w:color w:val="auto"/>
                      <w:szCs w:val="21"/>
                    </w:rPr>
                  </w:pPr>
                </w:p>
              </w:tc>
              <w:tc>
                <w:tcPr>
                  <w:tcW w:w="2194" w:type="pct"/>
                  <w:vAlign w:val="center"/>
                </w:tcPr>
                <w:p w14:paraId="6A92A86C">
                  <w:pPr>
                    <w:topLinePunct/>
                    <w:jc w:val="center"/>
                    <w:rPr>
                      <w:color w:val="auto"/>
                      <w:szCs w:val="21"/>
                    </w:rPr>
                  </w:pPr>
                  <w:r>
                    <w:rPr>
                      <w:color w:val="auto"/>
                      <w:szCs w:val="21"/>
                    </w:rPr>
                    <w:t>7.新建有污染物排放的工业项目，除在安全生产等方面有特殊要求的以外，应当进入工业园区或工业聚集区。</w:t>
                  </w:r>
                </w:p>
              </w:tc>
              <w:tc>
                <w:tcPr>
                  <w:tcW w:w="1690" w:type="pct"/>
                  <w:vAlign w:val="center"/>
                </w:tcPr>
                <w:p w14:paraId="17542A8D">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项目，不属于工业项目。</w:t>
                  </w:r>
                </w:p>
              </w:tc>
              <w:tc>
                <w:tcPr>
                  <w:tcW w:w="481" w:type="pct"/>
                  <w:vAlign w:val="center"/>
                </w:tcPr>
                <w:p w14:paraId="12F12B9B">
                  <w:pPr>
                    <w:topLinePunct/>
                    <w:jc w:val="center"/>
                    <w:rPr>
                      <w:color w:val="auto"/>
                      <w:szCs w:val="21"/>
                    </w:rPr>
                  </w:pPr>
                  <w:r>
                    <w:rPr>
                      <w:color w:val="auto"/>
                      <w:szCs w:val="21"/>
                    </w:rPr>
                    <w:t>符合</w:t>
                  </w:r>
                </w:p>
              </w:tc>
            </w:tr>
            <w:tr w14:paraId="204DBC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502BEDE9">
                  <w:pPr>
                    <w:topLinePunct/>
                    <w:jc w:val="center"/>
                    <w:rPr>
                      <w:b/>
                      <w:bCs/>
                      <w:color w:val="auto"/>
                      <w:szCs w:val="21"/>
                      <w:highlight w:val="yellow"/>
                    </w:rPr>
                  </w:pPr>
                </w:p>
              </w:tc>
              <w:tc>
                <w:tcPr>
                  <w:tcW w:w="322" w:type="pct"/>
                  <w:vMerge w:val="continue"/>
                  <w:vAlign w:val="center"/>
                </w:tcPr>
                <w:p w14:paraId="4052EDAB">
                  <w:pPr>
                    <w:topLinePunct/>
                    <w:jc w:val="center"/>
                    <w:rPr>
                      <w:b/>
                      <w:bCs/>
                      <w:color w:val="auto"/>
                      <w:szCs w:val="21"/>
                    </w:rPr>
                  </w:pPr>
                </w:p>
              </w:tc>
              <w:tc>
                <w:tcPr>
                  <w:tcW w:w="2194" w:type="pct"/>
                  <w:vAlign w:val="center"/>
                </w:tcPr>
                <w:p w14:paraId="487493C9">
                  <w:pPr>
                    <w:topLinePunct/>
                    <w:jc w:val="center"/>
                    <w:rPr>
                      <w:color w:val="auto"/>
                      <w:szCs w:val="21"/>
                    </w:rPr>
                  </w:pPr>
                  <w:r>
                    <w:rPr>
                      <w:color w:val="auto"/>
                      <w:szCs w:val="21"/>
                    </w:rPr>
                    <w:t>8.按照省市要求，严格控制“两高”项目，新建“两高”项目实行“五个减量替代”。</w:t>
                  </w:r>
                </w:p>
              </w:tc>
              <w:tc>
                <w:tcPr>
                  <w:tcW w:w="1690" w:type="pct"/>
                  <w:vAlign w:val="center"/>
                </w:tcPr>
                <w:p w14:paraId="3B56579E">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7A6C1AD1">
                  <w:pPr>
                    <w:topLinePunct/>
                    <w:jc w:val="center"/>
                    <w:rPr>
                      <w:color w:val="auto"/>
                      <w:szCs w:val="21"/>
                    </w:rPr>
                  </w:pPr>
                  <w:r>
                    <w:rPr>
                      <w:color w:val="auto"/>
                      <w:szCs w:val="21"/>
                    </w:rPr>
                    <w:t>符合</w:t>
                  </w:r>
                </w:p>
              </w:tc>
            </w:tr>
            <w:tr w14:paraId="6BA8A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310" w:type="pct"/>
                  <w:vMerge w:val="continue"/>
                  <w:vAlign w:val="center"/>
                </w:tcPr>
                <w:p w14:paraId="614A84AA">
                  <w:pPr>
                    <w:topLinePunct/>
                    <w:jc w:val="center"/>
                    <w:rPr>
                      <w:b/>
                      <w:bCs/>
                      <w:color w:val="auto"/>
                      <w:szCs w:val="21"/>
                      <w:highlight w:val="yellow"/>
                    </w:rPr>
                  </w:pPr>
                </w:p>
              </w:tc>
              <w:tc>
                <w:tcPr>
                  <w:tcW w:w="322" w:type="pct"/>
                  <w:vMerge w:val="restart"/>
                  <w:vAlign w:val="center"/>
                </w:tcPr>
                <w:p w14:paraId="02D06A98">
                  <w:pPr>
                    <w:topLinePunct/>
                    <w:jc w:val="center"/>
                    <w:rPr>
                      <w:b/>
                      <w:bCs/>
                      <w:color w:val="auto"/>
                      <w:szCs w:val="21"/>
                    </w:rPr>
                  </w:pPr>
                  <w:r>
                    <w:rPr>
                      <w:color w:val="auto"/>
                      <w:szCs w:val="21"/>
                    </w:rPr>
                    <w:t>污染物排放管控</w:t>
                  </w:r>
                </w:p>
              </w:tc>
              <w:tc>
                <w:tcPr>
                  <w:tcW w:w="2194" w:type="pct"/>
                  <w:vAlign w:val="center"/>
                </w:tcPr>
                <w:p w14:paraId="1095EDDD">
                  <w:pPr>
                    <w:topLinePunct/>
                    <w:jc w:val="center"/>
                    <w:rPr>
                      <w:color w:val="auto"/>
                      <w:szCs w:val="21"/>
                    </w:rPr>
                  </w:pPr>
                  <w:r>
                    <w:rPr>
                      <w:color w:val="auto"/>
                      <w:szCs w:val="21"/>
                    </w:rPr>
                    <w:t>1.涉“两高”项目企业应当积极实施节能改造提升，提高能源使用效率，推进节能减排。</w:t>
                  </w:r>
                </w:p>
              </w:tc>
              <w:tc>
                <w:tcPr>
                  <w:tcW w:w="1690" w:type="pct"/>
                  <w:vAlign w:val="center"/>
                </w:tcPr>
                <w:p w14:paraId="62D2E3F1">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项目，不属于两高项目。</w:t>
                  </w:r>
                </w:p>
              </w:tc>
              <w:tc>
                <w:tcPr>
                  <w:tcW w:w="481" w:type="pct"/>
                  <w:vAlign w:val="center"/>
                </w:tcPr>
                <w:p w14:paraId="4F7F8F48">
                  <w:pPr>
                    <w:topLinePunct/>
                    <w:jc w:val="center"/>
                    <w:rPr>
                      <w:color w:val="auto"/>
                      <w:szCs w:val="21"/>
                    </w:rPr>
                  </w:pPr>
                  <w:r>
                    <w:rPr>
                      <w:color w:val="auto"/>
                      <w:szCs w:val="21"/>
                    </w:rPr>
                    <w:t>符合</w:t>
                  </w:r>
                </w:p>
              </w:tc>
            </w:tr>
            <w:tr w14:paraId="2056A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310" w:type="pct"/>
                  <w:vMerge w:val="continue"/>
                  <w:vAlign w:val="center"/>
                </w:tcPr>
                <w:p w14:paraId="40BDA364">
                  <w:pPr>
                    <w:topLinePunct/>
                    <w:jc w:val="center"/>
                    <w:rPr>
                      <w:b/>
                      <w:bCs/>
                      <w:color w:val="auto"/>
                      <w:szCs w:val="21"/>
                      <w:highlight w:val="yellow"/>
                    </w:rPr>
                  </w:pPr>
                </w:p>
              </w:tc>
              <w:tc>
                <w:tcPr>
                  <w:tcW w:w="322" w:type="pct"/>
                  <w:vMerge w:val="continue"/>
                  <w:vAlign w:val="center"/>
                </w:tcPr>
                <w:p w14:paraId="46320C91">
                  <w:pPr>
                    <w:topLinePunct/>
                    <w:jc w:val="center"/>
                    <w:rPr>
                      <w:b/>
                      <w:bCs/>
                      <w:color w:val="auto"/>
                      <w:szCs w:val="21"/>
                    </w:rPr>
                  </w:pPr>
                </w:p>
              </w:tc>
              <w:tc>
                <w:tcPr>
                  <w:tcW w:w="2194" w:type="pct"/>
                  <w:vAlign w:val="center"/>
                </w:tcPr>
                <w:p w14:paraId="0918FD55">
                  <w:pPr>
                    <w:topLinePunct/>
                    <w:jc w:val="center"/>
                    <w:rPr>
                      <w:color w:val="auto"/>
                      <w:szCs w:val="21"/>
                    </w:rPr>
                  </w:pPr>
                  <w:r>
                    <w:rPr>
                      <w:color w:val="auto"/>
                      <w:szCs w:val="21"/>
                    </w:rPr>
                    <w:t>2.落实主要污染物总量替代要求，按照山东省生态环境厅《关于印发山东省建设项目主要大气污染物排放总量替代指标核算及管理办法的通知》，实施动态管控替代。</w:t>
                  </w:r>
                </w:p>
              </w:tc>
              <w:tc>
                <w:tcPr>
                  <w:tcW w:w="1690" w:type="pct"/>
                  <w:vAlign w:val="center"/>
                </w:tcPr>
                <w:p w14:paraId="1EBB5383">
                  <w:pPr>
                    <w:topLinePunct/>
                    <w:jc w:val="center"/>
                    <w:rPr>
                      <w:color w:val="auto"/>
                      <w:szCs w:val="21"/>
                    </w:rPr>
                  </w:pPr>
                  <w:r>
                    <w:rPr>
                      <w:color w:val="auto"/>
                      <w:kern w:val="0"/>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项目，为非污染类项目，不涉及总量控制问题。</w:t>
                  </w:r>
                </w:p>
              </w:tc>
              <w:tc>
                <w:tcPr>
                  <w:tcW w:w="481" w:type="pct"/>
                  <w:vAlign w:val="center"/>
                </w:tcPr>
                <w:p w14:paraId="137F93D2">
                  <w:pPr>
                    <w:topLinePunct/>
                    <w:jc w:val="center"/>
                    <w:rPr>
                      <w:color w:val="auto"/>
                      <w:szCs w:val="21"/>
                    </w:rPr>
                  </w:pPr>
                  <w:r>
                    <w:rPr>
                      <w:color w:val="auto"/>
                      <w:szCs w:val="21"/>
                    </w:rPr>
                    <w:t>符合</w:t>
                  </w:r>
                </w:p>
              </w:tc>
            </w:tr>
            <w:tr w14:paraId="7E97BA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10" w:type="pct"/>
                  <w:vMerge w:val="continue"/>
                  <w:vAlign w:val="center"/>
                </w:tcPr>
                <w:p w14:paraId="3665A290">
                  <w:pPr>
                    <w:topLinePunct/>
                    <w:jc w:val="center"/>
                    <w:rPr>
                      <w:b/>
                      <w:bCs/>
                      <w:color w:val="auto"/>
                      <w:szCs w:val="21"/>
                      <w:highlight w:val="yellow"/>
                    </w:rPr>
                  </w:pPr>
                </w:p>
              </w:tc>
              <w:tc>
                <w:tcPr>
                  <w:tcW w:w="322" w:type="pct"/>
                  <w:vMerge w:val="continue"/>
                  <w:vAlign w:val="center"/>
                </w:tcPr>
                <w:p w14:paraId="741A4035">
                  <w:pPr>
                    <w:topLinePunct/>
                    <w:jc w:val="center"/>
                    <w:rPr>
                      <w:b/>
                      <w:bCs/>
                      <w:color w:val="auto"/>
                      <w:szCs w:val="21"/>
                    </w:rPr>
                  </w:pPr>
                </w:p>
              </w:tc>
              <w:tc>
                <w:tcPr>
                  <w:tcW w:w="2194" w:type="pct"/>
                  <w:vAlign w:val="center"/>
                </w:tcPr>
                <w:p w14:paraId="2E1E1F8D">
                  <w:pPr>
                    <w:topLinePunct/>
                    <w:jc w:val="center"/>
                    <w:rPr>
                      <w:color w:val="auto"/>
                      <w:szCs w:val="21"/>
                    </w:rPr>
                  </w:pPr>
                  <w:r>
                    <w:rPr>
                      <w:color w:val="auto"/>
                      <w:szCs w:val="21"/>
                    </w:rPr>
                    <w:t>3.废水应当按照要求进行预处理，达到行业排放标准或是综合排放标准后方可排放。</w:t>
                  </w:r>
                </w:p>
              </w:tc>
              <w:tc>
                <w:tcPr>
                  <w:tcW w:w="1690" w:type="pct"/>
                  <w:vAlign w:val="center"/>
                </w:tcPr>
                <w:p w14:paraId="54AD2615">
                  <w:pPr>
                    <w:topLinePunct/>
                    <w:jc w:val="center"/>
                    <w:rPr>
                      <w:color w:val="auto"/>
                      <w:szCs w:val="21"/>
                    </w:rPr>
                  </w:pPr>
                  <w:r>
                    <w:rPr>
                      <w:color w:val="auto"/>
                      <w:szCs w:val="21"/>
                      <w:highlight w:val="none"/>
                    </w:rPr>
                    <w:t>本项目</w:t>
                  </w:r>
                  <w:r>
                    <w:rPr>
                      <w:rFonts w:hint="eastAsia"/>
                      <w:color w:val="auto"/>
                      <w:szCs w:val="21"/>
                      <w:highlight w:val="none"/>
                    </w:rPr>
                    <w:t>施工期</w:t>
                  </w:r>
                  <w:r>
                    <w:rPr>
                      <w:color w:val="auto"/>
                      <w:szCs w:val="21"/>
                      <w:highlight w:val="none"/>
                    </w:rPr>
                    <w:t>生活污水定期由当地居民清运肥田；混凝土养护废水经沉淀池处理后回用于地面洒水降尘，不外排；机械车辆冲洗废水经</w:t>
                  </w:r>
                  <w:r>
                    <w:rPr>
                      <w:rFonts w:hint="eastAsia"/>
                      <w:color w:val="auto"/>
                      <w:szCs w:val="21"/>
                      <w:highlight w:val="none"/>
                      <w:lang w:eastAsia="zh-CN"/>
                    </w:rPr>
                    <w:t>隔油沉淀池</w:t>
                  </w:r>
                  <w:r>
                    <w:rPr>
                      <w:color w:val="auto"/>
                      <w:szCs w:val="21"/>
                      <w:highlight w:val="none"/>
                    </w:rPr>
                    <w:t>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color w:val="auto"/>
                      <w:szCs w:val="21"/>
                      <w:highlight w:val="none"/>
                    </w:rPr>
                    <w:t>。</w:t>
                  </w:r>
                  <w:r>
                    <w:rPr>
                      <w:rFonts w:hint="eastAsia"/>
                      <w:color w:val="auto"/>
                      <w:szCs w:val="21"/>
                      <w:highlight w:val="none"/>
                    </w:rPr>
                    <w:t>运营期无污染。</w:t>
                  </w:r>
                </w:p>
              </w:tc>
              <w:tc>
                <w:tcPr>
                  <w:tcW w:w="481" w:type="pct"/>
                  <w:vAlign w:val="center"/>
                </w:tcPr>
                <w:p w14:paraId="119AE6DF">
                  <w:pPr>
                    <w:topLinePunct/>
                    <w:jc w:val="center"/>
                    <w:rPr>
                      <w:color w:val="auto"/>
                      <w:szCs w:val="21"/>
                    </w:rPr>
                  </w:pPr>
                  <w:r>
                    <w:rPr>
                      <w:color w:val="auto"/>
                      <w:szCs w:val="21"/>
                    </w:rPr>
                    <w:t>符合</w:t>
                  </w:r>
                </w:p>
              </w:tc>
            </w:tr>
            <w:tr w14:paraId="4759E0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1DD7B108">
                  <w:pPr>
                    <w:topLinePunct/>
                    <w:jc w:val="center"/>
                    <w:rPr>
                      <w:b/>
                      <w:bCs/>
                      <w:color w:val="auto"/>
                      <w:szCs w:val="21"/>
                      <w:highlight w:val="yellow"/>
                    </w:rPr>
                  </w:pPr>
                </w:p>
              </w:tc>
              <w:tc>
                <w:tcPr>
                  <w:tcW w:w="322" w:type="pct"/>
                  <w:vMerge w:val="continue"/>
                  <w:vAlign w:val="center"/>
                </w:tcPr>
                <w:p w14:paraId="76AF33AE">
                  <w:pPr>
                    <w:topLinePunct/>
                    <w:jc w:val="center"/>
                    <w:rPr>
                      <w:b/>
                      <w:bCs/>
                      <w:color w:val="auto"/>
                      <w:szCs w:val="21"/>
                    </w:rPr>
                  </w:pPr>
                </w:p>
              </w:tc>
              <w:tc>
                <w:tcPr>
                  <w:tcW w:w="2194" w:type="pct"/>
                  <w:vAlign w:val="center"/>
                </w:tcPr>
                <w:p w14:paraId="3A5E87C2">
                  <w:pPr>
                    <w:topLinePunct/>
                    <w:jc w:val="center"/>
                    <w:rPr>
                      <w:color w:val="auto"/>
                      <w:szCs w:val="21"/>
                    </w:rPr>
                  </w:pPr>
                  <w:r>
                    <w:rPr>
                      <w:color w:val="auto"/>
                      <w:szCs w:val="21"/>
                    </w:rPr>
                    <w:t>4.禁止工业废水和生活污水未经处理直排环境；原则上除工业污水集中处理设施、城镇污水处理厂外不得新建入河排污口。</w:t>
                  </w:r>
                </w:p>
              </w:tc>
              <w:tc>
                <w:tcPr>
                  <w:tcW w:w="1690" w:type="pct"/>
                  <w:vAlign w:val="center"/>
                </w:tcPr>
                <w:p w14:paraId="578AE688">
                  <w:pPr>
                    <w:topLinePunct/>
                    <w:jc w:val="center"/>
                    <w:rPr>
                      <w:color w:val="auto"/>
                      <w:szCs w:val="21"/>
                    </w:rPr>
                  </w:pPr>
                  <w:r>
                    <w:rPr>
                      <w:color w:val="auto"/>
                      <w:szCs w:val="21"/>
                    </w:rPr>
                    <w:t>本项目无废水外排，不新建入河排污口。</w:t>
                  </w:r>
                </w:p>
              </w:tc>
              <w:tc>
                <w:tcPr>
                  <w:tcW w:w="481" w:type="pct"/>
                  <w:vAlign w:val="center"/>
                </w:tcPr>
                <w:p w14:paraId="06BACD12">
                  <w:pPr>
                    <w:topLinePunct/>
                    <w:jc w:val="center"/>
                    <w:rPr>
                      <w:color w:val="auto"/>
                      <w:szCs w:val="21"/>
                    </w:rPr>
                  </w:pPr>
                  <w:r>
                    <w:rPr>
                      <w:color w:val="auto"/>
                      <w:szCs w:val="21"/>
                    </w:rPr>
                    <w:t>符合</w:t>
                  </w:r>
                </w:p>
              </w:tc>
            </w:tr>
            <w:tr w14:paraId="35FC9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310" w:type="pct"/>
                  <w:vMerge w:val="continue"/>
                  <w:vAlign w:val="center"/>
                </w:tcPr>
                <w:p w14:paraId="5E182AC3">
                  <w:pPr>
                    <w:topLinePunct/>
                    <w:jc w:val="center"/>
                    <w:rPr>
                      <w:b/>
                      <w:bCs/>
                      <w:color w:val="auto"/>
                      <w:szCs w:val="21"/>
                      <w:highlight w:val="yellow"/>
                    </w:rPr>
                  </w:pPr>
                </w:p>
              </w:tc>
              <w:tc>
                <w:tcPr>
                  <w:tcW w:w="322" w:type="pct"/>
                  <w:vMerge w:val="continue"/>
                  <w:vAlign w:val="center"/>
                </w:tcPr>
                <w:p w14:paraId="602D5C2C">
                  <w:pPr>
                    <w:topLinePunct/>
                    <w:jc w:val="center"/>
                    <w:rPr>
                      <w:b/>
                      <w:bCs/>
                      <w:color w:val="auto"/>
                      <w:szCs w:val="21"/>
                    </w:rPr>
                  </w:pPr>
                </w:p>
              </w:tc>
              <w:tc>
                <w:tcPr>
                  <w:tcW w:w="2194" w:type="pct"/>
                  <w:vAlign w:val="center"/>
                </w:tcPr>
                <w:p w14:paraId="4735DBF3">
                  <w:pPr>
                    <w:topLinePunct/>
                    <w:jc w:val="center"/>
                    <w:rPr>
                      <w:color w:val="auto"/>
                      <w:szCs w:val="21"/>
                    </w:rPr>
                  </w:pPr>
                  <w:r>
                    <w:rPr>
                      <w:color w:val="auto"/>
                      <w:szCs w:val="21"/>
                    </w:rPr>
                    <w:t>5.包装印刷、表面涂装等涉VOCs排放的行业，严格按照淄博市行业环境管控要求，实施源头替代，建立健全治理设施，确保污染物稳定达标排放，做到持证排污。</w:t>
                  </w:r>
                </w:p>
              </w:tc>
              <w:tc>
                <w:tcPr>
                  <w:tcW w:w="1690" w:type="pct"/>
                  <w:vAlign w:val="center"/>
                </w:tcPr>
                <w:p w14:paraId="7843DC8E">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项目，不属于上述行业。</w:t>
                  </w:r>
                </w:p>
              </w:tc>
              <w:tc>
                <w:tcPr>
                  <w:tcW w:w="481" w:type="pct"/>
                  <w:vAlign w:val="center"/>
                </w:tcPr>
                <w:p w14:paraId="5E712746">
                  <w:pPr>
                    <w:topLinePunct/>
                    <w:jc w:val="center"/>
                    <w:rPr>
                      <w:color w:val="auto"/>
                      <w:szCs w:val="21"/>
                    </w:rPr>
                  </w:pPr>
                  <w:r>
                    <w:rPr>
                      <w:color w:val="auto"/>
                      <w:szCs w:val="21"/>
                    </w:rPr>
                    <w:t>符合</w:t>
                  </w:r>
                </w:p>
              </w:tc>
            </w:tr>
            <w:tr w14:paraId="4FFAF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6" w:hRule="atLeast"/>
                <w:jc w:val="center"/>
              </w:trPr>
              <w:tc>
                <w:tcPr>
                  <w:tcW w:w="310" w:type="pct"/>
                  <w:vMerge w:val="continue"/>
                  <w:vAlign w:val="center"/>
                </w:tcPr>
                <w:p w14:paraId="35B944BC">
                  <w:pPr>
                    <w:topLinePunct/>
                    <w:jc w:val="center"/>
                    <w:rPr>
                      <w:b/>
                      <w:bCs/>
                      <w:color w:val="auto"/>
                      <w:szCs w:val="21"/>
                      <w:highlight w:val="yellow"/>
                    </w:rPr>
                  </w:pPr>
                </w:p>
              </w:tc>
              <w:tc>
                <w:tcPr>
                  <w:tcW w:w="322" w:type="pct"/>
                  <w:vMerge w:val="restart"/>
                  <w:vAlign w:val="center"/>
                </w:tcPr>
                <w:p w14:paraId="1F8EBCB0">
                  <w:pPr>
                    <w:topLinePunct/>
                    <w:jc w:val="center"/>
                    <w:rPr>
                      <w:color w:val="auto"/>
                      <w:szCs w:val="21"/>
                    </w:rPr>
                  </w:pPr>
                  <w:r>
                    <w:rPr>
                      <w:color w:val="auto"/>
                      <w:szCs w:val="21"/>
                    </w:rPr>
                    <w:t>环境风险防控</w:t>
                  </w:r>
                </w:p>
              </w:tc>
              <w:tc>
                <w:tcPr>
                  <w:tcW w:w="2194" w:type="pct"/>
                  <w:vAlign w:val="center"/>
                </w:tcPr>
                <w:p w14:paraId="41E95DFD">
                  <w:pPr>
                    <w:topLinePunct/>
                    <w:jc w:val="center"/>
                    <w:rPr>
                      <w:color w:val="auto"/>
                      <w:szCs w:val="21"/>
                    </w:rPr>
                  </w:pPr>
                  <w:r>
                    <w:rPr>
                      <w:color w:val="auto"/>
                      <w:szCs w:val="21"/>
                    </w:rPr>
                    <w:t>1.建立生态保护红线常态化日常巡护。</w:t>
                  </w:r>
                </w:p>
              </w:tc>
              <w:tc>
                <w:tcPr>
                  <w:tcW w:w="1690" w:type="pct"/>
                  <w:vAlign w:val="center"/>
                </w:tcPr>
                <w:p w14:paraId="30C799A3">
                  <w:pPr>
                    <w:topLinePunct/>
                    <w:jc w:val="center"/>
                    <w:rPr>
                      <w:color w:val="auto"/>
                      <w:szCs w:val="21"/>
                    </w:rPr>
                  </w:pPr>
                  <w:r>
                    <w:rPr>
                      <w:color w:val="auto"/>
                      <w:szCs w:val="21"/>
                    </w:rPr>
                    <w:t>根据</w:t>
                  </w:r>
                  <w:r>
                    <w:rPr>
                      <w:rFonts w:hint="eastAsia"/>
                      <w:color w:val="auto"/>
                      <w:szCs w:val="21"/>
                    </w:rPr>
                    <w:t>淄博市国土空间总体规划（2021-2035年）市域国土空间控制线规划图</w:t>
                  </w:r>
                  <w:r>
                    <w:rPr>
                      <w:color w:val="auto"/>
                      <w:szCs w:val="21"/>
                    </w:rPr>
                    <w:t>（附图3），项目不占用生态保护红线、不占用永久基本农田。</w:t>
                  </w:r>
                </w:p>
              </w:tc>
              <w:tc>
                <w:tcPr>
                  <w:tcW w:w="481" w:type="pct"/>
                  <w:vAlign w:val="center"/>
                </w:tcPr>
                <w:p w14:paraId="745DDD2D">
                  <w:pPr>
                    <w:topLinePunct/>
                    <w:jc w:val="center"/>
                    <w:rPr>
                      <w:color w:val="auto"/>
                      <w:szCs w:val="21"/>
                    </w:rPr>
                  </w:pPr>
                  <w:r>
                    <w:rPr>
                      <w:color w:val="auto"/>
                      <w:szCs w:val="21"/>
                    </w:rPr>
                    <w:t>符合</w:t>
                  </w:r>
                </w:p>
              </w:tc>
            </w:tr>
            <w:tr w14:paraId="4FDCF1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310" w:type="pct"/>
                  <w:vMerge w:val="continue"/>
                  <w:vAlign w:val="center"/>
                </w:tcPr>
                <w:p w14:paraId="698EDE4C">
                  <w:pPr>
                    <w:topLinePunct/>
                    <w:jc w:val="center"/>
                    <w:rPr>
                      <w:b/>
                      <w:bCs/>
                      <w:color w:val="auto"/>
                      <w:szCs w:val="21"/>
                      <w:highlight w:val="yellow"/>
                    </w:rPr>
                  </w:pPr>
                </w:p>
              </w:tc>
              <w:tc>
                <w:tcPr>
                  <w:tcW w:w="322" w:type="pct"/>
                  <w:vMerge w:val="continue"/>
                  <w:vAlign w:val="center"/>
                </w:tcPr>
                <w:p w14:paraId="28F30ACA">
                  <w:pPr>
                    <w:topLinePunct/>
                    <w:jc w:val="center"/>
                    <w:rPr>
                      <w:b/>
                      <w:bCs/>
                      <w:color w:val="auto"/>
                      <w:szCs w:val="21"/>
                    </w:rPr>
                  </w:pPr>
                </w:p>
              </w:tc>
              <w:tc>
                <w:tcPr>
                  <w:tcW w:w="2194" w:type="pct"/>
                  <w:vAlign w:val="center"/>
                </w:tcPr>
                <w:p w14:paraId="0EF1A08E">
                  <w:pPr>
                    <w:topLinePunct/>
                    <w:jc w:val="center"/>
                    <w:rPr>
                      <w:color w:val="auto"/>
                      <w:szCs w:val="21"/>
                    </w:rPr>
                  </w:pPr>
                  <w:r>
                    <w:rPr>
                      <w:color w:val="auto"/>
                      <w:szCs w:val="21"/>
                    </w:rPr>
                    <w:t>2.加强农田土壤、灌溉水的监测，对周边区域环境风险源进行评估。</w:t>
                  </w:r>
                </w:p>
              </w:tc>
              <w:tc>
                <w:tcPr>
                  <w:tcW w:w="1690" w:type="pct"/>
                  <w:vAlign w:val="center"/>
                </w:tcPr>
                <w:p w14:paraId="66A931C3">
                  <w:pPr>
                    <w:topLinePunct/>
                    <w:jc w:val="center"/>
                    <w:rPr>
                      <w:color w:val="auto"/>
                      <w:szCs w:val="21"/>
                    </w:rPr>
                  </w:pPr>
                  <w:r>
                    <w:rPr>
                      <w:color w:val="auto"/>
                      <w:szCs w:val="21"/>
                    </w:rPr>
                    <w:t>本项目为</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项目，不对农田土壤、灌溉水造成影响，通过加强自身环境风险管理不会对周边环境风险造成影响。</w:t>
                  </w:r>
                </w:p>
              </w:tc>
              <w:tc>
                <w:tcPr>
                  <w:tcW w:w="481" w:type="pct"/>
                  <w:vAlign w:val="center"/>
                </w:tcPr>
                <w:p w14:paraId="03E6FF4D">
                  <w:pPr>
                    <w:topLinePunct/>
                    <w:jc w:val="center"/>
                    <w:rPr>
                      <w:color w:val="auto"/>
                      <w:szCs w:val="21"/>
                    </w:rPr>
                  </w:pPr>
                  <w:r>
                    <w:rPr>
                      <w:color w:val="auto"/>
                      <w:szCs w:val="21"/>
                    </w:rPr>
                    <w:t>符合</w:t>
                  </w:r>
                </w:p>
              </w:tc>
            </w:tr>
            <w:tr w14:paraId="5BBE46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310" w:type="pct"/>
                  <w:vMerge w:val="continue"/>
                  <w:vAlign w:val="center"/>
                </w:tcPr>
                <w:p w14:paraId="6A223059">
                  <w:pPr>
                    <w:topLinePunct/>
                    <w:jc w:val="center"/>
                    <w:rPr>
                      <w:b/>
                      <w:bCs/>
                      <w:color w:val="auto"/>
                      <w:szCs w:val="21"/>
                      <w:highlight w:val="yellow"/>
                    </w:rPr>
                  </w:pPr>
                </w:p>
              </w:tc>
              <w:tc>
                <w:tcPr>
                  <w:tcW w:w="322" w:type="pct"/>
                  <w:vMerge w:val="continue"/>
                  <w:vAlign w:val="center"/>
                </w:tcPr>
                <w:p w14:paraId="3CA5BF91">
                  <w:pPr>
                    <w:topLinePunct/>
                    <w:jc w:val="center"/>
                    <w:rPr>
                      <w:color w:val="auto"/>
                      <w:szCs w:val="21"/>
                    </w:rPr>
                  </w:pPr>
                </w:p>
              </w:tc>
              <w:tc>
                <w:tcPr>
                  <w:tcW w:w="2194" w:type="pct"/>
                  <w:vAlign w:val="center"/>
                </w:tcPr>
                <w:p w14:paraId="3DB2F378">
                  <w:pPr>
                    <w:topLinePunct/>
                    <w:jc w:val="center"/>
                    <w:rPr>
                      <w:color w:val="auto"/>
                      <w:szCs w:val="21"/>
                    </w:rPr>
                  </w:pPr>
                  <w:r>
                    <w:rPr>
                      <w:color w:val="auto"/>
                      <w:szCs w:val="21"/>
                    </w:rPr>
                    <w:t>3.企业事业单位按照《企业事业单位突发环境事件应急预案备案管理办法（试行）》等要求，依法依规编制环境应急预案并定期开展演练。</w:t>
                  </w:r>
                </w:p>
              </w:tc>
              <w:tc>
                <w:tcPr>
                  <w:tcW w:w="1690" w:type="pct"/>
                  <w:vAlign w:val="center"/>
                </w:tcPr>
                <w:p w14:paraId="15331B9D">
                  <w:pPr>
                    <w:topLinePunct/>
                    <w:jc w:val="center"/>
                    <w:rPr>
                      <w:color w:val="auto"/>
                      <w:szCs w:val="21"/>
                    </w:rPr>
                  </w:pPr>
                  <w:r>
                    <w:rPr>
                      <w:color w:val="auto"/>
                      <w:szCs w:val="21"/>
                    </w:rPr>
                    <w:t>按要求执行。</w:t>
                  </w:r>
                </w:p>
              </w:tc>
              <w:tc>
                <w:tcPr>
                  <w:tcW w:w="481" w:type="pct"/>
                  <w:vAlign w:val="center"/>
                </w:tcPr>
                <w:p w14:paraId="64B7016B">
                  <w:pPr>
                    <w:topLinePunct/>
                    <w:jc w:val="center"/>
                    <w:rPr>
                      <w:color w:val="auto"/>
                      <w:szCs w:val="21"/>
                    </w:rPr>
                  </w:pPr>
                  <w:r>
                    <w:rPr>
                      <w:color w:val="auto"/>
                      <w:szCs w:val="21"/>
                    </w:rPr>
                    <w:t>符合</w:t>
                  </w:r>
                </w:p>
              </w:tc>
            </w:tr>
            <w:tr w14:paraId="2ACC2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pct"/>
                  <w:vMerge w:val="continue"/>
                  <w:vAlign w:val="center"/>
                </w:tcPr>
                <w:p w14:paraId="2D990F8A">
                  <w:pPr>
                    <w:topLinePunct/>
                    <w:jc w:val="center"/>
                    <w:rPr>
                      <w:b/>
                      <w:bCs/>
                      <w:color w:val="auto"/>
                      <w:szCs w:val="21"/>
                      <w:highlight w:val="yellow"/>
                    </w:rPr>
                  </w:pPr>
                </w:p>
              </w:tc>
              <w:tc>
                <w:tcPr>
                  <w:tcW w:w="322" w:type="pct"/>
                  <w:vMerge w:val="continue"/>
                  <w:vAlign w:val="center"/>
                </w:tcPr>
                <w:p w14:paraId="63F5ED42">
                  <w:pPr>
                    <w:topLinePunct/>
                    <w:jc w:val="center"/>
                    <w:rPr>
                      <w:b/>
                      <w:bCs/>
                      <w:color w:val="auto"/>
                      <w:szCs w:val="21"/>
                    </w:rPr>
                  </w:pPr>
                </w:p>
              </w:tc>
              <w:tc>
                <w:tcPr>
                  <w:tcW w:w="2194" w:type="pct"/>
                  <w:vAlign w:val="center"/>
                </w:tcPr>
                <w:p w14:paraId="6C9BEBCB">
                  <w:pPr>
                    <w:topLinePunct/>
                    <w:jc w:val="center"/>
                    <w:rPr>
                      <w:color w:val="auto"/>
                      <w:szCs w:val="21"/>
                    </w:rPr>
                  </w:pPr>
                  <w:r>
                    <w:rPr>
                      <w:color w:val="auto"/>
                      <w:szCs w:val="21"/>
                    </w:rPr>
                    <w:t>4.建立各企业危险废物的贮存、申报、经营许可（无废城市建设豁免的除外）、转移及处置管理制度，并负责对危废相应活动的全程监管和环境安全保障。</w:t>
                  </w:r>
                </w:p>
              </w:tc>
              <w:tc>
                <w:tcPr>
                  <w:tcW w:w="1690" w:type="pct"/>
                  <w:vAlign w:val="center"/>
                </w:tcPr>
                <w:p w14:paraId="34B1BD63">
                  <w:pPr>
                    <w:topLinePunct/>
                    <w:jc w:val="center"/>
                    <w:rPr>
                      <w:color w:val="auto"/>
                      <w:szCs w:val="21"/>
                    </w:rPr>
                  </w:pPr>
                  <w:r>
                    <w:rPr>
                      <w:rFonts w:hint="eastAsia"/>
                      <w:color w:val="auto"/>
                      <w:szCs w:val="21"/>
                      <w:highlight w:val="none"/>
                      <w:lang w:eastAsia="zh-CN"/>
                    </w:rPr>
                    <w:t>本项目危险废物主要为隔油池浮油，暂存危废间施工结束后委托有资质单位处置。</w:t>
                  </w:r>
                  <w:r>
                    <w:rPr>
                      <w:rFonts w:hint="eastAsia"/>
                      <w:color w:val="auto"/>
                      <w:szCs w:val="21"/>
                      <w:highlight w:val="none"/>
                    </w:rPr>
                    <w:t>运营期无固废产生。</w:t>
                  </w:r>
                </w:p>
              </w:tc>
              <w:tc>
                <w:tcPr>
                  <w:tcW w:w="481" w:type="pct"/>
                  <w:vAlign w:val="center"/>
                </w:tcPr>
                <w:p w14:paraId="21BB5582">
                  <w:pPr>
                    <w:topLinePunct/>
                    <w:jc w:val="center"/>
                    <w:rPr>
                      <w:color w:val="auto"/>
                      <w:szCs w:val="21"/>
                    </w:rPr>
                  </w:pPr>
                  <w:r>
                    <w:rPr>
                      <w:color w:val="auto"/>
                      <w:szCs w:val="21"/>
                    </w:rPr>
                    <w:t>符合</w:t>
                  </w:r>
                </w:p>
              </w:tc>
            </w:tr>
            <w:tr w14:paraId="6D044F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10" w:type="pct"/>
                  <w:vMerge w:val="continue"/>
                  <w:vAlign w:val="center"/>
                </w:tcPr>
                <w:p w14:paraId="7615296D">
                  <w:pPr>
                    <w:topLinePunct/>
                    <w:jc w:val="center"/>
                    <w:rPr>
                      <w:b/>
                      <w:bCs/>
                      <w:color w:val="auto"/>
                      <w:szCs w:val="21"/>
                      <w:highlight w:val="yellow"/>
                    </w:rPr>
                  </w:pPr>
                </w:p>
              </w:tc>
              <w:tc>
                <w:tcPr>
                  <w:tcW w:w="322" w:type="pct"/>
                  <w:vMerge w:val="continue"/>
                  <w:vAlign w:val="center"/>
                </w:tcPr>
                <w:p w14:paraId="24E31EB4">
                  <w:pPr>
                    <w:topLinePunct/>
                    <w:jc w:val="center"/>
                    <w:rPr>
                      <w:b/>
                      <w:bCs/>
                      <w:color w:val="auto"/>
                      <w:szCs w:val="21"/>
                    </w:rPr>
                  </w:pPr>
                </w:p>
              </w:tc>
              <w:tc>
                <w:tcPr>
                  <w:tcW w:w="2194" w:type="pct"/>
                  <w:vAlign w:val="center"/>
                </w:tcPr>
                <w:p w14:paraId="381DACA4">
                  <w:pPr>
                    <w:topLinePunct/>
                    <w:jc w:val="center"/>
                    <w:rPr>
                      <w:color w:val="auto"/>
                      <w:szCs w:val="21"/>
                    </w:rPr>
                  </w:pPr>
                  <w:r>
                    <w:rPr>
                      <w:color w:val="auto"/>
                      <w:szCs w:val="21"/>
                    </w:rPr>
                    <w:t>5.按照省市要求，做好清洁取暖改造工作。</w:t>
                  </w:r>
                </w:p>
              </w:tc>
              <w:tc>
                <w:tcPr>
                  <w:tcW w:w="1690" w:type="pct"/>
                  <w:vAlign w:val="center"/>
                </w:tcPr>
                <w:p w14:paraId="6574F3D5">
                  <w:pPr>
                    <w:topLinePunct/>
                    <w:jc w:val="center"/>
                    <w:rPr>
                      <w:color w:val="auto"/>
                      <w:szCs w:val="21"/>
                    </w:rPr>
                  </w:pPr>
                  <w:r>
                    <w:rPr>
                      <w:color w:val="auto"/>
                      <w:szCs w:val="21"/>
                    </w:rPr>
                    <w:t>按要求执行。</w:t>
                  </w:r>
                </w:p>
              </w:tc>
              <w:tc>
                <w:tcPr>
                  <w:tcW w:w="481" w:type="pct"/>
                  <w:vAlign w:val="center"/>
                </w:tcPr>
                <w:p w14:paraId="52BB0D91">
                  <w:pPr>
                    <w:topLinePunct/>
                    <w:jc w:val="center"/>
                    <w:rPr>
                      <w:color w:val="auto"/>
                      <w:szCs w:val="21"/>
                    </w:rPr>
                  </w:pPr>
                  <w:r>
                    <w:rPr>
                      <w:color w:val="auto"/>
                      <w:szCs w:val="21"/>
                    </w:rPr>
                    <w:t>符合</w:t>
                  </w:r>
                </w:p>
              </w:tc>
            </w:tr>
            <w:tr w14:paraId="413AE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310" w:type="pct"/>
                  <w:vMerge w:val="continue"/>
                  <w:vAlign w:val="center"/>
                </w:tcPr>
                <w:p w14:paraId="5971EEE0">
                  <w:pPr>
                    <w:topLinePunct/>
                    <w:jc w:val="center"/>
                    <w:rPr>
                      <w:b/>
                      <w:bCs/>
                      <w:color w:val="auto"/>
                      <w:szCs w:val="21"/>
                      <w:highlight w:val="yellow"/>
                    </w:rPr>
                  </w:pPr>
                </w:p>
              </w:tc>
              <w:tc>
                <w:tcPr>
                  <w:tcW w:w="322" w:type="pct"/>
                  <w:vMerge w:val="restart"/>
                  <w:vAlign w:val="center"/>
                </w:tcPr>
                <w:p w14:paraId="02E5DC6C">
                  <w:pPr>
                    <w:topLinePunct/>
                    <w:jc w:val="center"/>
                    <w:rPr>
                      <w:b/>
                      <w:bCs/>
                      <w:color w:val="auto"/>
                      <w:szCs w:val="21"/>
                    </w:rPr>
                  </w:pPr>
                  <w:r>
                    <w:rPr>
                      <w:color w:val="auto"/>
                      <w:szCs w:val="21"/>
                    </w:rPr>
                    <w:t>资源开放效率要求</w:t>
                  </w:r>
                </w:p>
              </w:tc>
              <w:tc>
                <w:tcPr>
                  <w:tcW w:w="2194" w:type="pct"/>
                  <w:vAlign w:val="center"/>
                </w:tcPr>
                <w:p w14:paraId="4745D4EE">
                  <w:pPr>
                    <w:topLinePunct/>
                    <w:jc w:val="center"/>
                    <w:rPr>
                      <w:color w:val="auto"/>
                      <w:szCs w:val="21"/>
                    </w:rPr>
                  </w:pPr>
                  <w:r>
                    <w:rPr>
                      <w:color w:val="auto"/>
                      <w:szCs w:val="21"/>
                    </w:rPr>
                    <w:t>1.加强农业节水，提高水资源使用效率。</w:t>
                  </w:r>
                </w:p>
              </w:tc>
              <w:tc>
                <w:tcPr>
                  <w:tcW w:w="1690" w:type="pct"/>
                  <w:vAlign w:val="center"/>
                </w:tcPr>
                <w:p w14:paraId="5D06830E">
                  <w:pPr>
                    <w:topLinePunct/>
                    <w:jc w:val="center"/>
                    <w:rPr>
                      <w:color w:val="auto"/>
                      <w:szCs w:val="21"/>
                    </w:rPr>
                  </w:pPr>
                  <w:r>
                    <w:rPr>
                      <w:color w:val="auto"/>
                      <w:szCs w:val="21"/>
                    </w:rPr>
                    <w:t>按要求执行。</w:t>
                  </w:r>
                </w:p>
              </w:tc>
              <w:tc>
                <w:tcPr>
                  <w:tcW w:w="481" w:type="pct"/>
                  <w:vAlign w:val="center"/>
                </w:tcPr>
                <w:p w14:paraId="5DDEA3B3">
                  <w:pPr>
                    <w:topLinePunct/>
                    <w:jc w:val="center"/>
                    <w:rPr>
                      <w:color w:val="auto"/>
                      <w:szCs w:val="21"/>
                    </w:rPr>
                  </w:pPr>
                  <w:r>
                    <w:rPr>
                      <w:color w:val="auto"/>
                      <w:szCs w:val="21"/>
                    </w:rPr>
                    <w:t>符合</w:t>
                  </w:r>
                </w:p>
              </w:tc>
            </w:tr>
            <w:tr w14:paraId="0251F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10" w:type="pct"/>
                  <w:vMerge w:val="continue"/>
                  <w:vAlign w:val="center"/>
                </w:tcPr>
                <w:p w14:paraId="0CD41B59">
                  <w:pPr>
                    <w:topLinePunct/>
                    <w:jc w:val="center"/>
                    <w:rPr>
                      <w:b/>
                      <w:bCs/>
                      <w:color w:val="auto"/>
                      <w:szCs w:val="21"/>
                      <w:highlight w:val="yellow"/>
                    </w:rPr>
                  </w:pPr>
                </w:p>
              </w:tc>
              <w:tc>
                <w:tcPr>
                  <w:tcW w:w="322" w:type="pct"/>
                  <w:vMerge w:val="continue"/>
                  <w:vAlign w:val="center"/>
                </w:tcPr>
                <w:p w14:paraId="4029DAFB">
                  <w:pPr>
                    <w:topLinePunct/>
                    <w:jc w:val="center"/>
                    <w:rPr>
                      <w:b/>
                      <w:bCs/>
                      <w:color w:val="auto"/>
                      <w:szCs w:val="21"/>
                    </w:rPr>
                  </w:pPr>
                </w:p>
              </w:tc>
              <w:tc>
                <w:tcPr>
                  <w:tcW w:w="2194" w:type="pct"/>
                  <w:vAlign w:val="center"/>
                </w:tcPr>
                <w:p w14:paraId="20C2AB1F">
                  <w:pPr>
                    <w:topLinePunct/>
                    <w:jc w:val="center"/>
                    <w:rPr>
                      <w:color w:val="auto"/>
                      <w:szCs w:val="21"/>
                    </w:rPr>
                  </w:pPr>
                  <w:r>
                    <w:rPr>
                      <w:color w:val="auto"/>
                      <w:szCs w:val="21"/>
                    </w:rPr>
                    <w:t>2.提升土地集约化水平。</w:t>
                  </w:r>
                </w:p>
              </w:tc>
              <w:tc>
                <w:tcPr>
                  <w:tcW w:w="1690" w:type="pct"/>
                  <w:vAlign w:val="center"/>
                </w:tcPr>
                <w:p w14:paraId="672B993A">
                  <w:pPr>
                    <w:topLinePunct/>
                    <w:jc w:val="center"/>
                    <w:rPr>
                      <w:color w:val="auto"/>
                      <w:szCs w:val="21"/>
                    </w:rPr>
                  </w:pPr>
                  <w:r>
                    <w:rPr>
                      <w:color w:val="auto"/>
                      <w:szCs w:val="21"/>
                    </w:rPr>
                    <w:t>按要求执行。</w:t>
                  </w:r>
                </w:p>
              </w:tc>
              <w:tc>
                <w:tcPr>
                  <w:tcW w:w="481" w:type="pct"/>
                  <w:vAlign w:val="center"/>
                </w:tcPr>
                <w:p w14:paraId="0EA24587">
                  <w:pPr>
                    <w:topLinePunct/>
                    <w:jc w:val="center"/>
                    <w:rPr>
                      <w:color w:val="auto"/>
                      <w:szCs w:val="21"/>
                    </w:rPr>
                  </w:pPr>
                  <w:r>
                    <w:rPr>
                      <w:color w:val="auto"/>
                      <w:szCs w:val="21"/>
                    </w:rPr>
                    <w:t>符合</w:t>
                  </w:r>
                </w:p>
              </w:tc>
            </w:tr>
            <w:tr w14:paraId="7FD6F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2" w:hRule="atLeast"/>
                <w:jc w:val="center"/>
              </w:trPr>
              <w:tc>
                <w:tcPr>
                  <w:tcW w:w="310" w:type="pct"/>
                  <w:vMerge w:val="continue"/>
                  <w:vAlign w:val="center"/>
                </w:tcPr>
                <w:p w14:paraId="1E9944EE">
                  <w:pPr>
                    <w:topLinePunct/>
                    <w:jc w:val="center"/>
                    <w:rPr>
                      <w:b/>
                      <w:bCs/>
                      <w:color w:val="auto"/>
                      <w:szCs w:val="21"/>
                      <w:highlight w:val="yellow"/>
                    </w:rPr>
                  </w:pPr>
                </w:p>
              </w:tc>
              <w:tc>
                <w:tcPr>
                  <w:tcW w:w="322" w:type="pct"/>
                  <w:vMerge w:val="continue"/>
                  <w:vAlign w:val="center"/>
                </w:tcPr>
                <w:p w14:paraId="78F628F0">
                  <w:pPr>
                    <w:topLinePunct/>
                    <w:jc w:val="center"/>
                    <w:rPr>
                      <w:b/>
                      <w:bCs/>
                      <w:color w:val="auto"/>
                      <w:szCs w:val="21"/>
                    </w:rPr>
                  </w:pPr>
                </w:p>
              </w:tc>
              <w:tc>
                <w:tcPr>
                  <w:tcW w:w="2194" w:type="pct"/>
                  <w:vAlign w:val="center"/>
                </w:tcPr>
                <w:p w14:paraId="168D852A">
                  <w:pPr>
                    <w:topLinePunct/>
                    <w:jc w:val="center"/>
                    <w:rPr>
                      <w:color w:val="auto"/>
                      <w:szCs w:val="21"/>
                    </w:rPr>
                  </w:pPr>
                  <w:r>
                    <w:rPr>
                      <w:color w:val="auto"/>
                      <w:szCs w:val="21"/>
                    </w:rPr>
                    <w:t>3.调整能源利用结构，控制煤炭消费量，实现减量化，鼓励使用清洁能源、新能源和可再生能源。</w:t>
                  </w:r>
                </w:p>
              </w:tc>
              <w:tc>
                <w:tcPr>
                  <w:tcW w:w="1690" w:type="pct"/>
                  <w:vAlign w:val="center"/>
                </w:tcPr>
                <w:p w14:paraId="4E3A470B">
                  <w:pPr>
                    <w:topLinePunct/>
                    <w:jc w:val="center"/>
                    <w:rPr>
                      <w:color w:val="auto"/>
                      <w:szCs w:val="21"/>
                    </w:rPr>
                  </w:pPr>
                  <w:r>
                    <w:rPr>
                      <w:color w:val="auto"/>
                      <w:szCs w:val="21"/>
                    </w:rPr>
                    <w:t>按要求执行。</w:t>
                  </w:r>
                </w:p>
              </w:tc>
              <w:tc>
                <w:tcPr>
                  <w:tcW w:w="481" w:type="pct"/>
                  <w:vAlign w:val="center"/>
                </w:tcPr>
                <w:p w14:paraId="2CC43FF9">
                  <w:pPr>
                    <w:topLinePunct/>
                    <w:jc w:val="center"/>
                    <w:rPr>
                      <w:color w:val="auto"/>
                      <w:szCs w:val="21"/>
                    </w:rPr>
                  </w:pPr>
                  <w:r>
                    <w:rPr>
                      <w:color w:val="auto"/>
                      <w:szCs w:val="21"/>
                    </w:rPr>
                    <w:t>符合</w:t>
                  </w:r>
                </w:p>
              </w:tc>
            </w:tr>
          </w:tbl>
          <w:p w14:paraId="74FB52C0">
            <w:pPr>
              <w:pStyle w:val="17"/>
              <w:snapToGrid w:val="0"/>
              <w:spacing w:before="0" w:beforeAutospacing="0" w:after="0" w:afterAutospacing="0" w:line="360" w:lineRule="auto"/>
              <w:ind w:left="105" w:leftChars="50" w:right="105" w:rightChars="50" w:firstLine="480" w:firstLineChars="200"/>
              <w:jc w:val="both"/>
              <w:rPr>
                <w:rFonts w:ascii="Times New Roman" w:hAnsi="Times New Roman"/>
                <w:color w:val="auto"/>
                <w:highlight w:val="yellow"/>
              </w:rPr>
            </w:pPr>
          </w:p>
        </w:tc>
      </w:tr>
      <w:bookmarkEnd w:id="0"/>
      <w:tr w14:paraId="357502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527" w:hRule="atLeast"/>
          <w:jc w:val="center"/>
        </w:trPr>
        <w:tc>
          <w:tcPr>
            <w:tcW w:w="1043" w:type="pct"/>
            <w:tcMar>
              <w:top w:w="16" w:type="dxa"/>
              <w:left w:w="16" w:type="dxa"/>
              <w:right w:w="16" w:type="dxa"/>
            </w:tcMar>
            <w:vAlign w:val="center"/>
          </w:tcPr>
          <w:p w14:paraId="3B5784FB">
            <w:pPr>
              <w:autoSpaceDE w:val="0"/>
              <w:autoSpaceDN w:val="0"/>
              <w:jc w:val="center"/>
              <w:rPr>
                <w:color w:val="auto"/>
                <w:kern w:val="0"/>
                <w:szCs w:val="21"/>
                <w:highlight w:val="yellow"/>
              </w:rPr>
            </w:pPr>
          </w:p>
        </w:tc>
        <w:tc>
          <w:tcPr>
            <w:tcW w:w="3956" w:type="pct"/>
            <w:gridSpan w:val="3"/>
            <w:tcMar>
              <w:top w:w="16" w:type="dxa"/>
              <w:left w:w="16" w:type="dxa"/>
              <w:right w:w="16" w:type="dxa"/>
            </w:tcMar>
            <w:vAlign w:val="center"/>
          </w:tcPr>
          <w:p w14:paraId="27955F8F">
            <w:pPr>
              <w:pStyle w:val="9"/>
              <w:numPr>
                <w:ilvl w:val="0"/>
                <w:numId w:val="0"/>
              </w:numPr>
              <w:spacing w:line="360" w:lineRule="auto"/>
              <w:ind w:left="105" w:leftChars="50" w:right="105" w:rightChars="50" w:firstLine="482" w:firstLineChars="200"/>
              <w:rPr>
                <w:b/>
                <w:bCs/>
                <w:color w:val="auto"/>
                <w:kern w:val="0"/>
                <w:sz w:val="24"/>
              </w:rPr>
            </w:pPr>
            <w:r>
              <w:rPr>
                <w:b/>
                <w:bCs/>
                <w:color w:val="auto"/>
                <w:kern w:val="0"/>
                <w:sz w:val="24"/>
              </w:rPr>
              <w:t>四</w:t>
            </w:r>
            <w:r>
              <w:rPr>
                <w:rFonts w:ascii="Times New Roman" w:hAnsi="Times New Roman" w:eastAsia="宋体" w:cs="Times New Roman"/>
                <w:b/>
                <w:bCs/>
                <w:color w:val="auto"/>
                <w:kern w:val="0"/>
                <w:sz w:val="24"/>
              </w:rPr>
              <w:t>、</w:t>
            </w:r>
            <w:r>
              <w:rPr>
                <w:rFonts w:hint="eastAsia" w:ascii="Times New Roman" w:hAnsi="Times New Roman" w:eastAsia="宋体" w:cs="Times New Roman"/>
                <w:b/>
                <w:bCs/>
                <w:color w:val="auto"/>
                <w:kern w:val="0"/>
                <w:sz w:val="24"/>
              </w:rPr>
              <w:t>相关生态环境保护法律法规政策、生态环境保护规划的符合性</w:t>
            </w:r>
            <w:r>
              <w:rPr>
                <w:rFonts w:hint="eastAsia" w:ascii="Times New Roman" w:hAnsi="Times New Roman" w:eastAsia="宋体" w:cs="Times New Roman"/>
                <w:b/>
                <w:bCs/>
                <w:color w:val="auto"/>
                <w:kern w:val="0"/>
                <w:sz w:val="24"/>
                <w:lang w:eastAsia="zh-CN"/>
              </w:rPr>
              <w:t>分析</w:t>
            </w:r>
          </w:p>
          <w:p w14:paraId="498DB950">
            <w:pPr>
              <w:widowControl/>
              <w:spacing w:line="360" w:lineRule="auto"/>
              <w:ind w:left="105" w:leftChars="50" w:right="105" w:rightChars="50" w:firstLine="480" w:firstLineChars="200"/>
              <w:rPr>
                <w:color w:val="auto"/>
                <w:sz w:val="24"/>
              </w:rPr>
            </w:pPr>
            <w:r>
              <w:rPr>
                <w:color w:val="auto"/>
                <w:kern w:val="0"/>
                <w:sz w:val="24"/>
                <w:lang w:bidi="ar"/>
              </w:rPr>
              <w:t>1、《淄博市水利发展“十四五”规划》</w:t>
            </w:r>
          </w:p>
          <w:p w14:paraId="5D0B13B1">
            <w:pPr>
              <w:spacing w:line="360" w:lineRule="auto"/>
              <w:ind w:firstLine="480" w:firstLineChars="200"/>
              <w:rPr>
                <w:color w:val="auto"/>
                <w:sz w:val="24"/>
              </w:rPr>
            </w:pPr>
            <w:r>
              <w:rPr>
                <w:color w:val="auto"/>
                <w:sz w:val="24"/>
              </w:rPr>
              <w:t>本项目与</w:t>
            </w:r>
            <w:r>
              <w:rPr>
                <w:color w:val="auto"/>
                <w:kern w:val="0"/>
                <w:sz w:val="24"/>
                <w:lang w:bidi="ar"/>
              </w:rPr>
              <w:t>《淄博市水利发展“十四五”规划》</w:t>
            </w:r>
            <w:r>
              <w:rPr>
                <w:color w:val="auto"/>
                <w:sz w:val="24"/>
              </w:rPr>
              <w:t>符合性分析见表1-2。</w:t>
            </w:r>
          </w:p>
          <w:p w14:paraId="0CFF6125">
            <w:pPr>
              <w:jc w:val="center"/>
              <w:rPr>
                <w:b/>
                <w:color w:val="auto"/>
                <w:sz w:val="24"/>
              </w:rPr>
            </w:pPr>
            <w:r>
              <w:rPr>
                <w:b/>
                <w:color w:val="auto"/>
                <w:szCs w:val="21"/>
              </w:rPr>
              <w:t>表1-2  项目与</w:t>
            </w:r>
            <w:r>
              <w:rPr>
                <w:b/>
                <w:color w:val="auto"/>
                <w:kern w:val="0"/>
                <w:szCs w:val="21"/>
                <w:lang w:bidi="ar"/>
              </w:rPr>
              <w:t>《淄博市水利发展“十四五”规划》</w:t>
            </w:r>
            <w:r>
              <w:rPr>
                <w:b/>
                <w:color w:val="auto"/>
                <w:szCs w:val="21"/>
              </w:rPr>
              <w:t>符合性分析</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3501"/>
              <w:gridCol w:w="3115"/>
            </w:tblGrid>
            <w:tr w14:paraId="51DA7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834" w:type="pct"/>
                  <w:gridSpan w:val="2"/>
                  <w:vAlign w:val="center"/>
                </w:tcPr>
                <w:p w14:paraId="3C3E74E0">
                  <w:pPr>
                    <w:jc w:val="center"/>
                    <w:rPr>
                      <w:b/>
                      <w:color w:val="auto"/>
                      <w:szCs w:val="21"/>
                    </w:rPr>
                  </w:pPr>
                  <w:r>
                    <w:rPr>
                      <w:b/>
                      <w:color w:val="auto"/>
                      <w:szCs w:val="21"/>
                    </w:rPr>
                    <w:t>文件要求</w:t>
                  </w:r>
                </w:p>
              </w:tc>
              <w:tc>
                <w:tcPr>
                  <w:tcW w:w="2165" w:type="pct"/>
                  <w:vAlign w:val="center"/>
                </w:tcPr>
                <w:p w14:paraId="43168433">
                  <w:pPr>
                    <w:jc w:val="center"/>
                    <w:rPr>
                      <w:b/>
                      <w:color w:val="auto"/>
                      <w:szCs w:val="21"/>
                    </w:rPr>
                  </w:pPr>
                  <w:r>
                    <w:rPr>
                      <w:b/>
                      <w:color w:val="auto"/>
                      <w:szCs w:val="21"/>
                    </w:rPr>
                    <w:t>符合性分析</w:t>
                  </w:r>
                </w:p>
              </w:tc>
            </w:tr>
            <w:tr w14:paraId="46148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Align w:val="center"/>
                </w:tcPr>
                <w:p w14:paraId="44E0CC21">
                  <w:pPr>
                    <w:jc w:val="left"/>
                    <w:rPr>
                      <w:bCs/>
                      <w:color w:val="auto"/>
                      <w:szCs w:val="21"/>
                    </w:rPr>
                  </w:pPr>
                  <w:r>
                    <w:rPr>
                      <w:bCs/>
                      <w:color w:val="auto"/>
                      <w:szCs w:val="21"/>
                    </w:rPr>
                    <w:t>防洪抗旱减灾目标</w:t>
                  </w:r>
                </w:p>
              </w:tc>
              <w:tc>
                <w:tcPr>
                  <w:tcW w:w="2432" w:type="pct"/>
                  <w:vAlign w:val="center"/>
                </w:tcPr>
                <w:p w14:paraId="7F03F1DD">
                  <w:pPr>
                    <w:jc w:val="left"/>
                    <w:rPr>
                      <w:bCs/>
                      <w:color w:val="auto"/>
                      <w:szCs w:val="21"/>
                    </w:rPr>
                  </w:pPr>
                  <w:r>
                    <w:rPr>
                      <w:bCs/>
                      <w:color w:val="auto"/>
                      <w:szCs w:val="21"/>
                    </w:rPr>
                    <w:t>实施“防洪水、排涝水”重点提升工程，进一步提升主要骨干河道重要基础设施、重要产业园区段防洪标准，到2025年，流域面积200平方公里以上骨干河道达到规划确定的防洪标准，重点河段由20～50年一遇提高到50～100年一遇；流域面积200平方公里以下河道防洪标准由5～10年一遇提高到10～20年一遇；低洼易涝地区排涝标准达到5～10年一遇；重要工业园区防洪标准由20～50年一遇提高到50～100年一遇；人口密集城镇、重要基础设施等区域防洪标准20年一遇提高到50年一遇；山洪灾害重点区域基本形成非工程措施与工程措施相结合的综合防御体系，城市防洪排涝及应对极端天气能力明显增强。到2035年，市域内河流均满足相应防洪标准要求，病险水库、水闸基本完成除险加固。</w:t>
                  </w:r>
                </w:p>
              </w:tc>
              <w:tc>
                <w:tcPr>
                  <w:tcW w:w="2165" w:type="pct"/>
                  <w:vAlign w:val="center"/>
                </w:tcPr>
                <w:p w14:paraId="5562B05B">
                  <w:pPr>
                    <w:jc w:val="left"/>
                    <w:rPr>
                      <w:b/>
                      <w:color w:val="auto"/>
                      <w:szCs w:val="21"/>
                      <w:highlight w:val="yellow"/>
                    </w:rPr>
                  </w:pPr>
                  <w:r>
                    <w:rPr>
                      <w:bCs/>
                      <w:color w:val="auto"/>
                      <w:szCs w:val="21"/>
                    </w:rPr>
                    <w:t>本项目为对淄博经济开发区内</w:t>
                  </w:r>
                  <w:r>
                    <w:rPr>
                      <w:rFonts w:hint="eastAsia"/>
                      <w:bCs/>
                      <w:color w:val="auto"/>
                    </w:rPr>
                    <w:t>涝淄河、漫泗河、东猪龙河上游东西支等中小河流综合治理工程，对瓦村沟、暖水河、焕然河、三泉沟、白蛇沟、袁家河、天津路排涝沟、小旦村大高村排涝沟等排涝河道提升治理工程</w:t>
                  </w:r>
                  <w:r>
                    <w:rPr>
                      <w:bCs/>
                      <w:color w:val="auto"/>
                      <w:szCs w:val="21"/>
                    </w:rPr>
                    <w:t>，符合文件要求。</w:t>
                  </w:r>
                </w:p>
              </w:tc>
            </w:tr>
            <w:tr w14:paraId="0D91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9" w:hRule="atLeast"/>
                <w:jc w:val="center"/>
              </w:trPr>
              <w:tc>
                <w:tcPr>
                  <w:tcW w:w="401" w:type="pct"/>
                  <w:vMerge w:val="restart"/>
                  <w:vAlign w:val="center"/>
                </w:tcPr>
                <w:p w14:paraId="1C0C5DEA">
                  <w:pPr>
                    <w:jc w:val="left"/>
                    <w:rPr>
                      <w:bCs/>
                      <w:color w:val="auto"/>
                      <w:szCs w:val="21"/>
                    </w:rPr>
                  </w:pPr>
                  <w:r>
                    <w:rPr>
                      <w:bCs/>
                      <w:color w:val="auto"/>
                      <w:szCs w:val="21"/>
                    </w:rPr>
                    <w:t>完善中小河流治理</w:t>
                  </w:r>
                </w:p>
              </w:tc>
              <w:tc>
                <w:tcPr>
                  <w:tcW w:w="2432" w:type="pct"/>
                  <w:vAlign w:val="center"/>
                </w:tcPr>
                <w:p w14:paraId="217B9A39">
                  <w:pPr>
                    <w:jc w:val="left"/>
                    <w:rPr>
                      <w:bCs/>
                      <w:color w:val="auto"/>
                      <w:szCs w:val="21"/>
                    </w:rPr>
                  </w:pPr>
                  <w:r>
                    <w:rPr>
                      <w:bCs/>
                      <w:color w:val="auto"/>
                      <w:szCs w:val="21"/>
                    </w:rPr>
                    <w:t>继续实施流域面积200平方公里以上的骨干河道治理。推进实施流域面积200平方公里以上骨干河道防洪治理，确保标准内洪水得到有效防御。通过扩挖疏浚、增设防洪墙等措施进一步提升人口密集区、重要基础设施、重要产业园区段河道防洪标准，增强应对极端天气防洪能力；加快实施沂河（沂源县段）治理、乌河（临淄区段、高新区段）治理、淄河（博山区段）治理等工程，实现河道系统治理防洪能力全面提升；适时开展孝妇河（淄川区、博山区城区段）、淄河（临淄城区段）、东猪龙河、胜利河、支脉河等河道提升工程，重点提升齐鲁化学工业区、桓台县马桥化工产业园、东岳氟硅材料产业园、高青化工产业园和人口密集区等河段防洪标准，由20～50年一遇提高到50～100年一遇。</w:t>
                  </w:r>
                </w:p>
              </w:tc>
              <w:tc>
                <w:tcPr>
                  <w:tcW w:w="2165" w:type="pct"/>
                  <w:vAlign w:val="center"/>
                </w:tcPr>
                <w:p w14:paraId="1DD849BC">
                  <w:pPr>
                    <w:jc w:val="left"/>
                    <w:rPr>
                      <w:bCs/>
                      <w:color w:val="auto"/>
                      <w:szCs w:val="21"/>
                      <w:highlight w:val="yellow"/>
                    </w:rPr>
                  </w:pPr>
                  <w:r>
                    <w:rPr>
                      <w:bCs/>
                      <w:color w:val="auto"/>
                      <w:szCs w:val="21"/>
                    </w:rPr>
                    <w:t>本项目为对淄博经济开发区内</w:t>
                  </w:r>
                  <w:r>
                    <w:rPr>
                      <w:rFonts w:hint="eastAsia"/>
                      <w:bCs/>
                      <w:color w:val="auto"/>
                    </w:rPr>
                    <w:t>涝淄河、漫泗河、东猪龙河上游东西支等中小河流综合治理工程，对瓦村沟、暖水河、焕然河、三泉沟、白蛇沟、袁家河、天津路排涝沟、小旦村大高村排涝沟等排涝河道提升治理工程</w:t>
                  </w:r>
                  <w:r>
                    <w:rPr>
                      <w:bCs/>
                      <w:color w:val="auto"/>
                      <w:szCs w:val="21"/>
                    </w:rPr>
                    <w:t>，符合文件要求。</w:t>
                  </w:r>
                </w:p>
              </w:tc>
            </w:tr>
            <w:tr w14:paraId="610C3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401" w:type="pct"/>
                  <w:vMerge w:val="continue"/>
                  <w:vAlign w:val="center"/>
                </w:tcPr>
                <w:p w14:paraId="2201217F">
                  <w:pPr>
                    <w:jc w:val="left"/>
                    <w:rPr>
                      <w:bCs/>
                      <w:color w:val="auto"/>
                      <w:szCs w:val="21"/>
                      <w:highlight w:val="yellow"/>
                    </w:rPr>
                  </w:pPr>
                </w:p>
              </w:tc>
              <w:tc>
                <w:tcPr>
                  <w:tcW w:w="2432" w:type="pct"/>
                  <w:vAlign w:val="center"/>
                </w:tcPr>
                <w:p w14:paraId="206EB9AA">
                  <w:pPr>
                    <w:jc w:val="left"/>
                    <w:rPr>
                      <w:bCs/>
                      <w:color w:val="auto"/>
                      <w:szCs w:val="21"/>
                    </w:rPr>
                  </w:pPr>
                  <w:r>
                    <w:rPr>
                      <w:bCs/>
                      <w:color w:val="auto"/>
                      <w:szCs w:val="21"/>
                    </w:rPr>
                    <w:t>加快流域面积50～200平方公里的中小河流治理。对流域面积50～200平方公里的中小河流，沿线有重要城镇和人口较为集中的农村居民点、工矿区、万亩以上集中连片基本农田的重点河段优先实施治理，重点对近年来因遭遇洪水冲毁、发生过较大洪涝灾害的中小河流开展提标建设。推进涝淄河（张店区段）、周村区淦河、淄川区田庄支流等流域面积为50～200平方公里的中小河流治理。对近年来发生过洪涝灾害、迫切需要治理的流域面积50平方公里以下农村河道，结合农村水系整治进行疏挖整治，提升河道行洪能力。</w:t>
                  </w:r>
                </w:p>
              </w:tc>
              <w:tc>
                <w:tcPr>
                  <w:tcW w:w="2165" w:type="pct"/>
                  <w:vAlign w:val="center"/>
                </w:tcPr>
                <w:p w14:paraId="52D56EE5">
                  <w:pPr>
                    <w:jc w:val="left"/>
                    <w:rPr>
                      <w:bCs/>
                      <w:color w:val="auto"/>
                      <w:szCs w:val="21"/>
                      <w:highlight w:val="yellow"/>
                    </w:rPr>
                  </w:pPr>
                  <w:r>
                    <w:rPr>
                      <w:bCs/>
                      <w:color w:val="auto"/>
                      <w:szCs w:val="21"/>
                    </w:rPr>
                    <w:t>本项目为对淄博经济开发区内</w:t>
                  </w:r>
                  <w:r>
                    <w:rPr>
                      <w:rFonts w:hint="eastAsia"/>
                      <w:bCs/>
                      <w:color w:val="auto"/>
                    </w:rPr>
                    <w:t>涝淄河、漫泗河、东猪龙河上游东西支等中小河流综合治理工程，对瓦村沟、暖水河、焕然河、三泉沟、白蛇沟、袁家河、天津路排涝沟、小旦村大高村排涝沟等排涝河道提升治理工程</w:t>
                  </w:r>
                  <w:r>
                    <w:rPr>
                      <w:bCs/>
                      <w:color w:val="auto"/>
                      <w:szCs w:val="21"/>
                    </w:rPr>
                    <w:t>，符合文件要求。</w:t>
                  </w:r>
                </w:p>
              </w:tc>
            </w:tr>
            <w:tr w14:paraId="0D562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6" w:hRule="atLeast"/>
                <w:jc w:val="center"/>
              </w:trPr>
              <w:tc>
                <w:tcPr>
                  <w:tcW w:w="401" w:type="pct"/>
                  <w:vAlign w:val="center"/>
                </w:tcPr>
                <w:p w14:paraId="2C24E182">
                  <w:pPr>
                    <w:jc w:val="left"/>
                    <w:rPr>
                      <w:bCs/>
                      <w:color w:val="auto"/>
                      <w:szCs w:val="21"/>
                    </w:rPr>
                  </w:pPr>
                  <w:r>
                    <w:rPr>
                      <w:bCs/>
                      <w:color w:val="auto"/>
                      <w:szCs w:val="21"/>
                    </w:rPr>
                    <w:t>加强重点河湖生态保护与修复</w:t>
                  </w:r>
                </w:p>
              </w:tc>
              <w:tc>
                <w:tcPr>
                  <w:tcW w:w="2432" w:type="pct"/>
                  <w:vAlign w:val="center"/>
                </w:tcPr>
                <w:p w14:paraId="1DEBF90B">
                  <w:pPr>
                    <w:jc w:val="left"/>
                    <w:rPr>
                      <w:bCs/>
                      <w:color w:val="auto"/>
                      <w:szCs w:val="21"/>
                    </w:rPr>
                  </w:pPr>
                  <w:r>
                    <w:rPr>
                      <w:bCs/>
                      <w:color w:val="auto"/>
                      <w:szCs w:val="21"/>
                    </w:rPr>
                    <w:t>统筹考虑水资源、水灾害、水生态等问题，加强河湖水系综合整治和生态修复，重点推进实施孝妇河生态修复工程及淄川区、临淄区、桓台县、沂源县、高新区等区县美丽幸福河湖建设项目；结合中小河流治理工程及农村水系综合整治，推进沂河、淄河、乌河、北支新河、涝淄河、漫泗河、淦河等河湖生态保护与修复。</w:t>
                  </w:r>
                </w:p>
              </w:tc>
              <w:tc>
                <w:tcPr>
                  <w:tcW w:w="2165" w:type="pct"/>
                  <w:vAlign w:val="center"/>
                </w:tcPr>
                <w:p w14:paraId="00BDD30C">
                  <w:pPr>
                    <w:jc w:val="left"/>
                    <w:rPr>
                      <w:bCs/>
                      <w:color w:val="auto"/>
                      <w:szCs w:val="21"/>
                      <w:highlight w:val="yellow"/>
                    </w:rPr>
                  </w:pPr>
                  <w:r>
                    <w:rPr>
                      <w:bCs/>
                      <w:color w:val="auto"/>
                      <w:szCs w:val="21"/>
                    </w:rPr>
                    <w:t>本项目为对淄博经济开发区内</w:t>
                  </w:r>
                  <w:r>
                    <w:rPr>
                      <w:rFonts w:hint="eastAsia"/>
                      <w:bCs/>
                      <w:color w:val="auto"/>
                    </w:rPr>
                    <w:t>涝淄河、漫泗河、东猪龙河上游东西支等中小河流综合治理工程，对瓦村沟、暖水河、焕然河、三泉沟、白蛇沟、袁家河、天津路排涝沟、小旦村大高村排涝沟等排涝河道提升治理工程</w:t>
                  </w:r>
                  <w:r>
                    <w:rPr>
                      <w:bCs/>
                      <w:color w:val="auto"/>
                      <w:szCs w:val="21"/>
                    </w:rPr>
                    <w:t>，符合文件要求。</w:t>
                  </w:r>
                </w:p>
              </w:tc>
            </w:tr>
          </w:tbl>
          <w:p w14:paraId="3C593A36">
            <w:pPr>
              <w:widowControl/>
              <w:spacing w:line="360" w:lineRule="auto"/>
              <w:ind w:left="105" w:leftChars="50" w:right="105" w:rightChars="50" w:firstLine="480" w:firstLineChars="200"/>
              <w:rPr>
                <w:color w:val="auto"/>
                <w:sz w:val="24"/>
              </w:rPr>
            </w:pPr>
            <w:r>
              <w:rPr>
                <w:bCs/>
                <w:color w:val="auto"/>
                <w:sz w:val="24"/>
              </w:rPr>
              <w:t>综上，对照</w:t>
            </w:r>
            <w:r>
              <w:rPr>
                <w:color w:val="auto"/>
                <w:kern w:val="0"/>
                <w:sz w:val="24"/>
                <w:lang w:bidi="ar"/>
              </w:rPr>
              <w:t>《淄博市水利发展“十四五”规划》</w:t>
            </w:r>
            <w:r>
              <w:rPr>
                <w:bCs/>
                <w:color w:val="auto"/>
                <w:sz w:val="24"/>
              </w:rPr>
              <w:t>（淄政字〔2022〕110号），本项目符合</w:t>
            </w:r>
            <w:r>
              <w:rPr>
                <w:color w:val="auto"/>
                <w:kern w:val="0"/>
                <w:sz w:val="24"/>
                <w:lang w:bidi="ar"/>
              </w:rPr>
              <w:t>《淄博市水利发展“十四五”规划》文件</w:t>
            </w:r>
            <w:r>
              <w:rPr>
                <w:bCs/>
                <w:color w:val="auto"/>
                <w:sz w:val="24"/>
              </w:rPr>
              <w:t>要求</w:t>
            </w:r>
            <w:r>
              <w:rPr>
                <w:color w:val="auto"/>
                <w:kern w:val="0"/>
                <w:sz w:val="24"/>
                <w:lang w:bidi="ar"/>
              </w:rPr>
              <w:t>。</w:t>
            </w:r>
          </w:p>
          <w:p w14:paraId="0D301F8D">
            <w:pPr>
              <w:pStyle w:val="51"/>
              <w:ind w:firstLine="482" w:firstLineChars="200"/>
              <w:jc w:val="both"/>
              <w:rPr>
                <w:rFonts w:ascii="Times New Roman" w:hAnsi="Times New Roman" w:eastAsia="Times New Roman" w:cs="Times New Roman"/>
                <w:b w:val="0"/>
                <w:bCs w:val="0"/>
                <w:color w:val="auto"/>
                <w:kern w:val="2"/>
                <w:sz w:val="24"/>
                <w:szCs w:val="24"/>
                <w:highlight w:val="none"/>
                <w:lang w:bidi="ar"/>
              </w:rPr>
            </w:pPr>
            <w:r>
              <w:rPr>
                <w:rFonts w:hint="eastAsia" w:ascii="Times New Roman" w:hAnsi="Times New Roman" w:eastAsia="宋体" w:cs="Times New Roman"/>
                <w:color w:val="auto"/>
                <w:sz w:val="24"/>
                <w:highlight w:val="none"/>
                <w:lang w:val="en-US" w:eastAsia="zh-CN"/>
              </w:rPr>
              <w:t>2</w:t>
            </w:r>
            <w:r>
              <w:rPr>
                <w:rFonts w:ascii="Times New Roman" w:hAnsi="Times New Roman" w:eastAsia="Times New Roman" w:cs="Times New Roman"/>
                <w:color w:val="auto"/>
                <w:sz w:val="24"/>
                <w:highlight w:val="none"/>
              </w:rPr>
              <w:t>、与《水利建设项目（河湖整治与防洪除涝工程）环境影响评价文件审批原则（试行）》相符性分析</w:t>
            </w:r>
          </w:p>
          <w:p w14:paraId="0A372F28">
            <w:pPr>
              <w:pStyle w:val="52"/>
              <w:rPr>
                <w:rFonts w:eastAsia="Times New Roman" w:cs="Times New Roman"/>
                <w:color w:val="auto"/>
                <w:highlight w:val="none"/>
              </w:rPr>
            </w:pPr>
            <w:r>
              <w:rPr>
                <w:rFonts w:eastAsia="Times New Roman" w:cs="Times New Roman"/>
                <w:color w:val="auto"/>
                <w:highlight w:val="none"/>
              </w:rPr>
              <w:t>表1-</w:t>
            </w:r>
            <w:r>
              <w:rPr>
                <w:rFonts w:hint="eastAsia" w:eastAsia="宋体" w:cs="Times New Roman"/>
                <w:color w:val="auto"/>
                <w:highlight w:val="none"/>
                <w:lang w:val="en-US" w:eastAsia="zh-CN"/>
              </w:rPr>
              <w:t>3</w:t>
            </w:r>
            <w:r>
              <w:rPr>
                <w:rFonts w:eastAsia="Times New Roman" w:cs="Times New Roman"/>
                <w:color w:val="auto"/>
                <w:highlight w:val="none"/>
              </w:rPr>
              <w:t xml:space="preserve">  项目与《水利建设项目（河湖整治与防洪除涝工程）环境影响评价文件审批原则（试行）》符合性分析一览表</w:t>
            </w:r>
          </w:p>
          <w:tbl>
            <w:tblPr>
              <w:tblStyle w:val="20"/>
              <w:tblW w:w="48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3857"/>
              <w:gridCol w:w="3163"/>
            </w:tblGrid>
            <w:tr w14:paraId="089B9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0218B739">
                  <w:pPr>
                    <w:pStyle w:val="51"/>
                    <w:spacing w:line="240" w:lineRule="auto"/>
                    <w:rPr>
                      <w:rFonts w:ascii="Times New Roman" w:hAnsi="Times New Roman" w:eastAsia="Times New Roman" w:cs="Times New Roman"/>
                      <w:color w:val="auto"/>
                      <w:kern w:val="2"/>
                      <w:sz w:val="21"/>
                      <w:szCs w:val="21"/>
                      <w:highlight w:val="none"/>
                      <w:lang w:bidi="ar"/>
                    </w:rPr>
                  </w:pPr>
                  <w:r>
                    <w:rPr>
                      <w:rFonts w:ascii="Times New Roman" w:hAnsi="Times New Roman" w:eastAsia="Times New Roman" w:cs="Times New Roman"/>
                      <w:color w:val="auto"/>
                      <w:kern w:val="2"/>
                      <w:sz w:val="21"/>
                      <w:szCs w:val="21"/>
                      <w:highlight w:val="none"/>
                      <w:lang w:bidi="ar"/>
                    </w:rPr>
                    <w:t>文件要求</w:t>
                  </w:r>
                </w:p>
              </w:tc>
              <w:tc>
                <w:tcPr>
                  <w:tcW w:w="2252" w:type="pct"/>
                  <w:vAlign w:val="center"/>
                </w:tcPr>
                <w:p w14:paraId="0939C733">
                  <w:pPr>
                    <w:pStyle w:val="51"/>
                    <w:spacing w:line="240" w:lineRule="auto"/>
                    <w:rPr>
                      <w:rFonts w:ascii="Times New Roman" w:hAnsi="Times New Roman" w:eastAsia="Times New Roman" w:cs="Times New Roman"/>
                      <w:color w:val="auto"/>
                      <w:kern w:val="2"/>
                      <w:sz w:val="21"/>
                      <w:szCs w:val="21"/>
                      <w:highlight w:val="yellow"/>
                      <w:lang w:bidi="ar"/>
                    </w:rPr>
                  </w:pPr>
                  <w:r>
                    <w:rPr>
                      <w:rFonts w:ascii="Times New Roman" w:hAnsi="Times New Roman" w:eastAsia="Times New Roman" w:cs="Times New Roman"/>
                      <w:color w:val="auto"/>
                      <w:kern w:val="2"/>
                      <w:sz w:val="21"/>
                      <w:szCs w:val="21"/>
                      <w:highlight w:val="none"/>
                      <w:lang w:bidi="ar"/>
                    </w:rPr>
                    <w:t>项目情况</w:t>
                  </w:r>
                </w:p>
              </w:tc>
            </w:tr>
            <w:tr w14:paraId="0F7BE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2747" w:type="pct"/>
                  <w:vAlign w:val="center"/>
                </w:tcPr>
                <w:p w14:paraId="545F1653">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2252" w:type="pct"/>
                  <w:vAlign w:val="center"/>
                </w:tcPr>
                <w:p w14:paraId="5EE843BF">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符合环境保护相关法律法规和政策要求，与主体功能区规划、生态功能区划、水环境功能区划、水功能区划、生态环境保护规划、流域综合规划、防洪规划等相协调，满足相关规划要求；项目工程不涉及岸线调整（治导线变化）、裁弯取直、围垦水面等建设内容，项目临时占地不占用河湖滩地。</w:t>
                  </w:r>
                </w:p>
              </w:tc>
            </w:tr>
            <w:tr w14:paraId="58C42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1F8AC93B">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252" w:type="pct"/>
                  <w:vAlign w:val="center"/>
                </w:tcPr>
                <w:p w14:paraId="2A56A351">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项目工程选址、施工布置、临时用地不占用生态红线，与相关生态保护要求是相符的。</w:t>
                  </w:r>
                </w:p>
              </w:tc>
            </w:tr>
            <w:tr w14:paraId="03406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791EB17E">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项目实施改变水动力条件或水文过程且对水质产生不利影响的，提出了工程优化调整、科学调度、实施区域流域水污染防治等措施。对地下水环境产生不利影响或</w:t>
                  </w:r>
                  <w:r>
                    <w:rPr>
                      <w:rFonts w:hint="eastAsia" w:ascii="Times New Roman" w:hAnsi="Times New Roman" w:eastAsia="Times New Roman" w:cs="Times New Roman"/>
                      <w:b w:val="0"/>
                      <w:bCs w:val="0"/>
                      <w:color w:val="auto"/>
                      <w:kern w:val="2"/>
                      <w:sz w:val="21"/>
                      <w:szCs w:val="21"/>
                      <w:highlight w:val="none"/>
                      <w:lang w:bidi="ar"/>
                    </w:rPr>
                    <w:t>次生环境</w:t>
                  </w:r>
                  <w:r>
                    <w:rPr>
                      <w:rFonts w:ascii="Times New Roman" w:hAnsi="Times New Roman" w:eastAsia="Times New Roman" w:cs="Times New Roman"/>
                      <w:b w:val="0"/>
                      <w:bCs w:val="0"/>
                      <w:color w:val="auto"/>
                      <w:kern w:val="2"/>
                      <w:sz w:val="21"/>
                      <w:szCs w:val="21"/>
                      <w:highlight w:val="none"/>
                      <w:lang w:bidi="ar"/>
                    </w:rPr>
                    <w:t>影响的，提出了优化工程设计、导排、防护等针对性的防治措施。</w:t>
                  </w:r>
                </w:p>
              </w:tc>
              <w:tc>
                <w:tcPr>
                  <w:tcW w:w="2252" w:type="pct"/>
                  <w:vAlign w:val="center"/>
                </w:tcPr>
                <w:p w14:paraId="298C37AB">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hint="eastAsia" w:ascii="Times New Roman" w:hAnsi="Times New Roman" w:cs="Times New Roman"/>
                      <w:b w:val="0"/>
                      <w:bCs w:val="0"/>
                      <w:color w:val="auto"/>
                      <w:kern w:val="2"/>
                      <w:sz w:val="21"/>
                      <w:szCs w:val="21"/>
                      <w:highlight w:val="none"/>
                      <w:lang w:bidi="ar"/>
                    </w:rPr>
                    <w:t>项目的建</w:t>
                  </w:r>
                  <w:r>
                    <w:rPr>
                      <w:rFonts w:ascii="Times New Roman" w:hAnsi="Times New Roman" w:eastAsia="Times New Roman" w:cs="Times New Roman"/>
                      <w:b w:val="0"/>
                      <w:bCs w:val="0"/>
                      <w:color w:val="auto"/>
                      <w:kern w:val="2"/>
                      <w:sz w:val="21"/>
                      <w:szCs w:val="21"/>
                      <w:highlight w:val="none"/>
                      <w:lang w:bidi="ar"/>
                    </w:rPr>
                    <w:t>设不改变水动力条件或水文过程，对地下水不产生不利影响或</w:t>
                  </w:r>
                  <w:r>
                    <w:rPr>
                      <w:rFonts w:hint="eastAsia" w:ascii="Times New Roman" w:hAnsi="Times New Roman" w:eastAsia="Times New Roman" w:cs="Times New Roman"/>
                      <w:b w:val="0"/>
                      <w:bCs w:val="0"/>
                      <w:color w:val="auto"/>
                      <w:kern w:val="2"/>
                      <w:sz w:val="21"/>
                      <w:szCs w:val="21"/>
                      <w:highlight w:val="none"/>
                      <w:lang w:bidi="ar"/>
                    </w:rPr>
                    <w:t>次生环境</w:t>
                  </w:r>
                  <w:r>
                    <w:rPr>
                      <w:rFonts w:ascii="Times New Roman" w:hAnsi="Times New Roman" w:eastAsia="Times New Roman" w:cs="Times New Roman"/>
                      <w:b w:val="0"/>
                      <w:bCs w:val="0"/>
                      <w:color w:val="auto"/>
                      <w:kern w:val="2"/>
                      <w:sz w:val="21"/>
                      <w:szCs w:val="21"/>
                      <w:highlight w:val="none"/>
                      <w:lang w:bidi="ar"/>
                    </w:rPr>
                    <w:t>影响。</w:t>
                  </w:r>
                </w:p>
              </w:tc>
            </w:tr>
            <w:tr w14:paraId="431B3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5A04DC59">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项目对鱼类等水生生物的洄游通道及</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三场</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等重要生境、物种多样性及资源量等产生不利影响的，提出了下泄生态流量、恢复鱼类洄游通道、采用生态友好型护岸（坡、底）、生态修复、增殖放流等措施。</w:t>
                  </w:r>
                </w:p>
              </w:tc>
              <w:tc>
                <w:tcPr>
                  <w:tcW w:w="2252" w:type="pct"/>
                  <w:vAlign w:val="center"/>
                </w:tcPr>
                <w:p w14:paraId="078637E7">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项目建设地不涉及鱼类等水生生物的洄游通道及</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三场</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等重要生境</w:t>
                  </w:r>
                </w:p>
              </w:tc>
            </w:tr>
            <w:tr w14:paraId="7EA27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06F8AB44">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tc>
              <w:tc>
                <w:tcPr>
                  <w:tcW w:w="2252" w:type="pct"/>
                  <w:vAlign w:val="center"/>
                </w:tcPr>
                <w:p w14:paraId="0CCF0FEC">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本项目对现有河道进行</w:t>
                  </w:r>
                  <w:r>
                    <w:rPr>
                      <w:rFonts w:hint="eastAsia" w:ascii="Times New Roman" w:hAnsi="Times New Roman" w:eastAsia="Times New Roman" w:cs="Times New Roman"/>
                      <w:b w:val="0"/>
                      <w:bCs w:val="0"/>
                      <w:color w:val="auto"/>
                      <w:kern w:val="2"/>
                      <w:sz w:val="21"/>
                      <w:szCs w:val="21"/>
                      <w:highlight w:val="none"/>
                      <w:lang w:bidi="ar"/>
                    </w:rPr>
                    <w:t>底泥清理、垃圾清理、生态护岸、建设生态沟渠、新建控源截污污水管网等</w:t>
                  </w:r>
                  <w:r>
                    <w:rPr>
                      <w:rFonts w:ascii="Times New Roman" w:hAnsi="Times New Roman" w:eastAsia="Times New Roman" w:cs="Times New Roman"/>
                      <w:b w:val="0"/>
                      <w:bCs w:val="0"/>
                      <w:color w:val="auto"/>
                      <w:kern w:val="2"/>
                      <w:sz w:val="21"/>
                      <w:szCs w:val="21"/>
                      <w:highlight w:val="none"/>
                      <w:lang w:bidi="ar"/>
                    </w:rPr>
                    <w:t>工程措施，提升水质、保护和恢复河流生态系统。</w:t>
                  </w:r>
                  <w:r>
                    <w:rPr>
                      <w:rFonts w:hint="eastAsia" w:ascii="Times New Roman" w:hAnsi="Times New Roman" w:eastAsia="Times New Roman" w:cs="Times New Roman"/>
                      <w:b w:val="0"/>
                      <w:bCs w:val="0"/>
                      <w:color w:val="auto"/>
                      <w:kern w:val="2"/>
                      <w:sz w:val="21"/>
                      <w:szCs w:val="21"/>
                      <w:highlight w:val="none"/>
                      <w:lang w:bidi="ar"/>
                    </w:rPr>
                    <w:t>项目工程范围不涉及湿地及河湖生态缓冲带，无</w:t>
                  </w:r>
                  <w:r>
                    <w:rPr>
                      <w:rFonts w:ascii="Times New Roman" w:hAnsi="Times New Roman" w:eastAsia="Times New Roman" w:cs="Times New Roman"/>
                      <w:b w:val="0"/>
                      <w:bCs w:val="0"/>
                      <w:color w:val="auto"/>
                      <w:kern w:val="2"/>
                      <w:sz w:val="21"/>
                      <w:szCs w:val="21"/>
                      <w:highlight w:val="none"/>
                      <w:lang w:bidi="ar"/>
                    </w:rPr>
                    <w:t>珍稀濒危保护植物</w:t>
                  </w:r>
                  <w:r>
                    <w:rPr>
                      <w:rFonts w:hint="eastAsia" w:ascii="Times New Roman" w:hAnsi="Times New Roman" w:eastAsia="Times New Roman" w:cs="Times New Roman"/>
                      <w:b w:val="0"/>
                      <w:bCs w:val="0"/>
                      <w:color w:val="auto"/>
                      <w:kern w:val="2"/>
                      <w:sz w:val="21"/>
                      <w:szCs w:val="21"/>
                      <w:highlight w:val="none"/>
                      <w:lang w:bidi="ar"/>
                    </w:rPr>
                    <w:t>、</w:t>
                  </w:r>
                  <w:r>
                    <w:rPr>
                      <w:rFonts w:ascii="Times New Roman" w:hAnsi="Times New Roman" w:eastAsia="Times New Roman" w:cs="Times New Roman"/>
                      <w:b w:val="0"/>
                      <w:bCs w:val="0"/>
                      <w:color w:val="auto"/>
                      <w:kern w:val="2"/>
                      <w:sz w:val="21"/>
                      <w:szCs w:val="21"/>
                      <w:highlight w:val="none"/>
                      <w:lang w:bidi="ar"/>
                    </w:rPr>
                    <w:t>陆生珍稀濒危保护动物</w:t>
                  </w:r>
                  <w:r>
                    <w:rPr>
                      <w:rFonts w:hint="eastAsia" w:ascii="Times New Roman" w:hAnsi="Times New Roman" w:eastAsia="Times New Roman" w:cs="Times New Roman"/>
                      <w:b w:val="0"/>
                      <w:bCs w:val="0"/>
                      <w:color w:val="auto"/>
                      <w:kern w:val="2"/>
                      <w:sz w:val="21"/>
                      <w:szCs w:val="21"/>
                      <w:highlight w:val="none"/>
                      <w:lang w:bidi="ar"/>
                    </w:rPr>
                    <w:t>等。施工结束后对临时占地</w:t>
                  </w:r>
                  <w:r>
                    <w:rPr>
                      <w:rFonts w:ascii="Times New Roman" w:hAnsi="Times New Roman" w:eastAsia="Times New Roman" w:cs="Times New Roman"/>
                      <w:b w:val="0"/>
                      <w:bCs w:val="0"/>
                      <w:color w:val="auto"/>
                      <w:kern w:val="2"/>
                      <w:sz w:val="21"/>
                      <w:szCs w:val="21"/>
                      <w:highlight w:val="none"/>
                      <w:lang w:bidi="ar"/>
                    </w:rPr>
                    <w:t>采取生态恢复措施</w:t>
                  </w:r>
                  <w:r>
                    <w:rPr>
                      <w:rFonts w:hint="eastAsia" w:ascii="Times New Roman" w:hAnsi="Times New Roman" w:eastAsia="Times New Roman" w:cs="Times New Roman"/>
                      <w:b w:val="0"/>
                      <w:bCs w:val="0"/>
                      <w:color w:val="auto"/>
                      <w:kern w:val="2"/>
                      <w:sz w:val="21"/>
                      <w:szCs w:val="21"/>
                      <w:highlight w:val="none"/>
                      <w:lang w:bidi="ar"/>
                    </w:rPr>
                    <w:t>。</w:t>
                  </w:r>
                </w:p>
              </w:tc>
            </w:tr>
            <w:tr w14:paraId="132F4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39CB5368">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p>
              </w:tc>
              <w:tc>
                <w:tcPr>
                  <w:tcW w:w="2252" w:type="pct"/>
                  <w:vAlign w:val="center"/>
                </w:tcPr>
                <w:p w14:paraId="484B7E0B">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hint="eastAsia" w:ascii="Times New Roman" w:hAnsi="Times New Roman" w:eastAsia="Times New Roman" w:cs="Times New Roman"/>
                      <w:b w:val="0"/>
                      <w:bCs w:val="0"/>
                      <w:color w:val="auto"/>
                      <w:kern w:val="2"/>
                      <w:sz w:val="21"/>
                      <w:szCs w:val="21"/>
                      <w:highlight w:val="none"/>
                      <w:lang w:bidi="ar"/>
                    </w:rPr>
                    <w:t>本项目</w:t>
                  </w:r>
                  <w:r>
                    <w:rPr>
                      <w:rFonts w:ascii="Times New Roman" w:hAnsi="Times New Roman" w:eastAsia="Times New Roman" w:cs="Times New Roman"/>
                      <w:b w:val="0"/>
                      <w:bCs w:val="0"/>
                      <w:color w:val="auto"/>
                      <w:kern w:val="2"/>
                      <w:sz w:val="21"/>
                      <w:szCs w:val="21"/>
                      <w:highlight w:val="none"/>
                      <w:lang w:bidi="ar"/>
                    </w:rPr>
                    <w:t>对料场、弃土（渣）场等施工场地提出了水土流失防治和生态修复等措施</w:t>
                  </w:r>
                  <w:r>
                    <w:rPr>
                      <w:rFonts w:hint="eastAsia" w:ascii="Times New Roman" w:hAnsi="Times New Roman" w:cs="Times New Roman"/>
                      <w:b w:val="0"/>
                      <w:bCs w:val="0"/>
                      <w:color w:val="auto"/>
                      <w:kern w:val="2"/>
                      <w:sz w:val="21"/>
                      <w:szCs w:val="21"/>
                      <w:highlight w:val="none"/>
                      <w:lang w:bidi="ar"/>
                    </w:rPr>
                    <w:t>；</w:t>
                  </w:r>
                  <w:r>
                    <w:rPr>
                      <w:rFonts w:ascii="Times New Roman" w:hAnsi="Times New Roman" w:eastAsia="Times New Roman" w:cs="Times New Roman"/>
                      <w:b w:val="0"/>
                      <w:bCs w:val="0"/>
                      <w:color w:val="auto"/>
                      <w:kern w:val="2"/>
                      <w:sz w:val="21"/>
                      <w:szCs w:val="21"/>
                      <w:highlight w:val="none"/>
                      <w:lang w:bidi="ar"/>
                    </w:rPr>
                    <w:t>对施工期各类废（污）水、扬尘、废气、噪声、固体废物等提出了防治或处置措施</w:t>
                  </w:r>
                  <w:r>
                    <w:rPr>
                      <w:rFonts w:hint="eastAsia" w:ascii="Times New Roman" w:hAnsi="Times New Roman" w:cs="Times New Roman"/>
                      <w:b w:val="0"/>
                      <w:bCs w:val="0"/>
                      <w:color w:val="auto"/>
                      <w:kern w:val="2"/>
                      <w:sz w:val="21"/>
                      <w:szCs w:val="21"/>
                      <w:highlight w:val="none"/>
                      <w:lang w:bidi="ar"/>
                    </w:rPr>
                    <w:t>；本项目不涉及饮用水水源保护区或取水口；优化施工方案，减少对水生生态环境的影响。</w:t>
                  </w:r>
                </w:p>
              </w:tc>
            </w:tr>
            <w:tr w14:paraId="1CF04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18CA8694">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项目移民安置的选址和建设方式具有环境合理性，提出了生态保护、污水处理、固体废物处置等措施。</w:t>
                  </w:r>
                </w:p>
              </w:tc>
              <w:tc>
                <w:tcPr>
                  <w:tcW w:w="2252" w:type="pct"/>
                  <w:vAlign w:val="center"/>
                </w:tcPr>
                <w:p w14:paraId="2C99A233">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项目不涉及</w:t>
                  </w:r>
                  <w:r>
                    <w:rPr>
                      <w:rFonts w:hint="eastAsia" w:ascii="Times New Roman" w:hAnsi="Times New Roman" w:eastAsia="Times New Roman" w:cs="Times New Roman"/>
                      <w:b w:val="0"/>
                      <w:bCs w:val="0"/>
                      <w:color w:val="auto"/>
                      <w:kern w:val="2"/>
                      <w:sz w:val="21"/>
                      <w:szCs w:val="21"/>
                      <w:highlight w:val="none"/>
                      <w:lang w:bidi="ar"/>
                    </w:rPr>
                    <w:t>新增</w:t>
                  </w:r>
                  <w:r>
                    <w:rPr>
                      <w:rFonts w:ascii="Times New Roman" w:hAnsi="Times New Roman" w:eastAsia="Times New Roman" w:cs="Times New Roman"/>
                      <w:b w:val="0"/>
                      <w:bCs w:val="0"/>
                      <w:color w:val="auto"/>
                      <w:kern w:val="2"/>
                      <w:sz w:val="21"/>
                      <w:szCs w:val="21"/>
                      <w:highlight w:val="none"/>
                      <w:lang w:bidi="ar"/>
                    </w:rPr>
                    <w:t>永久占地，工程临时占地已对</w:t>
                  </w:r>
                  <w:r>
                    <w:rPr>
                      <w:rFonts w:hint="eastAsia" w:ascii="Times New Roman" w:hAnsi="Times New Roman" w:eastAsia="宋体" w:cs="Times New Roman"/>
                      <w:b w:val="0"/>
                      <w:bCs w:val="0"/>
                      <w:color w:val="auto"/>
                      <w:kern w:val="2"/>
                      <w:sz w:val="21"/>
                      <w:szCs w:val="21"/>
                      <w:highlight w:val="none"/>
                      <w:lang w:eastAsia="zh-CN" w:bidi="ar"/>
                    </w:rPr>
                    <w:t>周边</w:t>
                  </w:r>
                  <w:r>
                    <w:rPr>
                      <w:rFonts w:ascii="Times New Roman" w:hAnsi="Times New Roman" w:eastAsia="Times New Roman" w:cs="Times New Roman"/>
                      <w:b w:val="0"/>
                      <w:bCs w:val="0"/>
                      <w:color w:val="auto"/>
                      <w:kern w:val="2"/>
                      <w:sz w:val="21"/>
                      <w:szCs w:val="21"/>
                      <w:highlight w:val="none"/>
                      <w:lang w:bidi="ar"/>
                    </w:rPr>
                    <w:t>居民妥善安置</w:t>
                  </w:r>
                </w:p>
              </w:tc>
            </w:tr>
            <w:tr w14:paraId="36090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49FF70E4">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项目存在河湖水质污染、富营养化或外来物种入侵等环境风险的，提出了针对性的风险防范措施以及环境应急预案编制、建立必要的应急联动机制等要求。</w:t>
                  </w:r>
                </w:p>
              </w:tc>
              <w:tc>
                <w:tcPr>
                  <w:tcW w:w="2252" w:type="pct"/>
                  <w:vAlign w:val="center"/>
                </w:tcPr>
                <w:p w14:paraId="679ABB1C">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项目的建设不会导致河湖水质污染、富营养化或外来物种入侵等。</w:t>
                  </w:r>
                </w:p>
              </w:tc>
            </w:tr>
            <w:tr w14:paraId="213AF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83" w:hRule="atLeast"/>
                <w:jc w:val="center"/>
              </w:trPr>
              <w:tc>
                <w:tcPr>
                  <w:tcW w:w="2747" w:type="pct"/>
                  <w:vAlign w:val="center"/>
                </w:tcPr>
                <w:p w14:paraId="13EB38BC">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改、扩建项目在全面梳理了与项目有关的现有工程环境问题基础上，提出了与项目相适应的</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以新带老</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措施。</w:t>
                  </w:r>
                </w:p>
              </w:tc>
              <w:tc>
                <w:tcPr>
                  <w:tcW w:w="2252" w:type="pct"/>
                  <w:vAlign w:val="center"/>
                </w:tcPr>
                <w:p w14:paraId="41EC4C61">
                  <w:pPr>
                    <w:pStyle w:val="51"/>
                    <w:spacing w:line="240" w:lineRule="auto"/>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项目属于</w:t>
                  </w:r>
                  <w:r>
                    <w:rPr>
                      <w:rFonts w:hint="eastAsia" w:ascii="Times New Roman" w:hAnsi="Times New Roman" w:eastAsia="Times New Roman" w:cs="Times New Roman"/>
                      <w:b w:val="0"/>
                      <w:bCs w:val="0"/>
                      <w:color w:val="auto"/>
                      <w:kern w:val="2"/>
                      <w:sz w:val="21"/>
                      <w:szCs w:val="21"/>
                      <w:highlight w:val="none"/>
                      <w:lang w:bidi="ar"/>
                    </w:rPr>
                    <w:t>新建项目</w:t>
                  </w:r>
                  <w:r>
                    <w:rPr>
                      <w:rFonts w:ascii="Times New Roman" w:hAnsi="Times New Roman" w:eastAsia="Times New Roman" w:cs="Times New Roman"/>
                      <w:b w:val="0"/>
                      <w:bCs w:val="0"/>
                      <w:color w:val="auto"/>
                      <w:kern w:val="2"/>
                      <w:sz w:val="21"/>
                      <w:szCs w:val="21"/>
                      <w:highlight w:val="none"/>
                      <w:lang w:bidi="ar"/>
                    </w:rPr>
                    <w:t>。</w:t>
                  </w:r>
                </w:p>
              </w:tc>
            </w:tr>
          </w:tbl>
          <w:p w14:paraId="6DD74544">
            <w:pPr>
              <w:autoSpaceDE w:val="0"/>
              <w:autoSpaceDN w:val="0"/>
              <w:spacing w:line="360" w:lineRule="auto"/>
              <w:ind w:firstLine="482" w:firstLineChars="200"/>
              <w:rPr>
                <w:rFonts w:eastAsia="Times New Roman"/>
                <w:b/>
                <w:bCs/>
                <w:color w:val="auto"/>
                <w:kern w:val="0"/>
                <w:sz w:val="24"/>
                <w:highlight w:val="none"/>
              </w:rPr>
            </w:pPr>
            <w:r>
              <w:rPr>
                <w:rFonts w:hint="eastAsia" w:eastAsia="宋体"/>
                <w:b/>
                <w:bCs/>
                <w:color w:val="auto"/>
                <w:kern w:val="0"/>
                <w:sz w:val="24"/>
                <w:highlight w:val="none"/>
                <w:lang w:val="en-US" w:eastAsia="zh-CN"/>
              </w:rPr>
              <w:t>3</w:t>
            </w:r>
            <w:r>
              <w:rPr>
                <w:rFonts w:eastAsia="Times New Roman"/>
                <w:b/>
                <w:bCs/>
                <w:color w:val="auto"/>
                <w:kern w:val="0"/>
                <w:sz w:val="24"/>
                <w:highlight w:val="none"/>
              </w:rPr>
              <w:t>、与《关于印发山东省扬尘污染综合整治方案的通知》（鲁环发〔2019〕112号）符合性分析</w:t>
            </w:r>
          </w:p>
          <w:p w14:paraId="76892A3A">
            <w:pPr>
              <w:autoSpaceDE w:val="0"/>
              <w:autoSpaceDN w:val="0"/>
              <w:jc w:val="center"/>
              <w:rPr>
                <w:rFonts w:eastAsia="Times New Roman"/>
                <w:b/>
                <w:bCs/>
                <w:color w:val="auto"/>
                <w:kern w:val="0"/>
                <w:sz w:val="24"/>
                <w:highlight w:val="none"/>
              </w:rPr>
            </w:pPr>
            <w:r>
              <w:rPr>
                <w:rFonts w:eastAsia="Times New Roman"/>
                <w:b/>
                <w:bCs/>
                <w:color w:val="auto"/>
                <w:kern w:val="0"/>
                <w:sz w:val="24"/>
                <w:highlight w:val="none"/>
              </w:rPr>
              <w:t>表1-</w:t>
            </w:r>
            <w:r>
              <w:rPr>
                <w:rFonts w:hint="eastAsia" w:eastAsia="宋体"/>
                <w:b/>
                <w:bCs/>
                <w:color w:val="auto"/>
                <w:kern w:val="0"/>
                <w:sz w:val="24"/>
                <w:highlight w:val="none"/>
                <w:lang w:val="en-US" w:eastAsia="zh-CN"/>
              </w:rPr>
              <w:t>4</w:t>
            </w:r>
            <w:r>
              <w:rPr>
                <w:rFonts w:eastAsia="Times New Roman"/>
                <w:b/>
                <w:bCs/>
                <w:color w:val="auto"/>
                <w:kern w:val="0"/>
                <w:sz w:val="24"/>
                <w:highlight w:val="none"/>
              </w:rPr>
              <w:t xml:space="preserve">  本项目与鲁环发〔2019〕112号文件符合性分析</w:t>
            </w:r>
          </w:p>
          <w:tbl>
            <w:tblPr>
              <w:tblStyle w:val="20"/>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79" w:type="dxa"/>
                <w:bottom w:w="0" w:type="dxa"/>
                <w:right w:w="79" w:type="dxa"/>
              </w:tblCellMar>
            </w:tblPr>
            <w:tblGrid>
              <w:gridCol w:w="788"/>
              <w:gridCol w:w="4864"/>
              <w:gridCol w:w="1471"/>
            </w:tblGrid>
            <w:tr w14:paraId="53F05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0725DBE6">
                  <w:pPr>
                    <w:autoSpaceDE w:val="0"/>
                    <w:autoSpaceDN w:val="0"/>
                    <w:jc w:val="center"/>
                    <w:rPr>
                      <w:rFonts w:eastAsia="Times New Roman"/>
                      <w:b/>
                      <w:bCs/>
                      <w:color w:val="auto"/>
                      <w:kern w:val="0"/>
                      <w:szCs w:val="21"/>
                      <w:highlight w:val="none"/>
                    </w:rPr>
                  </w:pPr>
                  <w:r>
                    <w:rPr>
                      <w:rFonts w:eastAsia="Times New Roman"/>
                      <w:b/>
                      <w:bCs/>
                      <w:color w:val="auto"/>
                      <w:kern w:val="0"/>
                      <w:szCs w:val="21"/>
                      <w:highlight w:val="none"/>
                    </w:rPr>
                    <w:t>序号</w:t>
                  </w:r>
                </w:p>
              </w:tc>
              <w:tc>
                <w:tcPr>
                  <w:tcW w:w="3455" w:type="pct"/>
                  <w:vAlign w:val="center"/>
                </w:tcPr>
                <w:p w14:paraId="5271BE86">
                  <w:pPr>
                    <w:autoSpaceDE w:val="0"/>
                    <w:autoSpaceDN w:val="0"/>
                    <w:ind w:left="-84" w:leftChars="-40" w:right="-84" w:rightChars="-40"/>
                    <w:jc w:val="center"/>
                    <w:rPr>
                      <w:rFonts w:eastAsia="Times New Roman"/>
                      <w:b/>
                      <w:bCs/>
                      <w:color w:val="auto"/>
                      <w:kern w:val="0"/>
                      <w:szCs w:val="21"/>
                      <w:highlight w:val="none"/>
                    </w:rPr>
                  </w:pPr>
                  <w:r>
                    <w:rPr>
                      <w:rFonts w:eastAsia="Times New Roman"/>
                      <w:b/>
                      <w:bCs/>
                      <w:color w:val="auto"/>
                      <w:kern w:val="0"/>
                      <w:szCs w:val="21"/>
                      <w:highlight w:val="none"/>
                    </w:rPr>
                    <w:t>整治要求及责任分工</w:t>
                  </w:r>
                </w:p>
              </w:tc>
              <w:tc>
                <w:tcPr>
                  <w:tcW w:w="1074" w:type="pct"/>
                  <w:vAlign w:val="center"/>
                </w:tcPr>
                <w:p w14:paraId="70A70ED1">
                  <w:pPr>
                    <w:autoSpaceDE w:val="0"/>
                    <w:autoSpaceDN w:val="0"/>
                    <w:ind w:left="-84" w:leftChars="-40" w:right="-84" w:rightChars="-40"/>
                    <w:jc w:val="center"/>
                    <w:rPr>
                      <w:rFonts w:eastAsia="Times New Roman"/>
                      <w:b/>
                      <w:bCs/>
                      <w:color w:val="auto"/>
                      <w:kern w:val="0"/>
                      <w:szCs w:val="21"/>
                      <w:highlight w:val="none"/>
                    </w:rPr>
                  </w:pPr>
                  <w:r>
                    <w:rPr>
                      <w:rFonts w:eastAsia="Times New Roman"/>
                      <w:b/>
                      <w:bCs/>
                      <w:color w:val="auto"/>
                      <w:kern w:val="0"/>
                      <w:szCs w:val="21"/>
                      <w:highlight w:val="none"/>
                    </w:rPr>
                    <w:t>本项目情况</w:t>
                  </w:r>
                </w:p>
              </w:tc>
            </w:tr>
            <w:tr w14:paraId="02660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4636E9FF">
                  <w:pPr>
                    <w:autoSpaceDE w:val="0"/>
                    <w:autoSpaceDN w:val="0"/>
                    <w:jc w:val="center"/>
                    <w:rPr>
                      <w:rFonts w:eastAsia="Times New Roman"/>
                      <w:color w:val="auto"/>
                      <w:kern w:val="0"/>
                      <w:szCs w:val="21"/>
                      <w:highlight w:val="none"/>
                    </w:rPr>
                  </w:pPr>
                  <w:r>
                    <w:rPr>
                      <w:rFonts w:eastAsia="Times New Roman"/>
                      <w:color w:val="auto"/>
                      <w:kern w:val="0"/>
                      <w:szCs w:val="21"/>
                      <w:highlight w:val="none"/>
                    </w:rPr>
                    <w:t>（一）</w:t>
                  </w:r>
                </w:p>
              </w:tc>
              <w:tc>
                <w:tcPr>
                  <w:tcW w:w="3455" w:type="pct"/>
                  <w:vAlign w:val="center"/>
                </w:tcPr>
                <w:p w14:paraId="43BBC13D">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各类施工工地扬尘污染整治。认真落实有关法律法规以及国家、省关于各类施工工地扬尘污染防治的规定和标准规范要求，7个传输通道城市建筑施工工地、其他城市和县城规划区内规模以上（建筑面积1万平方米以上）建筑施工工地全面落实工地周边围挡、产尘物料堆放覆盖、土方开挖湿法作业、路面硬化、出入车辆清洗、渣土车辆密闭运输</w:t>
                  </w:r>
                  <w:r>
                    <w:rPr>
                      <w:rFonts w:hint="eastAsia" w:eastAsia="宋体"/>
                      <w:color w:val="auto"/>
                      <w:kern w:val="0"/>
                      <w:szCs w:val="21"/>
                      <w:highlight w:val="none"/>
                      <w:lang w:eastAsia="zh-CN"/>
                    </w:rPr>
                    <w:t>“</w:t>
                  </w:r>
                  <w:r>
                    <w:rPr>
                      <w:rFonts w:eastAsia="Times New Roman"/>
                      <w:color w:val="auto"/>
                      <w:kern w:val="0"/>
                      <w:szCs w:val="21"/>
                      <w:highlight w:val="none"/>
                    </w:rPr>
                    <w:t>六项措施</w:t>
                  </w:r>
                  <w:r>
                    <w:rPr>
                      <w:rFonts w:hint="eastAsia" w:eastAsia="宋体"/>
                      <w:color w:val="auto"/>
                      <w:kern w:val="0"/>
                      <w:szCs w:val="21"/>
                      <w:highlight w:val="none"/>
                      <w:lang w:eastAsia="zh-CN"/>
                    </w:rPr>
                    <w:t>”</w:t>
                  </w:r>
                  <w:r>
                    <w:rPr>
                      <w:rFonts w:eastAsia="Times New Roman"/>
                      <w:color w:val="auto"/>
                      <w:kern w:val="0"/>
                      <w:szCs w:val="21"/>
                      <w:highlight w:val="none"/>
                    </w:rPr>
                    <w:t>；规模以下建筑施工工地按照住房城乡建设部办公厅《关于进一步加强施工工地和道路扬尘管控工作的通知》（建办质〔2019〕23号）要求，严格落实各项防尘降尘管控措施。市政、公路、水利等线性工程必须采取扬尘控制措施，实行分段施工。拆除工地必须湿法作业。城市建成区内施工现场禁止现场搅拌混凝土、现场配制砂浆；高层建筑施工单位应当采用容器或者搭设专用封闭式垃圾道方式清运施工垃圾，禁止高空抛撒施工垃圾。各类土石方开挖施工，必须采取有效抑尘措施，确保不产生扬尘污染。暂时不能开工的裸露空置建设用地和因旧城改造、城中村改造、违法建筑拆除等产生的裸露空置地块要及时全部进行覆盖或者绿化。以上要求未落实的，停工整改，并由所在的县级以上政府确定的行政主管部门依法处罚。重污染天气应急期间，按要求严格落实各项应急减排措施。</w:t>
                  </w:r>
                </w:p>
              </w:tc>
              <w:tc>
                <w:tcPr>
                  <w:tcW w:w="1074" w:type="pct"/>
                  <w:vAlign w:val="center"/>
                </w:tcPr>
                <w:p w14:paraId="14F126B1">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本项目在施工</w:t>
                  </w:r>
                  <w:r>
                    <w:rPr>
                      <w:rFonts w:hint="eastAsia" w:eastAsia="Times New Roman"/>
                      <w:color w:val="auto"/>
                      <w:kern w:val="0"/>
                      <w:szCs w:val="21"/>
                      <w:highlight w:val="none"/>
                    </w:rPr>
                    <w:t>区域均</w:t>
                  </w:r>
                  <w:r>
                    <w:rPr>
                      <w:rFonts w:eastAsia="Times New Roman"/>
                      <w:color w:val="auto"/>
                      <w:kern w:val="0"/>
                      <w:szCs w:val="21"/>
                      <w:highlight w:val="none"/>
                    </w:rPr>
                    <w:t>设置围挡，</w:t>
                  </w:r>
                  <w:r>
                    <w:rPr>
                      <w:rFonts w:hint="eastAsia"/>
                      <w:color w:val="auto"/>
                      <w:kern w:val="0"/>
                      <w:szCs w:val="21"/>
                      <w:highlight w:val="none"/>
                    </w:rPr>
                    <w:t>土方、石料、混凝土等物料</w:t>
                  </w:r>
                  <w:r>
                    <w:rPr>
                      <w:rFonts w:eastAsia="Times New Roman"/>
                      <w:color w:val="auto"/>
                      <w:kern w:val="0"/>
                      <w:szCs w:val="21"/>
                      <w:highlight w:val="none"/>
                    </w:rPr>
                    <w:t>实行密闭式运输，</w:t>
                  </w:r>
                  <w:r>
                    <w:rPr>
                      <w:rFonts w:hint="eastAsia" w:eastAsia="Times New Roman"/>
                      <w:color w:val="auto"/>
                      <w:kern w:val="0"/>
                      <w:szCs w:val="21"/>
                      <w:highlight w:val="none"/>
                    </w:rPr>
                    <w:t>开挖过程主要是开挖河道淤泥，无粉尘产生；</w:t>
                  </w:r>
                  <w:r>
                    <w:rPr>
                      <w:rFonts w:eastAsia="Times New Roman"/>
                      <w:color w:val="auto"/>
                      <w:kern w:val="0"/>
                      <w:szCs w:val="21"/>
                      <w:highlight w:val="none"/>
                    </w:rPr>
                    <w:t>对砂石料等易产尘建筑材料进行苫盖，</w:t>
                  </w:r>
                  <w:r>
                    <w:rPr>
                      <w:rFonts w:hint="eastAsia" w:eastAsia="Times New Roman"/>
                      <w:color w:val="auto"/>
                      <w:kern w:val="0"/>
                      <w:szCs w:val="21"/>
                      <w:highlight w:val="none"/>
                    </w:rPr>
                    <w:t>对</w:t>
                  </w:r>
                  <w:r>
                    <w:rPr>
                      <w:rFonts w:eastAsia="Times New Roman"/>
                      <w:color w:val="auto"/>
                      <w:kern w:val="0"/>
                      <w:szCs w:val="21"/>
                      <w:highlight w:val="none"/>
                    </w:rPr>
                    <w:t>临时道路</w:t>
                  </w:r>
                  <w:r>
                    <w:rPr>
                      <w:rFonts w:hint="eastAsia" w:eastAsia="Times New Roman"/>
                      <w:color w:val="auto"/>
                      <w:kern w:val="0"/>
                      <w:szCs w:val="21"/>
                      <w:highlight w:val="none"/>
                    </w:rPr>
                    <w:t>硬化并</w:t>
                  </w:r>
                  <w:r>
                    <w:rPr>
                      <w:rFonts w:eastAsia="Times New Roman"/>
                      <w:color w:val="auto"/>
                      <w:kern w:val="0"/>
                      <w:szCs w:val="21"/>
                      <w:highlight w:val="none"/>
                    </w:rPr>
                    <w:t>定期洒水</w:t>
                  </w:r>
                  <w:r>
                    <w:rPr>
                      <w:rFonts w:hint="eastAsia" w:eastAsia="Times New Roman"/>
                      <w:color w:val="auto"/>
                      <w:kern w:val="0"/>
                      <w:szCs w:val="21"/>
                      <w:highlight w:val="none"/>
                    </w:rPr>
                    <w:t>；施工临时设施区设有洗车平台及沉淀池对运输车辆进行清洗；</w:t>
                  </w:r>
                  <w:r>
                    <w:rPr>
                      <w:rFonts w:eastAsia="Times New Roman"/>
                      <w:color w:val="auto"/>
                      <w:kern w:val="0"/>
                      <w:szCs w:val="21"/>
                      <w:highlight w:val="none"/>
                    </w:rPr>
                    <w:t>渣土车辆密闭运输</w:t>
                  </w:r>
                  <w:r>
                    <w:rPr>
                      <w:rFonts w:hint="eastAsia" w:eastAsia="Times New Roman"/>
                      <w:color w:val="auto"/>
                      <w:kern w:val="0"/>
                      <w:szCs w:val="21"/>
                      <w:highlight w:val="none"/>
                    </w:rPr>
                    <w:t>等措施，</w:t>
                  </w:r>
                  <w:r>
                    <w:rPr>
                      <w:rFonts w:eastAsia="Times New Roman"/>
                      <w:color w:val="auto"/>
                      <w:kern w:val="0"/>
                      <w:szCs w:val="21"/>
                      <w:highlight w:val="none"/>
                    </w:rPr>
                    <w:t>严格控制施工区扬尘污染。重污染天气应急期间，严格落实应急减排措施。</w:t>
                  </w:r>
                </w:p>
              </w:tc>
            </w:tr>
            <w:tr w14:paraId="4C293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1FFA46D2">
                  <w:pPr>
                    <w:autoSpaceDE w:val="0"/>
                    <w:autoSpaceDN w:val="0"/>
                    <w:jc w:val="center"/>
                    <w:rPr>
                      <w:rFonts w:eastAsia="Times New Roman"/>
                      <w:color w:val="auto"/>
                      <w:kern w:val="0"/>
                      <w:szCs w:val="21"/>
                      <w:highlight w:val="none"/>
                    </w:rPr>
                  </w:pPr>
                  <w:r>
                    <w:rPr>
                      <w:rFonts w:eastAsia="Times New Roman"/>
                      <w:color w:val="auto"/>
                      <w:kern w:val="0"/>
                      <w:szCs w:val="21"/>
                      <w:highlight w:val="none"/>
                    </w:rPr>
                    <w:t>（二）</w:t>
                  </w:r>
                </w:p>
              </w:tc>
              <w:tc>
                <w:tcPr>
                  <w:tcW w:w="3455" w:type="pct"/>
                  <w:vAlign w:val="center"/>
                </w:tcPr>
                <w:p w14:paraId="5F7BA23C">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物料运输扬尘污染整治。运输渣土、土方、砂石、垃圾、灰浆、煤炭等散装、流体物料的车辆，应当采取密闭措施，按照规定安装卫星定位装置，并按照规定的路线、时间行驶，在运输过程中不得遗撒、泄漏物料，对不符合要求上路行驶的，依法依规严厉查处。严格落实《山东省城市建筑渣土运输管理</w:t>
                  </w:r>
                  <w:r>
                    <w:rPr>
                      <w:rFonts w:hint="eastAsia" w:eastAsia="宋体"/>
                      <w:color w:val="auto"/>
                      <w:kern w:val="0"/>
                      <w:szCs w:val="21"/>
                      <w:highlight w:val="none"/>
                      <w:lang w:eastAsia="zh-CN"/>
                    </w:rPr>
                    <w:t>“</w:t>
                  </w:r>
                  <w:r>
                    <w:rPr>
                      <w:rFonts w:eastAsia="Times New Roman"/>
                      <w:color w:val="auto"/>
                      <w:kern w:val="0"/>
                      <w:szCs w:val="21"/>
                      <w:highlight w:val="none"/>
                    </w:rPr>
                    <w:t>十个必须</w:t>
                  </w:r>
                  <w:r>
                    <w:rPr>
                      <w:rFonts w:hint="eastAsia" w:eastAsia="宋体"/>
                      <w:color w:val="auto"/>
                      <w:kern w:val="0"/>
                      <w:szCs w:val="21"/>
                      <w:highlight w:val="none"/>
                      <w:lang w:eastAsia="zh-CN"/>
                    </w:rPr>
                    <w:t>”</w:t>
                  </w:r>
                  <w:r>
                    <w:rPr>
                      <w:rFonts w:eastAsia="Times New Roman"/>
                      <w:color w:val="auto"/>
                      <w:kern w:val="0"/>
                      <w:szCs w:val="21"/>
                      <w:highlight w:val="none"/>
                    </w:rPr>
                    <w:t>》，对城市建成区渣土运输车辆经过的路段加强机械化清扫。重污染天气应急期间，按要求严格落实各项应急减排措施。</w:t>
                  </w:r>
                </w:p>
              </w:tc>
              <w:tc>
                <w:tcPr>
                  <w:tcW w:w="1074" w:type="pct"/>
                  <w:vAlign w:val="center"/>
                </w:tcPr>
                <w:p w14:paraId="250BAE44">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本项目施工期</w:t>
                  </w:r>
                  <w:r>
                    <w:rPr>
                      <w:rFonts w:hint="eastAsia"/>
                      <w:color w:val="auto"/>
                      <w:kern w:val="0"/>
                      <w:szCs w:val="21"/>
                      <w:highlight w:val="none"/>
                    </w:rPr>
                    <w:t>土方、石料、混凝土等</w:t>
                  </w:r>
                  <w:r>
                    <w:rPr>
                      <w:rFonts w:eastAsia="Times New Roman"/>
                      <w:color w:val="auto"/>
                      <w:kern w:val="0"/>
                      <w:szCs w:val="21"/>
                      <w:highlight w:val="none"/>
                    </w:rPr>
                    <w:t>物料实行密闭式运输，重污染天气应急期间，严格落实应急减排措施。</w:t>
                  </w:r>
                </w:p>
              </w:tc>
            </w:tr>
            <w:tr w14:paraId="25735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6364BFC6">
                  <w:pPr>
                    <w:autoSpaceDE w:val="0"/>
                    <w:autoSpaceDN w:val="0"/>
                    <w:jc w:val="center"/>
                    <w:rPr>
                      <w:rFonts w:eastAsia="Times New Roman"/>
                      <w:color w:val="auto"/>
                      <w:kern w:val="0"/>
                      <w:szCs w:val="21"/>
                      <w:highlight w:val="none"/>
                    </w:rPr>
                  </w:pPr>
                  <w:r>
                    <w:rPr>
                      <w:rFonts w:eastAsia="Times New Roman"/>
                      <w:color w:val="auto"/>
                      <w:kern w:val="0"/>
                      <w:szCs w:val="21"/>
                      <w:highlight w:val="none"/>
                    </w:rPr>
                    <w:t>（三）</w:t>
                  </w:r>
                </w:p>
              </w:tc>
              <w:tc>
                <w:tcPr>
                  <w:tcW w:w="3455" w:type="pct"/>
                  <w:vAlign w:val="center"/>
                </w:tcPr>
                <w:p w14:paraId="2B1DF2A9">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道路扬尘污染整治。对城市建成区主次干道及人行道、慢行道，高速公路和国、省、市、县、乡级公路积土积尘进行全面清理清洗，并实行定期保洁、机械化清扫、定时洒水制度，部分路段辅以人工清扫，及时清理清洗积尘路面，路面范围内达到路见本色、基本无浮土。重污染天气应急期间，根据空气质量变化情况增加抑尘或者降尘措施实施频次。</w:t>
                  </w:r>
                </w:p>
              </w:tc>
              <w:tc>
                <w:tcPr>
                  <w:tcW w:w="1074" w:type="pct"/>
                  <w:vAlign w:val="center"/>
                </w:tcPr>
                <w:p w14:paraId="36F30E2B">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本项目运输车辆采用密闭式，车辆及时冲洗，临时道路定期洒水，重污染天气应急期间，严格落实应急减排措施。</w:t>
                  </w:r>
                </w:p>
              </w:tc>
            </w:tr>
            <w:tr w14:paraId="0FEAE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55550A36">
                  <w:pPr>
                    <w:autoSpaceDE w:val="0"/>
                    <w:autoSpaceDN w:val="0"/>
                    <w:jc w:val="center"/>
                    <w:rPr>
                      <w:rFonts w:eastAsia="Times New Roman"/>
                      <w:color w:val="auto"/>
                      <w:kern w:val="0"/>
                      <w:szCs w:val="21"/>
                      <w:highlight w:val="none"/>
                    </w:rPr>
                  </w:pPr>
                  <w:r>
                    <w:rPr>
                      <w:rFonts w:eastAsia="Times New Roman"/>
                      <w:color w:val="auto"/>
                      <w:kern w:val="0"/>
                      <w:szCs w:val="21"/>
                      <w:highlight w:val="none"/>
                    </w:rPr>
                    <w:t>（四）</w:t>
                  </w:r>
                </w:p>
              </w:tc>
              <w:tc>
                <w:tcPr>
                  <w:tcW w:w="3455" w:type="pct"/>
                  <w:vAlign w:val="center"/>
                </w:tcPr>
                <w:p w14:paraId="3A75A73D">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工业企业无组织排放整治。开展钢铁、建材、有色、火电、焦化、铸造等重点行业及燃煤锅炉无组织排放排查，建立管理台账，对物料（含废渣）运输、装卸、储存、转移和工艺过程等无组织排放实施深度治理。物料运输应采用车厢密闭或者覆盖，防止沿途抛洒和飞扬。厂区出入口应配备车轮清洗装置或者采取其他控制措施。装卸过程中，应配备除尘设施，同时采取洒水喷淋措施。物料储存应采用入棚、入仓储存，棚内应设有喷淋装置。涉及锅炉物料（含废渣）企业，储煤场应采用封闭储存。粉煤灰应采用密闭的灰仓储存，卸灰管道出口应配备有密封防尘装置；炉渣应采用渣库储存，并采用挡尘卷帘、围挡等形式的防尘措施。不能密闭的，应当设置不低于堆放物高度的严密围挡，并采取有效覆盖措施防治扬尘污染。工业企业生产过程中，上料系统应密闭运行，生产设备、废气收集、除尘收集系统应同步运行，确保废气有效收集。上料系统、生产设备、废气收集系统或者污染治理设施发生故障或者检修时，应停止运转对应的生产工艺设备，待检修完毕后投入使用。重污染天气应急期间，按要求严格落实各项应急减排措施。</w:t>
                  </w:r>
                </w:p>
              </w:tc>
              <w:tc>
                <w:tcPr>
                  <w:tcW w:w="1074" w:type="pct"/>
                  <w:vAlign w:val="center"/>
                </w:tcPr>
                <w:p w14:paraId="4E9D9F08">
                  <w:pPr>
                    <w:autoSpaceDE w:val="0"/>
                    <w:autoSpaceDN w:val="0"/>
                    <w:ind w:left="-84" w:leftChars="-40" w:right="-84" w:rightChars="-40"/>
                    <w:jc w:val="left"/>
                    <w:rPr>
                      <w:rFonts w:eastAsia="Times New Roman"/>
                      <w:color w:val="auto"/>
                      <w:kern w:val="0"/>
                      <w:szCs w:val="21"/>
                      <w:highlight w:val="none"/>
                    </w:rPr>
                  </w:pPr>
                  <w:r>
                    <w:rPr>
                      <w:rFonts w:hint="eastAsia" w:eastAsia="Times New Roman"/>
                      <w:color w:val="auto"/>
                      <w:kern w:val="0"/>
                      <w:szCs w:val="21"/>
                      <w:highlight w:val="none"/>
                    </w:rPr>
                    <w:t>本项目属于</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rFonts w:eastAsia="Times New Roman"/>
                      <w:color w:val="auto"/>
                      <w:kern w:val="0"/>
                      <w:szCs w:val="21"/>
                      <w:highlight w:val="none"/>
                    </w:rPr>
                    <w:t>，不属于该条所列重点行业。本项目在施工场地设置封闭式围挡，</w:t>
                  </w:r>
                  <w:r>
                    <w:rPr>
                      <w:rFonts w:hint="eastAsia"/>
                      <w:color w:val="auto"/>
                      <w:kern w:val="0"/>
                      <w:szCs w:val="21"/>
                      <w:highlight w:val="none"/>
                    </w:rPr>
                    <w:t>土方、石料、混凝土等</w:t>
                  </w:r>
                  <w:r>
                    <w:rPr>
                      <w:rFonts w:eastAsia="Times New Roman"/>
                      <w:color w:val="auto"/>
                      <w:kern w:val="0"/>
                      <w:szCs w:val="21"/>
                      <w:highlight w:val="none"/>
                    </w:rPr>
                    <w:t>物料实行密闭式运输，对砂石料等易产尘建筑材料进行苫盖，临时性道路定期洒水，严格控制施工区扬尘污染。重污染天气应急期间，严格落实各项应急减排措施。</w:t>
                  </w:r>
                </w:p>
              </w:tc>
            </w:tr>
            <w:tr w14:paraId="2E4CA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469" w:type="pct"/>
                  <w:vAlign w:val="center"/>
                </w:tcPr>
                <w:p w14:paraId="41CE3A6A">
                  <w:pPr>
                    <w:autoSpaceDE w:val="0"/>
                    <w:autoSpaceDN w:val="0"/>
                    <w:jc w:val="center"/>
                    <w:rPr>
                      <w:rFonts w:eastAsia="Times New Roman"/>
                      <w:color w:val="auto"/>
                      <w:kern w:val="0"/>
                      <w:szCs w:val="21"/>
                      <w:highlight w:val="none"/>
                    </w:rPr>
                  </w:pPr>
                  <w:r>
                    <w:rPr>
                      <w:rFonts w:eastAsia="Times New Roman"/>
                      <w:color w:val="auto"/>
                      <w:kern w:val="0"/>
                      <w:szCs w:val="21"/>
                      <w:highlight w:val="none"/>
                    </w:rPr>
                    <w:t>（五）</w:t>
                  </w:r>
                </w:p>
              </w:tc>
              <w:tc>
                <w:tcPr>
                  <w:tcW w:w="3455" w:type="pct"/>
                  <w:vAlign w:val="center"/>
                </w:tcPr>
                <w:p w14:paraId="1FA3DDA2">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各类露天临时堆土区扬尘污染整治。工业企业堆场料场，应按照</w:t>
                  </w:r>
                  <w:r>
                    <w:rPr>
                      <w:rFonts w:hint="eastAsia" w:eastAsia="宋体"/>
                      <w:color w:val="auto"/>
                      <w:kern w:val="0"/>
                      <w:szCs w:val="21"/>
                      <w:highlight w:val="none"/>
                      <w:lang w:eastAsia="zh-CN"/>
                    </w:rPr>
                    <w:t>“</w:t>
                  </w:r>
                  <w:r>
                    <w:rPr>
                      <w:rFonts w:eastAsia="Times New Roman"/>
                      <w:color w:val="auto"/>
                      <w:kern w:val="0"/>
                      <w:szCs w:val="21"/>
                      <w:highlight w:val="none"/>
                    </w:rPr>
                    <w:t>空中防扬散、地面防流失、底下防渗漏</w:t>
                  </w:r>
                  <w:r>
                    <w:rPr>
                      <w:rFonts w:hint="eastAsia" w:eastAsia="宋体"/>
                      <w:color w:val="auto"/>
                      <w:kern w:val="0"/>
                      <w:szCs w:val="21"/>
                      <w:highlight w:val="none"/>
                      <w:lang w:eastAsia="zh-CN"/>
                    </w:rPr>
                    <w:t>”</w:t>
                  </w:r>
                  <w:r>
                    <w:rPr>
                      <w:rFonts w:eastAsia="Times New Roman"/>
                      <w:color w:val="auto"/>
                      <w:kern w:val="0"/>
                      <w:szCs w:val="21"/>
                      <w:highlight w:val="none"/>
                    </w:rPr>
                    <w:t>的标准控制扬尘污染，安装在线监测设施，厂区路面硬化，采用防风抑尘网或者封闭料场（仓、棚、库），并采取喷淋等抑尘措施。港口、码头、露天矿山、垃圾填埋场、建筑垃圾消纳场等应采取苫盖、喷淋、道路硬化等防治扬尘污染措施，安装在线监测设施，设置车辆清洗设施。重污染天气应急期间，按要求严格落实各项应急减排措施。</w:t>
                  </w:r>
                </w:p>
              </w:tc>
              <w:tc>
                <w:tcPr>
                  <w:tcW w:w="1074" w:type="pct"/>
                  <w:vAlign w:val="center"/>
                </w:tcPr>
                <w:p w14:paraId="6C7A639E">
                  <w:pPr>
                    <w:autoSpaceDE w:val="0"/>
                    <w:autoSpaceDN w:val="0"/>
                    <w:ind w:left="-84" w:leftChars="-40" w:right="-84" w:rightChars="-40"/>
                    <w:jc w:val="left"/>
                    <w:rPr>
                      <w:rFonts w:eastAsia="Times New Roman"/>
                      <w:color w:val="auto"/>
                      <w:kern w:val="0"/>
                      <w:szCs w:val="21"/>
                      <w:highlight w:val="none"/>
                    </w:rPr>
                  </w:pPr>
                  <w:r>
                    <w:rPr>
                      <w:rFonts w:eastAsia="Times New Roman"/>
                      <w:color w:val="auto"/>
                      <w:kern w:val="0"/>
                      <w:szCs w:val="21"/>
                      <w:highlight w:val="none"/>
                    </w:rPr>
                    <w:t>本项目临时施工场地路面硬化，物料密闭式运输，对砂石料等易产尘建筑材料进行苫盖。重污染天气应急期间，按要求严格落实各项应急减排措施。</w:t>
                  </w:r>
                </w:p>
              </w:tc>
            </w:tr>
          </w:tbl>
          <w:p w14:paraId="4DC0B4C7">
            <w:pPr>
              <w:autoSpaceDE w:val="0"/>
              <w:autoSpaceDN w:val="0"/>
              <w:spacing w:before="120" w:beforeLines="50" w:line="360" w:lineRule="auto"/>
              <w:ind w:firstLine="480" w:firstLineChars="200"/>
              <w:rPr>
                <w:rFonts w:eastAsia="Times New Roman"/>
                <w:color w:val="auto"/>
                <w:kern w:val="0"/>
                <w:sz w:val="24"/>
                <w:highlight w:val="none"/>
              </w:rPr>
            </w:pPr>
            <w:r>
              <w:rPr>
                <w:rFonts w:eastAsia="Times New Roman"/>
                <w:color w:val="auto"/>
                <w:kern w:val="0"/>
                <w:sz w:val="24"/>
                <w:highlight w:val="none"/>
              </w:rPr>
              <w:t>综上，本项目的建设符合《关于印发山东省扬尘污染综合整治方案的通知》（鲁环发〔2019〕112号）中整治要求。</w:t>
            </w:r>
          </w:p>
          <w:p w14:paraId="6D8B0111">
            <w:pPr>
              <w:pStyle w:val="51"/>
              <w:ind w:firstLine="482" w:firstLineChars="200"/>
              <w:jc w:val="both"/>
              <w:rPr>
                <w:rFonts w:ascii="Times New Roman" w:hAnsi="Times New Roman" w:eastAsia="Times New Roman" w:cs="Times New Roman"/>
                <w:color w:val="auto"/>
                <w:kern w:val="2"/>
                <w:sz w:val="24"/>
                <w:szCs w:val="24"/>
                <w:highlight w:val="none"/>
                <w:lang w:bidi="ar"/>
              </w:rPr>
            </w:pPr>
            <w:r>
              <w:rPr>
                <w:rFonts w:hint="eastAsia" w:ascii="Times New Roman" w:hAnsi="Times New Roman" w:eastAsia="宋体" w:cs="Times New Roman"/>
                <w:color w:val="auto"/>
                <w:kern w:val="2"/>
                <w:sz w:val="24"/>
                <w:szCs w:val="24"/>
                <w:highlight w:val="none"/>
                <w:lang w:val="en-US" w:eastAsia="zh-CN" w:bidi="ar"/>
              </w:rPr>
              <w:t>4</w:t>
            </w:r>
            <w:r>
              <w:rPr>
                <w:rFonts w:ascii="Times New Roman" w:hAnsi="Times New Roman" w:eastAsia="Times New Roman" w:cs="Times New Roman"/>
                <w:color w:val="auto"/>
                <w:kern w:val="2"/>
                <w:sz w:val="24"/>
                <w:szCs w:val="24"/>
                <w:highlight w:val="none"/>
                <w:lang w:bidi="ar"/>
              </w:rPr>
              <w:t>、与《山东省自然资源厅关于印发山东省临时用地管理暂行办法的通知》（鲁自然资规〔2023〕1号）符合性分析</w:t>
            </w:r>
          </w:p>
          <w:p w14:paraId="08B4E350">
            <w:pPr>
              <w:pStyle w:val="51"/>
              <w:spacing w:line="240" w:lineRule="auto"/>
              <w:rPr>
                <w:rFonts w:ascii="Times New Roman" w:hAnsi="Times New Roman" w:eastAsia="Times New Roman" w:cs="Times New Roman"/>
                <w:color w:val="auto"/>
                <w:kern w:val="2"/>
                <w:sz w:val="24"/>
                <w:szCs w:val="24"/>
                <w:highlight w:val="none"/>
                <w:lang w:bidi="ar"/>
              </w:rPr>
            </w:pPr>
            <w:r>
              <w:rPr>
                <w:rFonts w:ascii="Times New Roman" w:hAnsi="Times New Roman" w:eastAsia="Times New Roman" w:cs="Times New Roman"/>
                <w:color w:val="auto"/>
                <w:kern w:val="2"/>
                <w:sz w:val="24"/>
                <w:szCs w:val="24"/>
                <w:highlight w:val="none"/>
                <w:lang w:bidi="ar"/>
              </w:rPr>
              <w:t>表1-</w:t>
            </w:r>
            <w:r>
              <w:rPr>
                <w:rFonts w:hint="eastAsia" w:ascii="Times New Roman" w:hAnsi="Times New Roman" w:eastAsia="宋体" w:cs="Times New Roman"/>
                <w:color w:val="auto"/>
                <w:kern w:val="2"/>
                <w:sz w:val="24"/>
                <w:szCs w:val="24"/>
                <w:highlight w:val="none"/>
                <w:lang w:val="en-US" w:eastAsia="zh-CN" w:bidi="ar"/>
              </w:rPr>
              <w:t>5</w:t>
            </w:r>
            <w:r>
              <w:rPr>
                <w:rFonts w:ascii="Times New Roman" w:hAnsi="Times New Roman" w:eastAsia="Times New Roman" w:cs="Times New Roman"/>
                <w:color w:val="auto"/>
                <w:kern w:val="2"/>
                <w:sz w:val="24"/>
                <w:szCs w:val="24"/>
                <w:highlight w:val="none"/>
                <w:lang w:bidi="ar"/>
              </w:rPr>
              <w:t xml:space="preserve">  本项目与鲁自然资规〔2023〕1号符合性分析</w:t>
            </w:r>
          </w:p>
          <w:tbl>
            <w:tblPr>
              <w:tblStyle w:val="20"/>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991"/>
              <w:gridCol w:w="1670"/>
            </w:tblGrid>
            <w:tr w14:paraId="68415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1" w:type="pct"/>
                  <w:vAlign w:val="center"/>
                </w:tcPr>
                <w:p w14:paraId="1E812A8A">
                  <w:pPr>
                    <w:pStyle w:val="51"/>
                    <w:spacing w:line="240" w:lineRule="auto"/>
                    <w:ind w:left="-84" w:leftChars="-40" w:right="-84" w:rightChars="-40"/>
                    <w:rPr>
                      <w:rFonts w:ascii="Times New Roman" w:hAnsi="Times New Roman" w:eastAsia="Times New Roman" w:cs="Times New Roman"/>
                      <w:color w:val="auto"/>
                      <w:kern w:val="2"/>
                      <w:sz w:val="21"/>
                      <w:szCs w:val="21"/>
                      <w:highlight w:val="none"/>
                      <w:lang w:bidi="ar"/>
                    </w:rPr>
                  </w:pPr>
                  <w:r>
                    <w:rPr>
                      <w:rFonts w:ascii="Times New Roman" w:hAnsi="Times New Roman" w:eastAsia="Times New Roman" w:cs="Times New Roman"/>
                      <w:color w:val="auto"/>
                      <w:kern w:val="2"/>
                      <w:sz w:val="21"/>
                      <w:szCs w:val="21"/>
                      <w:highlight w:val="none"/>
                      <w:lang w:bidi="ar"/>
                    </w:rPr>
                    <w:t>序号</w:t>
                  </w:r>
                </w:p>
              </w:tc>
              <w:tc>
                <w:tcPr>
                  <w:tcW w:w="3520" w:type="pct"/>
                  <w:vAlign w:val="center"/>
                </w:tcPr>
                <w:p w14:paraId="5C49A5A1">
                  <w:pPr>
                    <w:pStyle w:val="51"/>
                    <w:spacing w:line="240" w:lineRule="auto"/>
                    <w:ind w:left="-84" w:leftChars="-40" w:right="-84" w:rightChars="-40"/>
                    <w:rPr>
                      <w:rFonts w:ascii="Times New Roman" w:hAnsi="Times New Roman" w:eastAsia="Times New Roman" w:cs="Times New Roman"/>
                      <w:color w:val="auto"/>
                      <w:kern w:val="2"/>
                      <w:sz w:val="21"/>
                      <w:szCs w:val="21"/>
                      <w:highlight w:val="none"/>
                      <w:lang w:bidi="ar"/>
                    </w:rPr>
                  </w:pPr>
                  <w:r>
                    <w:rPr>
                      <w:rFonts w:ascii="Times New Roman" w:hAnsi="Times New Roman" w:eastAsia="Times New Roman" w:cs="Times New Roman"/>
                      <w:color w:val="auto"/>
                      <w:kern w:val="2"/>
                      <w:sz w:val="21"/>
                      <w:szCs w:val="21"/>
                      <w:highlight w:val="none"/>
                      <w:lang w:bidi="ar"/>
                    </w:rPr>
                    <w:t>文件要求</w:t>
                  </w:r>
                </w:p>
              </w:tc>
              <w:tc>
                <w:tcPr>
                  <w:tcW w:w="1178" w:type="pct"/>
                  <w:vAlign w:val="center"/>
                </w:tcPr>
                <w:p w14:paraId="106405DB">
                  <w:pPr>
                    <w:pStyle w:val="51"/>
                    <w:spacing w:line="240" w:lineRule="auto"/>
                    <w:ind w:left="-84" w:leftChars="-40" w:right="-84" w:rightChars="-40"/>
                    <w:rPr>
                      <w:rFonts w:ascii="Times New Roman" w:hAnsi="Times New Roman" w:eastAsia="Times New Roman" w:cs="Times New Roman"/>
                      <w:color w:val="auto"/>
                      <w:kern w:val="2"/>
                      <w:sz w:val="21"/>
                      <w:szCs w:val="21"/>
                      <w:highlight w:val="yellow"/>
                      <w:lang w:bidi="ar"/>
                    </w:rPr>
                  </w:pPr>
                  <w:r>
                    <w:rPr>
                      <w:rFonts w:ascii="Times New Roman" w:hAnsi="Times New Roman" w:eastAsia="Times New Roman" w:cs="Times New Roman"/>
                      <w:color w:val="auto"/>
                      <w:kern w:val="2"/>
                      <w:sz w:val="21"/>
                      <w:szCs w:val="21"/>
                      <w:highlight w:val="none"/>
                      <w:lang w:bidi="ar"/>
                    </w:rPr>
                    <w:t>项目情况</w:t>
                  </w:r>
                </w:p>
              </w:tc>
            </w:tr>
            <w:tr w14:paraId="381A6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01" w:type="pct"/>
                  <w:vAlign w:val="center"/>
                </w:tcPr>
                <w:p w14:paraId="2E0FC320">
                  <w:pPr>
                    <w:pStyle w:val="51"/>
                    <w:spacing w:line="240" w:lineRule="auto"/>
                    <w:ind w:left="-84" w:leftChars="-40" w:right="-84" w:rightChars="-40"/>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选址要求</w:t>
                  </w:r>
                </w:p>
              </w:tc>
              <w:tc>
                <w:tcPr>
                  <w:tcW w:w="3520" w:type="pct"/>
                  <w:vAlign w:val="center"/>
                </w:tcPr>
                <w:p w14:paraId="2DBD5C06">
                  <w:pPr>
                    <w:pStyle w:val="51"/>
                    <w:spacing w:line="240" w:lineRule="auto"/>
                    <w:ind w:left="-84" w:leftChars="-40" w:right="-84" w:rightChars="-40"/>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第五条  临时用地选址应当坚持</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用多少、批多少，占多少、恢复多少</w:t>
                  </w:r>
                  <w:r>
                    <w:rPr>
                      <w:rFonts w:hint="eastAsia" w:ascii="Times New Roman" w:hAnsi="Times New Roman" w:eastAsia="宋体" w:cs="Times New Roman"/>
                      <w:b w:val="0"/>
                      <w:bCs w:val="0"/>
                      <w:color w:val="auto"/>
                      <w:kern w:val="2"/>
                      <w:sz w:val="21"/>
                      <w:szCs w:val="21"/>
                      <w:highlight w:val="none"/>
                      <w:lang w:eastAsia="zh-CN" w:bidi="ar"/>
                    </w:rPr>
                    <w:t>”</w:t>
                  </w:r>
                  <w:r>
                    <w:rPr>
                      <w:rFonts w:ascii="Times New Roman" w:hAnsi="Times New Roman" w:eastAsia="Times New Roman" w:cs="Times New Roman"/>
                      <w:b w:val="0"/>
                      <w:bCs w:val="0"/>
                      <w:color w:val="auto"/>
                      <w:kern w:val="2"/>
                      <w:sz w:val="21"/>
                      <w:szCs w:val="21"/>
                      <w:highlight w:val="none"/>
                      <w:lang w:bidi="ar"/>
                    </w:rPr>
                    <w:t>，科学合理选址，坚持节约原则，尽量不占或少占耕地，严格控制占用永久基本农田，尽量避让生态保护红线。</w:t>
                  </w:r>
                </w:p>
                <w:p w14:paraId="54800AE6">
                  <w:pPr>
                    <w:pStyle w:val="51"/>
                    <w:spacing w:line="240" w:lineRule="auto"/>
                    <w:ind w:left="-84" w:leftChars="-40" w:right="-84" w:rightChars="-40"/>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第六条  制梁场、拌合站等难以恢复原种植条件的不得以临时用地方式占用耕地和永久基本农田。直接服务于铁路工程施工的制梁场、拌合站，需临时使用土地的，按照《自然资源部关于积极做好用地用海要素保障的通知》（自然资发〔2022〕129号）有关规定执行。临时用地确需占用永久基本农田的，必须能够恢复原种植条件，并符合《自然资源部农业农村部关于加强和改进永久基本农田保护工作的通知》（自然资规〔2019〕1号）中申请条件、土壤剥离、复垦验收等有关规定。</w:t>
                  </w:r>
                </w:p>
                <w:p w14:paraId="4F2F06A6">
                  <w:pPr>
                    <w:pStyle w:val="51"/>
                    <w:spacing w:line="240" w:lineRule="auto"/>
                    <w:ind w:left="-84" w:leftChars="-40" w:right="-84" w:rightChars="-40"/>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第七条  临时占用林地、草地、湿地及自然保护地的，应当提交相关行政主管部门的审查意见或审批结果。</w:t>
                  </w:r>
                </w:p>
                <w:p w14:paraId="5A1EFA20">
                  <w:pPr>
                    <w:pStyle w:val="51"/>
                    <w:spacing w:line="240" w:lineRule="auto"/>
                    <w:ind w:left="-84" w:leftChars="-40" w:right="-84" w:rightChars="-40"/>
                    <w:jc w:val="left"/>
                    <w:rPr>
                      <w:rFonts w:ascii="Times New Roman" w:hAnsi="Times New Roman" w:eastAsia="Times New Roman" w:cs="Times New Roman"/>
                      <w:b w:val="0"/>
                      <w:bCs w:val="0"/>
                      <w:color w:val="auto"/>
                      <w:kern w:val="2"/>
                      <w:sz w:val="21"/>
                      <w:szCs w:val="21"/>
                      <w:highlight w:val="none"/>
                      <w:lang w:bidi="ar"/>
                    </w:rPr>
                  </w:pPr>
                  <w:r>
                    <w:rPr>
                      <w:rFonts w:ascii="Times New Roman" w:hAnsi="Times New Roman" w:eastAsia="Times New Roman" w:cs="Times New Roman"/>
                      <w:b w:val="0"/>
                      <w:bCs w:val="0"/>
                      <w:color w:val="auto"/>
                      <w:kern w:val="2"/>
                      <w:sz w:val="21"/>
                      <w:szCs w:val="21"/>
                      <w:highlight w:val="none"/>
                      <w:lang w:bidi="ar"/>
                    </w:rPr>
                    <w:t>第八条  生态保护红线内允许的有限人为活动和国家重大项目占用生态保护红线涉及临时用地的，参照临时占用永久基本农田规定办理，严格落实恢复责任。</w:t>
                  </w:r>
                </w:p>
              </w:tc>
              <w:tc>
                <w:tcPr>
                  <w:tcW w:w="1178" w:type="pct"/>
                  <w:vAlign w:val="center"/>
                </w:tcPr>
                <w:p w14:paraId="716E8613">
                  <w:pPr>
                    <w:pStyle w:val="51"/>
                    <w:spacing w:line="240" w:lineRule="auto"/>
                    <w:ind w:left="-84" w:leftChars="-40" w:right="-84" w:rightChars="-40"/>
                    <w:rPr>
                      <w:rFonts w:ascii="Times New Roman" w:hAnsi="Times New Roman" w:eastAsia="Times New Roman" w:cs="Times New Roman"/>
                      <w:b w:val="0"/>
                      <w:bCs w:val="0"/>
                      <w:color w:val="auto"/>
                      <w:kern w:val="2"/>
                      <w:sz w:val="21"/>
                      <w:szCs w:val="21"/>
                      <w:highlight w:val="yellow"/>
                      <w:lang w:bidi="ar"/>
                    </w:rPr>
                  </w:pPr>
                  <w:r>
                    <w:rPr>
                      <w:rFonts w:hint="eastAsia" w:ascii="Times New Roman" w:hAnsi="Times New Roman" w:cs="Times New Roman"/>
                      <w:b w:val="0"/>
                      <w:bCs w:val="0"/>
                      <w:color w:val="auto"/>
                      <w:kern w:val="2"/>
                      <w:sz w:val="21"/>
                      <w:szCs w:val="21"/>
                      <w:highlight w:val="none"/>
                    </w:rPr>
                    <w:t>本项目属于防洪除涝</w:t>
                  </w:r>
                  <w:r>
                    <w:rPr>
                      <w:rFonts w:hint="eastAsia" w:ascii="Times New Roman" w:hAnsi="Times New Roman" w:cs="Times New Roman"/>
                      <w:b w:val="0"/>
                      <w:bCs w:val="0"/>
                      <w:color w:val="auto"/>
                      <w:kern w:val="2"/>
                      <w:sz w:val="21"/>
                      <w:szCs w:val="21"/>
                      <w:highlight w:val="none"/>
                      <w:lang w:eastAsia="zh-CN"/>
                    </w:rPr>
                    <w:t>及</w:t>
                  </w:r>
                  <w:r>
                    <w:rPr>
                      <w:rFonts w:hint="eastAsia" w:ascii="Times New Roman" w:hAnsi="Times New Roman" w:cs="Times New Roman"/>
                      <w:b w:val="0"/>
                      <w:bCs w:val="0"/>
                      <w:color w:val="auto"/>
                      <w:kern w:val="2"/>
                      <w:sz w:val="21"/>
                      <w:szCs w:val="21"/>
                      <w:highlight w:val="none"/>
                      <w:lang w:val="en-US" w:eastAsia="zh-CN"/>
                    </w:rPr>
                    <w:t>城镇供排水工程</w:t>
                  </w:r>
                  <w:r>
                    <w:rPr>
                      <w:rFonts w:hint="eastAsia" w:ascii="Times New Roman" w:hAnsi="Times New Roman" w:cs="Times New Roman"/>
                      <w:b w:val="0"/>
                      <w:bCs w:val="0"/>
                      <w:color w:val="auto"/>
                      <w:kern w:val="2"/>
                      <w:sz w:val="21"/>
                      <w:szCs w:val="21"/>
                      <w:highlight w:val="none"/>
                    </w:rPr>
                    <w:t>项目，</w:t>
                  </w:r>
                  <w:r>
                    <w:rPr>
                      <w:rFonts w:ascii="Times New Roman" w:hAnsi="Times New Roman" w:cs="Times New Roman"/>
                      <w:b w:val="0"/>
                      <w:bCs w:val="0"/>
                      <w:color w:val="auto"/>
                      <w:kern w:val="2"/>
                      <w:sz w:val="21"/>
                      <w:szCs w:val="21"/>
                      <w:highlight w:val="none"/>
                    </w:rPr>
                    <w:t>为原址改造，不新增永久占地，</w:t>
                  </w:r>
                  <w:r>
                    <w:rPr>
                      <w:rFonts w:hint="eastAsia" w:ascii="Times New Roman" w:hAnsi="Times New Roman" w:cs="Times New Roman"/>
                      <w:b w:val="0"/>
                      <w:bCs w:val="0"/>
                      <w:color w:val="auto"/>
                      <w:kern w:val="2"/>
                      <w:sz w:val="21"/>
                      <w:szCs w:val="21"/>
                      <w:highlight w:val="none"/>
                    </w:rPr>
                    <w:t>本工程临时占地类型主要为水域及水利设施用地、</w:t>
                  </w:r>
                  <w:r>
                    <w:rPr>
                      <w:rFonts w:hint="eastAsia" w:ascii="Times New Roman" w:hAnsi="Times New Roman" w:cs="Times New Roman"/>
                      <w:b w:val="0"/>
                      <w:bCs w:val="0"/>
                      <w:color w:val="auto"/>
                      <w:kern w:val="2"/>
                      <w:sz w:val="21"/>
                      <w:szCs w:val="21"/>
                      <w:highlight w:val="none"/>
                      <w:lang w:eastAsia="zh-CN"/>
                    </w:rPr>
                    <w:t>工业用地、</w:t>
                  </w:r>
                  <w:r>
                    <w:rPr>
                      <w:rFonts w:hint="eastAsia" w:ascii="Times New Roman" w:hAnsi="Times New Roman" w:cs="Times New Roman"/>
                      <w:b w:val="0"/>
                      <w:bCs w:val="0"/>
                      <w:color w:val="auto"/>
                      <w:kern w:val="2"/>
                      <w:sz w:val="21"/>
                      <w:szCs w:val="21"/>
                      <w:highlight w:val="none"/>
                    </w:rPr>
                    <w:t>其他</w:t>
                  </w:r>
                  <w:r>
                    <w:rPr>
                      <w:rFonts w:hint="eastAsia" w:ascii="Times New Roman" w:hAnsi="Times New Roman" w:cs="Times New Roman"/>
                      <w:b w:val="0"/>
                      <w:bCs w:val="0"/>
                      <w:color w:val="auto"/>
                      <w:kern w:val="2"/>
                      <w:sz w:val="21"/>
                      <w:szCs w:val="21"/>
                      <w:highlight w:val="none"/>
                      <w:lang w:eastAsia="zh-CN"/>
                    </w:rPr>
                    <w:t>未利用</w:t>
                  </w:r>
                  <w:r>
                    <w:rPr>
                      <w:rFonts w:hint="eastAsia" w:ascii="Times New Roman" w:hAnsi="Times New Roman" w:cs="Times New Roman"/>
                      <w:b w:val="0"/>
                      <w:bCs w:val="0"/>
                      <w:color w:val="auto"/>
                      <w:kern w:val="2"/>
                      <w:sz w:val="21"/>
                      <w:szCs w:val="21"/>
                      <w:highlight w:val="none"/>
                    </w:rPr>
                    <w:t>土地</w:t>
                  </w:r>
                  <w:r>
                    <w:rPr>
                      <w:rFonts w:ascii="Times New Roman" w:hAnsi="Times New Roman" w:cs="Times New Roman"/>
                      <w:b w:val="0"/>
                      <w:bCs w:val="0"/>
                      <w:color w:val="auto"/>
                      <w:kern w:val="2"/>
                      <w:sz w:val="21"/>
                      <w:szCs w:val="21"/>
                      <w:highlight w:val="none"/>
                    </w:rPr>
                    <w:t>等</w:t>
                  </w:r>
                  <w:r>
                    <w:rPr>
                      <w:rFonts w:hint="eastAsia" w:ascii="Times New Roman" w:hAnsi="Times New Roman" w:cs="Times New Roman"/>
                      <w:b w:val="0"/>
                      <w:bCs w:val="0"/>
                      <w:color w:val="auto"/>
                      <w:kern w:val="2"/>
                      <w:sz w:val="21"/>
                      <w:szCs w:val="21"/>
                      <w:highlight w:val="none"/>
                    </w:rPr>
                    <w:t>，不涉及基本农田、林地、草地、湿地及</w:t>
                  </w:r>
                  <w:r>
                    <w:rPr>
                      <w:rFonts w:ascii="Times New Roman" w:hAnsi="Times New Roman" w:cs="Times New Roman"/>
                      <w:b w:val="0"/>
                      <w:bCs w:val="0"/>
                      <w:color w:val="auto"/>
                      <w:kern w:val="2"/>
                      <w:sz w:val="21"/>
                      <w:szCs w:val="21"/>
                      <w:highlight w:val="none"/>
                    </w:rPr>
                    <w:t>自然保护地。施工结束后，对临时占地及时进行土地整治、植被恢复和土地复垦</w:t>
                  </w:r>
                  <w:r>
                    <w:rPr>
                      <w:rFonts w:hint="eastAsia" w:ascii="Times New Roman" w:hAnsi="Times New Roman" w:cs="Times New Roman"/>
                      <w:b w:val="0"/>
                      <w:bCs w:val="0"/>
                      <w:color w:val="auto"/>
                      <w:kern w:val="2"/>
                      <w:sz w:val="21"/>
                      <w:szCs w:val="21"/>
                      <w:highlight w:val="none"/>
                    </w:rPr>
                    <w:t>等生态恢复措施。</w:t>
                  </w:r>
                </w:p>
              </w:tc>
            </w:tr>
          </w:tbl>
          <w:p w14:paraId="682EDD0F">
            <w:pPr>
              <w:pStyle w:val="51"/>
              <w:ind w:firstLine="480" w:firstLineChars="200"/>
              <w:jc w:val="both"/>
              <w:rPr>
                <w:rFonts w:ascii="Times New Roman" w:hAnsi="Times New Roman" w:eastAsia="Times New Roman" w:cs="Times New Roman"/>
                <w:b w:val="0"/>
                <w:bCs w:val="0"/>
                <w:color w:val="auto"/>
                <w:kern w:val="2"/>
                <w:sz w:val="24"/>
                <w:szCs w:val="24"/>
                <w:highlight w:val="none"/>
                <w:lang w:bidi="ar"/>
              </w:rPr>
            </w:pPr>
            <w:r>
              <w:rPr>
                <w:rFonts w:ascii="Times New Roman" w:hAnsi="Times New Roman" w:eastAsia="Times New Roman" w:cs="Times New Roman"/>
                <w:b w:val="0"/>
                <w:bCs w:val="0"/>
                <w:color w:val="auto"/>
                <w:kern w:val="2"/>
                <w:sz w:val="24"/>
                <w:szCs w:val="24"/>
                <w:highlight w:val="none"/>
                <w:lang w:bidi="ar"/>
              </w:rPr>
              <w:t>综上，本项目符合《山东省自然资源厅关于印发山东省临时用地管理暂行办法的通知》（鲁自然资规〔2023〕1号）文件中相关要求。</w:t>
            </w:r>
          </w:p>
          <w:p w14:paraId="68E38055">
            <w:pPr>
              <w:autoSpaceDE w:val="0"/>
              <w:autoSpaceDN w:val="0"/>
              <w:adjustRightInd w:val="0"/>
              <w:snapToGrid w:val="0"/>
              <w:spacing w:line="360" w:lineRule="auto"/>
              <w:ind w:firstLine="482" w:firstLineChars="200"/>
              <w:rPr>
                <w:rFonts w:eastAsia="Times New Roman"/>
                <w:b/>
                <w:color w:val="auto"/>
                <w:sz w:val="24"/>
                <w:highlight w:val="none"/>
              </w:rPr>
            </w:pPr>
            <w:r>
              <w:rPr>
                <w:rFonts w:hint="eastAsia" w:eastAsia="宋体"/>
                <w:b/>
                <w:color w:val="auto"/>
                <w:sz w:val="24"/>
                <w:highlight w:val="none"/>
                <w:lang w:val="en-US" w:eastAsia="zh-CN"/>
              </w:rPr>
              <w:t>5</w:t>
            </w:r>
            <w:r>
              <w:rPr>
                <w:rFonts w:eastAsia="Times New Roman"/>
                <w:b/>
                <w:color w:val="auto"/>
                <w:sz w:val="24"/>
                <w:highlight w:val="none"/>
              </w:rPr>
              <w:t>、与《山东省深入打好蓝天保卫战行动计划（2021-2025）》符合性分析</w:t>
            </w:r>
          </w:p>
          <w:p w14:paraId="7ABF2EB1">
            <w:pPr>
              <w:autoSpaceDE w:val="0"/>
              <w:autoSpaceDN w:val="0"/>
              <w:adjustRightInd w:val="0"/>
              <w:snapToGrid w:val="0"/>
              <w:jc w:val="center"/>
              <w:rPr>
                <w:rFonts w:eastAsia="Times New Roman"/>
                <w:b/>
                <w:bCs/>
                <w:color w:val="auto"/>
                <w:sz w:val="24"/>
                <w:szCs w:val="32"/>
                <w:highlight w:val="none"/>
              </w:rPr>
            </w:pPr>
            <w:r>
              <w:rPr>
                <w:rFonts w:eastAsia="Times New Roman"/>
                <w:b/>
                <w:bCs/>
                <w:color w:val="auto"/>
                <w:sz w:val="24"/>
                <w:szCs w:val="32"/>
                <w:highlight w:val="none"/>
              </w:rPr>
              <w:t>表1</w:t>
            </w:r>
            <w:r>
              <w:rPr>
                <w:rFonts w:hint="eastAsia"/>
                <w:b/>
                <w:bCs/>
                <w:color w:val="auto"/>
                <w:sz w:val="24"/>
                <w:szCs w:val="32"/>
                <w:highlight w:val="none"/>
              </w:rPr>
              <w:t>-</w:t>
            </w:r>
            <w:r>
              <w:rPr>
                <w:rFonts w:hint="eastAsia"/>
                <w:b/>
                <w:bCs/>
                <w:color w:val="auto"/>
                <w:sz w:val="24"/>
                <w:szCs w:val="32"/>
                <w:highlight w:val="none"/>
                <w:lang w:val="en-US" w:eastAsia="zh-CN"/>
              </w:rPr>
              <w:t>6</w:t>
            </w:r>
            <w:r>
              <w:rPr>
                <w:rFonts w:eastAsia="Times New Roman"/>
                <w:b/>
                <w:bCs/>
                <w:color w:val="auto"/>
                <w:sz w:val="24"/>
                <w:szCs w:val="32"/>
                <w:highlight w:val="none"/>
              </w:rPr>
              <w:t xml:space="preserve">  与</w:t>
            </w:r>
            <w:r>
              <w:rPr>
                <w:rFonts w:eastAsia="Times New Roman"/>
                <w:b/>
                <w:color w:val="auto"/>
                <w:sz w:val="24"/>
                <w:highlight w:val="none"/>
              </w:rPr>
              <w:t>《山东省深入打好蓝天保卫战行动计划（2021-2025）》</w:t>
            </w:r>
            <w:r>
              <w:rPr>
                <w:rFonts w:eastAsia="Times New Roman"/>
                <w:b/>
                <w:bCs/>
                <w:color w:val="auto"/>
                <w:sz w:val="24"/>
                <w:szCs w:val="32"/>
                <w:highlight w:val="none"/>
              </w:rPr>
              <w:t>符合性分析</w:t>
            </w:r>
          </w:p>
          <w:tbl>
            <w:tblPr>
              <w:tblStyle w:val="20"/>
              <w:tblW w:w="49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5355"/>
              <w:gridCol w:w="1803"/>
            </w:tblGrid>
            <w:tr w14:paraId="7EBA6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136F3922">
                  <w:pPr>
                    <w:autoSpaceDE w:val="0"/>
                    <w:autoSpaceDN w:val="0"/>
                    <w:adjustRightInd w:val="0"/>
                    <w:snapToGrid w:val="0"/>
                    <w:jc w:val="center"/>
                    <w:rPr>
                      <w:b/>
                      <w:bCs/>
                      <w:color w:val="auto"/>
                      <w:szCs w:val="21"/>
                      <w:highlight w:val="none"/>
                    </w:rPr>
                  </w:pPr>
                  <w:r>
                    <w:rPr>
                      <w:b/>
                      <w:bCs/>
                      <w:color w:val="auto"/>
                      <w:szCs w:val="21"/>
                      <w:highlight w:val="none"/>
                    </w:rPr>
                    <w:t>文件要求</w:t>
                  </w:r>
                </w:p>
              </w:tc>
              <w:tc>
                <w:tcPr>
                  <w:tcW w:w="1259" w:type="pct"/>
                  <w:vAlign w:val="center"/>
                </w:tcPr>
                <w:p w14:paraId="2CEF9882">
                  <w:pPr>
                    <w:autoSpaceDE w:val="0"/>
                    <w:autoSpaceDN w:val="0"/>
                    <w:adjustRightInd w:val="0"/>
                    <w:snapToGrid w:val="0"/>
                    <w:jc w:val="center"/>
                    <w:rPr>
                      <w:b/>
                      <w:bCs/>
                      <w:color w:val="auto"/>
                      <w:szCs w:val="21"/>
                      <w:highlight w:val="none"/>
                    </w:rPr>
                  </w:pPr>
                  <w:r>
                    <w:rPr>
                      <w:b/>
                      <w:bCs/>
                      <w:color w:val="auto"/>
                      <w:szCs w:val="21"/>
                      <w:highlight w:val="none"/>
                    </w:rPr>
                    <w:t>本项目情况</w:t>
                  </w:r>
                </w:p>
              </w:tc>
            </w:tr>
            <w:tr w14:paraId="3FBE8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5113ECC7">
                  <w:pPr>
                    <w:autoSpaceDE w:val="0"/>
                    <w:autoSpaceDN w:val="0"/>
                    <w:adjustRightInd w:val="0"/>
                    <w:snapToGrid w:val="0"/>
                    <w:jc w:val="left"/>
                    <w:rPr>
                      <w:color w:val="auto"/>
                      <w:szCs w:val="21"/>
                      <w:highlight w:val="none"/>
                    </w:rPr>
                  </w:pPr>
                  <w:r>
                    <w:rPr>
                      <w:color w:val="auto"/>
                      <w:szCs w:val="21"/>
                      <w:highlight w:val="none"/>
                    </w:rPr>
                    <w:t>淘汰低效落后产能。聚焦钢铁、地炼、焦化、煤电、水泥、轮胎、煤炭、化工8个重点行业，加快淘汰低效落后产能。严格执行质量、环保、能耗、安全等法规标准，按照《产业结构调整指导目录》，对“淘汰类”落后生产工艺装备和落后产品全部淘汰出清。各市聚焦</w:t>
                  </w:r>
                  <w:r>
                    <w:rPr>
                      <w:rFonts w:hint="eastAsia"/>
                      <w:color w:val="auto"/>
                      <w:szCs w:val="21"/>
                      <w:highlight w:val="none"/>
                      <w:lang w:eastAsia="zh-CN"/>
                    </w:rPr>
                    <w:t>“</w:t>
                  </w:r>
                  <w:r>
                    <w:rPr>
                      <w:color w:val="auto"/>
                      <w:szCs w:val="21"/>
                      <w:highlight w:val="none"/>
                    </w:rPr>
                    <w:t>高耗能、高污染、高排放、高风险</w:t>
                  </w:r>
                  <w:r>
                    <w:rPr>
                      <w:rFonts w:hint="eastAsia"/>
                      <w:color w:val="auto"/>
                      <w:szCs w:val="21"/>
                      <w:highlight w:val="none"/>
                      <w:lang w:eastAsia="zh-CN"/>
                    </w:rPr>
                    <w:t>”</w:t>
                  </w:r>
                  <w:r>
                    <w:rPr>
                      <w:color w:val="auto"/>
                      <w:szCs w:val="21"/>
                      <w:highlight w:val="none"/>
                    </w:rPr>
                    <w:t>等行业，分类组织实施转移、压减、整合、关停任务。</w:t>
                  </w:r>
                </w:p>
              </w:tc>
              <w:tc>
                <w:tcPr>
                  <w:tcW w:w="1259" w:type="pct"/>
                  <w:vAlign w:val="center"/>
                </w:tcPr>
                <w:p w14:paraId="046F5FE5">
                  <w:pPr>
                    <w:autoSpaceDE w:val="0"/>
                    <w:autoSpaceDN w:val="0"/>
                    <w:adjustRightInd w:val="0"/>
                    <w:snapToGrid w:val="0"/>
                    <w:rPr>
                      <w:color w:val="auto"/>
                      <w:szCs w:val="21"/>
                      <w:highlight w:val="none"/>
                    </w:rPr>
                  </w:pPr>
                  <w:r>
                    <w:rPr>
                      <w:color w:val="auto"/>
                      <w:szCs w:val="21"/>
                      <w:highlight w:val="none"/>
                    </w:rPr>
                    <w:t>本项目符合国家产业政策要求，属于《产业结构调整指导目录》（2024年本）中</w:t>
                  </w:r>
                  <w:r>
                    <w:rPr>
                      <w:rFonts w:hint="eastAsia"/>
                      <w:color w:val="auto"/>
                      <w:szCs w:val="21"/>
                      <w:highlight w:val="none"/>
                    </w:rPr>
                    <w:t>“</w:t>
                  </w:r>
                  <w:r>
                    <w:rPr>
                      <w:color w:val="auto"/>
                      <w:szCs w:val="21"/>
                      <w:highlight w:val="none"/>
                    </w:rPr>
                    <w:t>鼓励类</w:t>
                  </w:r>
                  <w:r>
                    <w:rPr>
                      <w:rFonts w:hint="eastAsia"/>
                      <w:color w:val="auto"/>
                      <w:szCs w:val="21"/>
                      <w:highlight w:val="none"/>
                    </w:rPr>
                    <w:t>”</w:t>
                  </w:r>
                  <w:r>
                    <w:rPr>
                      <w:color w:val="auto"/>
                      <w:szCs w:val="21"/>
                      <w:highlight w:val="none"/>
                    </w:rPr>
                    <w:t>项目，不属于</w:t>
                  </w:r>
                  <w:r>
                    <w:rPr>
                      <w:rFonts w:hint="eastAsia"/>
                      <w:color w:val="auto"/>
                      <w:szCs w:val="21"/>
                      <w:highlight w:val="none"/>
                    </w:rPr>
                    <w:t>“</w:t>
                  </w:r>
                  <w:r>
                    <w:rPr>
                      <w:color w:val="auto"/>
                      <w:szCs w:val="21"/>
                      <w:highlight w:val="none"/>
                    </w:rPr>
                    <w:t>高耗能、高污染、高排放、高风险</w:t>
                  </w:r>
                  <w:r>
                    <w:rPr>
                      <w:rFonts w:hint="eastAsia"/>
                      <w:color w:val="auto"/>
                      <w:szCs w:val="21"/>
                      <w:highlight w:val="none"/>
                    </w:rPr>
                    <w:t>”</w:t>
                  </w:r>
                  <w:r>
                    <w:rPr>
                      <w:color w:val="auto"/>
                      <w:szCs w:val="21"/>
                      <w:highlight w:val="none"/>
                    </w:rPr>
                    <w:t>等行业。</w:t>
                  </w:r>
                </w:p>
              </w:tc>
            </w:tr>
            <w:tr w14:paraId="7E517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0A4AE99A">
                  <w:pPr>
                    <w:autoSpaceDE w:val="0"/>
                    <w:autoSpaceDN w:val="0"/>
                    <w:adjustRightInd w:val="0"/>
                    <w:snapToGrid w:val="0"/>
                    <w:jc w:val="left"/>
                    <w:rPr>
                      <w:color w:val="auto"/>
                      <w:szCs w:val="21"/>
                      <w:highlight w:val="none"/>
                    </w:rPr>
                  </w:pPr>
                  <w:r>
                    <w:rPr>
                      <w:color w:val="auto"/>
                      <w:szCs w:val="21"/>
                      <w:highlight w:val="none"/>
                    </w:rPr>
                    <w:t>压减煤炭消费量。新、改、扩建熔化炉、加热炉、热处理炉、干燥炉原则上使用清洁低碳能源，不得使用煤炭、重油</w:t>
                  </w:r>
                </w:p>
              </w:tc>
              <w:tc>
                <w:tcPr>
                  <w:tcW w:w="1259" w:type="pct"/>
                  <w:vAlign w:val="center"/>
                </w:tcPr>
                <w:p w14:paraId="76F05DF5">
                  <w:pPr>
                    <w:autoSpaceDE w:val="0"/>
                    <w:autoSpaceDN w:val="0"/>
                    <w:adjustRightInd w:val="0"/>
                    <w:snapToGrid w:val="0"/>
                    <w:rPr>
                      <w:color w:val="auto"/>
                      <w:szCs w:val="21"/>
                      <w:highlight w:val="none"/>
                    </w:rPr>
                  </w:pPr>
                  <w:r>
                    <w:rPr>
                      <w:color w:val="auto"/>
                      <w:szCs w:val="21"/>
                      <w:highlight w:val="none"/>
                    </w:rPr>
                    <w:t>项目属于</w:t>
                  </w:r>
                  <w:r>
                    <w:rPr>
                      <w:rFonts w:hint="eastAsia"/>
                      <w:color w:val="auto"/>
                      <w:szCs w:val="21"/>
                    </w:rPr>
                    <w:t>防洪除涝</w:t>
                  </w:r>
                  <w:r>
                    <w:rPr>
                      <w:rFonts w:hint="eastAsia"/>
                      <w:color w:val="auto"/>
                      <w:szCs w:val="21"/>
                      <w:lang w:eastAsia="zh-CN"/>
                    </w:rPr>
                    <w:t>及</w:t>
                  </w:r>
                  <w:r>
                    <w:rPr>
                      <w:color w:val="auto"/>
                      <w:szCs w:val="21"/>
                      <w:lang w:val="en-US" w:eastAsia="zh-CN"/>
                    </w:rPr>
                    <w:t>城镇供排水工程</w:t>
                  </w:r>
                  <w:r>
                    <w:rPr>
                      <w:color w:val="auto"/>
                      <w:szCs w:val="21"/>
                    </w:rPr>
                    <w:t>项目</w:t>
                  </w:r>
                  <w:r>
                    <w:rPr>
                      <w:color w:val="auto"/>
                      <w:szCs w:val="21"/>
                      <w:highlight w:val="none"/>
                    </w:rPr>
                    <w:t>，不使用煤炭、重油</w:t>
                  </w:r>
                </w:p>
              </w:tc>
            </w:tr>
            <w:tr w14:paraId="48C33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162394DA">
                  <w:pPr>
                    <w:autoSpaceDE w:val="0"/>
                    <w:autoSpaceDN w:val="0"/>
                    <w:adjustRightInd w:val="0"/>
                    <w:snapToGrid w:val="0"/>
                    <w:jc w:val="left"/>
                    <w:rPr>
                      <w:color w:val="auto"/>
                      <w:szCs w:val="21"/>
                      <w:highlight w:val="none"/>
                    </w:rPr>
                  </w:pPr>
                  <w:r>
                    <w:rPr>
                      <w:color w:val="auto"/>
                      <w:szCs w:val="21"/>
                      <w:highlight w:val="none"/>
                    </w:rPr>
                    <w:t>优化货物运输方式。新、改、扩建项目涉及大宗物料运输的，应采用清洁运输方式。支持砂石、煤炭、钢铁、电解铝、电力、焦化、水泥等年运输量150万吨以上的大型工矿企业以及大型物流园区新（改、扩）建铁路专用线。未建成铁路专用线的，优先采用公铁联运、新能源车辆以及封闭式皮带廊道等方式运输。加快构建覆盖全省的原油、成品油、天然气输送网络，完成山东天然气环网及成品油管道建设。到2029年，大宗物料清洁运输比例大幅提升。</w:t>
                  </w:r>
                </w:p>
              </w:tc>
              <w:tc>
                <w:tcPr>
                  <w:tcW w:w="1259" w:type="pct"/>
                  <w:vAlign w:val="center"/>
                </w:tcPr>
                <w:p w14:paraId="6E122285">
                  <w:pPr>
                    <w:autoSpaceDE w:val="0"/>
                    <w:autoSpaceDN w:val="0"/>
                    <w:adjustRightInd w:val="0"/>
                    <w:snapToGrid w:val="0"/>
                    <w:rPr>
                      <w:color w:val="auto"/>
                      <w:szCs w:val="21"/>
                      <w:highlight w:val="none"/>
                    </w:rPr>
                  </w:pPr>
                  <w:r>
                    <w:rPr>
                      <w:color w:val="auto"/>
                      <w:szCs w:val="21"/>
                      <w:highlight w:val="none"/>
                    </w:rPr>
                    <w:t>本项目</w:t>
                  </w:r>
                  <w:r>
                    <w:rPr>
                      <w:rFonts w:hint="eastAsia"/>
                      <w:color w:val="auto"/>
                      <w:szCs w:val="21"/>
                      <w:highlight w:val="none"/>
                    </w:rPr>
                    <w:t>不涉及大宗物料运输</w:t>
                  </w:r>
                  <w:r>
                    <w:rPr>
                      <w:color w:val="auto"/>
                      <w:szCs w:val="21"/>
                      <w:highlight w:val="none"/>
                    </w:rPr>
                    <w:t>。</w:t>
                  </w:r>
                </w:p>
              </w:tc>
            </w:tr>
            <w:tr w14:paraId="07542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0371EE25">
                  <w:pPr>
                    <w:autoSpaceDE w:val="0"/>
                    <w:autoSpaceDN w:val="0"/>
                    <w:adjustRightInd w:val="0"/>
                    <w:snapToGrid w:val="0"/>
                    <w:jc w:val="left"/>
                    <w:rPr>
                      <w:color w:val="auto"/>
                      <w:szCs w:val="21"/>
                      <w:highlight w:val="none"/>
                    </w:rPr>
                  </w:pPr>
                  <w:r>
                    <w:rPr>
                      <w:color w:val="auto"/>
                      <w:szCs w:val="21"/>
                      <w:highlight w:val="none"/>
                    </w:rPr>
                    <w:t>实施VOCs全过程污染防治。实施低VOCs含量工业涂料、油墨、胶粘剂、清洗剂等原辅料使用替代。新、改、扩建工业涂装、包装印刷等含VOCs原辅材料使用的项目，原则上使用低（无）VOCs含量产品。</w:t>
                  </w:r>
                </w:p>
              </w:tc>
              <w:tc>
                <w:tcPr>
                  <w:tcW w:w="1259" w:type="pct"/>
                  <w:vAlign w:val="center"/>
                </w:tcPr>
                <w:p w14:paraId="44C9A88E">
                  <w:pPr>
                    <w:autoSpaceDE w:val="0"/>
                    <w:autoSpaceDN w:val="0"/>
                    <w:adjustRightInd w:val="0"/>
                    <w:snapToGrid w:val="0"/>
                    <w:rPr>
                      <w:color w:val="auto"/>
                      <w:szCs w:val="21"/>
                      <w:highlight w:val="none"/>
                    </w:rPr>
                  </w:pPr>
                  <w:r>
                    <w:rPr>
                      <w:rFonts w:hint="eastAsia"/>
                      <w:color w:val="auto"/>
                      <w:szCs w:val="21"/>
                      <w:highlight w:val="none"/>
                    </w:rPr>
                    <w:t>本项目不属于工业项目，</w:t>
                  </w:r>
                  <w:r>
                    <w:rPr>
                      <w:color w:val="auto"/>
                      <w:szCs w:val="21"/>
                      <w:highlight w:val="none"/>
                    </w:rPr>
                    <w:t>施工期间无VOCs废气产生。</w:t>
                  </w:r>
                </w:p>
              </w:tc>
            </w:tr>
            <w:tr w14:paraId="4600B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41B7D86D">
                  <w:pPr>
                    <w:autoSpaceDE w:val="0"/>
                    <w:autoSpaceDN w:val="0"/>
                    <w:adjustRightInd w:val="0"/>
                    <w:snapToGrid w:val="0"/>
                    <w:jc w:val="left"/>
                    <w:rPr>
                      <w:color w:val="auto"/>
                      <w:szCs w:val="21"/>
                      <w:highlight w:val="none"/>
                    </w:rPr>
                  </w:pPr>
                  <w:r>
                    <w:rPr>
                      <w:color w:val="auto"/>
                      <w:szCs w:val="21"/>
                      <w:highlight w:val="none"/>
                    </w:rPr>
                    <w:t>强化工业源NOx深度治理。严格治理设施运行监管，燃煤机组、锅炉、钢铁企业污染排放稳定达到超低排放要求。</w:t>
                  </w:r>
                </w:p>
              </w:tc>
              <w:tc>
                <w:tcPr>
                  <w:tcW w:w="1259" w:type="pct"/>
                  <w:vAlign w:val="center"/>
                </w:tcPr>
                <w:p w14:paraId="44F6AABC">
                  <w:pPr>
                    <w:autoSpaceDE w:val="0"/>
                    <w:autoSpaceDN w:val="0"/>
                    <w:adjustRightInd w:val="0"/>
                    <w:snapToGrid w:val="0"/>
                    <w:rPr>
                      <w:color w:val="auto"/>
                      <w:szCs w:val="21"/>
                      <w:highlight w:val="none"/>
                    </w:rPr>
                  </w:pPr>
                  <w:r>
                    <w:rPr>
                      <w:color w:val="auto"/>
                      <w:szCs w:val="21"/>
                      <w:highlight w:val="none"/>
                    </w:rPr>
                    <w:t>本项目不属于此类行业。</w:t>
                  </w:r>
                </w:p>
              </w:tc>
            </w:tr>
            <w:tr w14:paraId="74B6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25C5E701">
                  <w:pPr>
                    <w:autoSpaceDE w:val="0"/>
                    <w:autoSpaceDN w:val="0"/>
                    <w:adjustRightInd w:val="0"/>
                    <w:snapToGrid w:val="0"/>
                    <w:jc w:val="left"/>
                    <w:rPr>
                      <w:color w:val="auto"/>
                      <w:szCs w:val="21"/>
                      <w:highlight w:val="none"/>
                    </w:rPr>
                  </w:pPr>
                  <w:r>
                    <w:rPr>
                      <w:color w:val="auto"/>
                      <w:szCs w:val="21"/>
                      <w:highlight w:val="none"/>
                    </w:rPr>
                    <w:t>严格扬尘污染管控。加强施工扬尘精细化管控，建立并动态更新施工工地清单。全面推行绿色施工，将扬尘污染防治费用纳入工程造价，各类施工工地严格落实扬尘污染防治措施，其中建筑施工工地严格执行</w:t>
                  </w:r>
                  <w:r>
                    <w:rPr>
                      <w:rFonts w:hint="eastAsia"/>
                      <w:color w:val="auto"/>
                      <w:szCs w:val="21"/>
                      <w:highlight w:val="none"/>
                      <w:lang w:eastAsia="zh-CN"/>
                    </w:rPr>
                    <w:t>“</w:t>
                  </w:r>
                  <w:r>
                    <w:rPr>
                      <w:color w:val="auto"/>
                      <w:szCs w:val="21"/>
                      <w:highlight w:val="none"/>
                    </w:rPr>
                    <w:t>六项措施</w:t>
                  </w:r>
                  <w:r>
                    <w:rPr>
                      <w:rFonts w:hint="eastAsia"/>
                      <w:color w:val="auto"/>
                      <w:szCs w:val="21"/>
                      <w:highlight w:val="none"/>
                      <w:lang w:eastAsia="zh-CN"/>
                    </w:rPr>
                    <w:t>”</w:t>
                  </w:r>
                  <w:r>
                    <w:rPr>
                      <w:color w:val="auto"/>
                      <w:szCs w:val="21"/>
                      <w:highlight w:val="none"/>
                    </w:rPr>
                    <w:t>。</w:t>
                  </w:r>
                </w:p>
              </w:tc>
              <w:tc>
                <w:tcPr>
                  <w:tcW w:w="1259" w:type="pct"/>
                  <w:vAlign w:val="center"/>
                </w:tcPr>
                <w:p w14:paraId="343BC9B6">
                  <w:pPr>
                    <w:autoSpaceDE w:val="0"/>
                    <w:autoSpaceDN w:val="0"/>
                    <w:adjustRightInd w:val="0"/>
                    <w:snapToGrid w:val="0"/>
                    <w:rPr>
                      <w:color w:val="auto"/>
                      <w:szCs w:val="21"/>
                      <w:highlight w:val="none"/>
                    </w:rPr>
                  </w:pPr>
                  <w:r>
                    <w:rPr>
                      <w:color w:val="auto"/>
                      <w:szCs w:val="21"/>
                      <w:highlight w:val="none"/>
                    </w:rPr>
                    <w:t>本次建设期严格执行</w:t>
                  </w:r>
                  <w:r>
                    <w:rPr>
                      <w:rFonts w:hint="eastAsia"/>
                      <w:color w:val="auto"/>
                      <w:szCs w:val="21"/>
                      <w:highlight w:val="none"/>
                      <w:lang w:eastAsia="zh-CN"/>
                    </w:rPr>
                    <w:t>“</w:t>
                  </w:r>
                  <w:r>
                    <w:rPr>
                      <w:color w:val="auto"/>
                      <w:szCs w:val="21"/>
                      <w:highlight w:val="none"/>
                    </w:rPr>
                    <w:t>六项措施</w:t>
                  </w:r>
                  <w:r>
                    <w:rPr>
                      <w:rFonts w:hint="eastAsia"/>
                      <w:color w:val="auto"/>
                      <w:szCs w:val="21"/>
                      <w:highlight w:val="none"/>
                      <w:lang w:eastAsia="zh-CN"/>
                    </w:rPr>
                    <w:t>”</w:t>
                  </w:r>
                  <w:r>
                    <w:rPr>
                      <w:color w:val="auto"/>
                      <w:szCs w:val="21"/>
                      <w:highlight w:val="none"/>
                    </w:rPr>
                    <w:t>，对产生的污染物进行了妥善的处理，对周边环境影响较小。</w:t>
                  </w:r>
                </w:p>
              </w:tc>
            </w:tr>
            <w:tr w14:paraId="2E8EF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84" w:hRule="atLeast"/>
                <w:jc w:val="center"/>
              </w:trPr>
              <w:tc>
                <w:tcPr>
                  <w:tcW w:w="3740" w:type="pct"/>
                  <w:vAlign w:val="center"/>
                </w:tcPr>
                <w:p w14:paraId="085EB794">
                  <w:pPr>
                    <w:autoSpaceDE w:val="0"/>
                    <w:autoSpaceDN w:val="0"/>
                    <w:adjustRightInd w:val="0"/>
                    <w:snapToGrid w:val="0"/>
                    <w:jc w:val="left"/>
                    <w:rPr>
                      <w:color w:val="auto"/>
                      <w:szCs w:val="21"/>
                      <w:highlight w:val="none"/>
                    </w:rPr>
                  </w:pPr>
                  <w:r>
                    <w:rPr>
                      <w:color w:val="auto"/>
                      <w:szCs w:val="21"/>
                      <w:highlight w:val="none"/>
                    </w:rPr>
                    <w:t>完善环境监管信息化系统加快空气质量监测、污染源在线监控、移动源定位管控等信息数据集成应用，逐步提高污染溯源、问题诊断、应急响应能力。</w:t>
                  </w:r>
                </w:p>
              </w:tc>
              <w:tc>
                <w:tcPr>
                  <w:tcW w:w="1259" w:type="pct"/>
                  <w:vAlign w:val="center"/>
                </w:tcPr>
                <w:p w14:paraId="34B56921">
                  <w:pPr>
                    <w:autoSpaceDE w:val="0"/>
                    <w:autoSpaceDN w:val="0"/>
                    <w:adjustRightInd w:val="0"/>
                    <w:snapToGrid w:val="0"/>
                    <w:rPr>
                      <w:color w:val="auto"/>
                      <w:szCs w:val="21"/>
                      <w:highlight w:val="none"/>
                    </w:rPr>
                  </w:pPr>
                  <w:r>
                    <w:rPr>
                      <w:color w:val="auto"/>
                      <w:szCs w:val="21"/>
                      <w:highlight w:val="none"/>
                    </w:rPr>
                    <w:t>本项目为非工业项目，符合文件要求。</w:t>
                  </w:r>
                </w:p>
              </w:tc>
            </w:tr>
            <w:tr w14:paraId="0B524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27" w:hRule="atLeast"/>
                <w:jc w:val="center"/>
              </w:trPr>
              <w:tc>
                <w:tcPr>
                  <w:tcW w:w="3740" w:type="pct"/>
                  <w:vAlign w:val="center"/>
                </w:tcPr>
                <w:p w14:paraId="3CE4E4C0">
                  <w:pPr>
                    <w:autoSpaceDE w:val="0"/>
                    <w:autoSpaceDN w:val="0"/>
                    <w:adjustRightInd w:val="0"/>
                    <w:snapToGrid w:val="0"/>
                    <w:jc w:val="left"/>
                    <w:rPr>
                      <w:color w:val="auto"/>
                      <w:szCs w:val="21"/>
                      <w:highlight w:val="none"/>
                    </w:rPr>
                  </w:pPr>
                  <w:r>
                    <w:rPr>
                      <w:color w:val="auto"/>
                      <w:szCs w:val="21"/>
                      <w:highlight w:val="none"/>
                    </w:rPr>
                    <w:t>加强大气环境监管按照生态环境部部署，对已发排污许可证质量开展复核。建立以排污许可数据为基础的</w:t>
                  </w:r>
                  <w:r>
                    <w:rPr>
                      <w:rFonts w:hint="eastAsia"/>
                      <w:color w:val="auto"/>
                      <w:szCs w:val="21"/>
                      <w:highlight w:val="none"/>
                      <w:lang w:eastAsia="zh-CN"/>
                    </w:rPr>
                    <w:t>“</w:t>
                  </w:r>
                  <w:r>
                    <w:rPr>
                      <w:color w:val="auto"/>
                      <w:szCs w:val="21"/>
                      <w:highlight w:val="none"/>
                    </w:rPr>
                    <w:t>双随机、一公开</w:t>
                  </w:r>
                  <w:r>
                    <w:rPr>
                      <w:rFonts w:hint="eastAsia"/>
                      <w:color w:val="auto"/>
                      <w:szCs w:val="21"/>
                      <w:highlight w:val="none"/>
                      <w:lang w:eastAsia="zh-CN"/>
                    </w:rPr>
                    <w:t>”</w:t>
                  </w:r>
                  <w:r>
                    <w:rPr>
                      <w:color w:val="auto"/>
                      <w:szCs w:val="21"/>
                      <w:highlight w:val="none"/>
                    </w:rPr>
                    <w:t>数据库，将排污许可证与执行报告作为执法检查的重要依据。加强排污许可证后管理，开展排污许可专项执法检查，落实排污许可</w:t>
                  </w:r>
                  <w:r>
                    <w:rPr>
                      <w:rFonts w:hint="eastAsia"/>
                      <w:color w:val="auto"/>
                      <w:szCs w:val="21"/>
                      <w:highlight w:val="none"/>
                      <w:lang w:eastAsia="zh-CN"/>
                    </w:rPr>
                    <w:t>“</w:t>
                  </w:r>
                  <w:r>
                    <w:rPr>
                      <w:color w:val="auto"/>
                      <w:szCs w:val="21"/>
                      <w:highlight w:val="none"/>
                    </w:rPr>
                    <w:t>一证式</w:t>
                  </w:r>
                  <w:r>
                    <w:rPr>
                      <w:rFonts w:hint="eastAsia"/>
                      <w:color w:val="auto"/>
                      <w:szCs w:val="21"/>
                      <w:highlight w:val="none"/>
                      <w:lang w:eastAsia="zh-CN"/>
                    </w:rPr>
                    <w:t>”</w:t>
                  </w:r>
                  <w:r>
                    <w:rPr>
                      <w:color w:val="auto"/>
                      <w:szCs w:val="21"/>
                      <w:highlight w:val="none"/>
                    </w:rPr>
                    <w:t>管理。</w:t>
                  </w:r>
                </w:p>
              </w:tc>
              <w:tc>
                <w:tcPr>
                  <w:tcW w:w="1259" w:type="pct"/>
                  <w:vAlign w:val="center"/>
                </w:tcPr>
                <w:p w14:paraId="34285BB0">
                  <w:pPr>
                    <w:autoSpaceDE w:val="0"/>
                    <w:autoSpaceDN w:val="0"/>
                    <w:adjustRightInd w:val="0"/>
                    <w:snapToGrid w:val="0"/>
                    <w:rPr>
                      <w:color w:val="auto"/>
                      <w:szCs w:val="21"/>
                      <w:highlight w:val="none"/>
                    </w:rPr>
                  </w:pPr>
                  <w:r>
                    <w:rPr>
                      <w:color w:val="auto"/>
                      <w:szCs w:val="21"/>
                      <w:highlight w:val="none"/>
                    </w:rPr>
                    <w:t>本项目为非工业项目，不使用锅炉，项目无需申领排污许可证。</w:t>
                  </w:r>
                </w:p>
              </w:tc>
            </w:tr>
          </w:tbl>
          <w:p w14:paraId="5DCDBF3C">
            <w:pPr>
              <w:widowControl/>
              <w:spacing w:line="360" w:lineRule="auto"/>
              <w:ind w:left="105" w:leftChars="50" w:right="105" w:rightChars="50" w:firstLine="480" w:firstLineChars="200"/>
              <w:rPr>
                <w:b/>
                <w:bCs/>
                <w:color w:val="auto"/>
                <w:kern w:val="0"/>
                <w:sz w:val="24"/>
                <w:highlight w:val="none"/>
                <w:lang w:bidi="ar"/>
              </w:rPr>
            </w:pPr>
            <w:r>
              <w:rPr>
                <w:color w:val="auto"/>
                <w:sz w:val="24"/>
                <w:highlight w:val="none"/>
              </w:rPr>
              <w:t>综上，本项目符合《山东省深入打好蓝天保卫战行动计划（2021-2025）》文件中相关要求。</w:t>
            </w:r>
          </w:p>
          <w:p w14:paraId="461AF3D5">
            <w:pPr>
              <w:widowControl/>
              <w:spacing w:line="360" w:lineRule="auto"/>
              <w:ind w:left="105" w:leftChars="50" w:right="105" w:rightChars="50" w:firstLine="482" w:firstLineChars="200"/>
              <w:rPr>
                <w:b/>
                <w:bCs/>
                <w:color w:val="auto"/>
                <w:kern w:val="0"/>
                <w:sz w:val="24"/>
                <w:lang w:bidi="ar"/>
              </w:rPr>
            </w:pPr>
            <w:r>
              <w:rPr>
                <w:b/>
                <w:bCs/>
                <w:color w:val="auto"/>
                <w:kern w:val="0"/>
                <w:sz w:val="24"/>
                <w:highlight w:val="none"/>
                <w:lang w:bidi="ar"/>
              </w:rPr>
              <w:t>（二）本项目工程建设的必要性</w:t>
            </w:r>
          </w:p>
          <w:p w14:paraId="13091C2E">
            <w:pPr>
              <w:widowControl/>
              <w:spacing w:line="360" w:lineRule="auto"/>
              <w:ind w:left="105" w:leftChars="50" w:right="105" w:rightChars="50" w:firstLine="480" w:firstLineChars="200"/>
              <w:rPr>
                <w:color w:val="auto"/>
                <w:kern w:val="0"/>
                <w:sz w:val="24"/>
                <w:lang w:bidi="ar"/>
              </w:rPr>
            </w:pPr>
            <w:r>
              <w:rPr>
                <w:color w:val="auto"/>
                <w:kern w:val="0"/>
                <w:sz w:val="24"/>
                <w:lang w:bidi="ar"/>
              </w:rPr>
              <w:t>2020年4月7日，淄博市委市政府召开部分功能区管理范围和机构设置调整优化动员会议，正式宣布经开区南迁。调整后的经开区即将建设成为转型升级先行区、产城融合示范区、绿色生态涵养区。</w:t>
            </w:r>
          </w:p>
          <w:p w14:paraId="5F8AD678">
            <w:pPr>
              <w:widowControl/>
              <w:spacing w:line="360" w:lineRule="auto"/>
              <w:ind w:left="105" w:leftChars="50" w:right="105" w:rightChars="50" w:firstLine="480" w:firstLineChars="200"/>
              <w:rPr>
                <w:color w:val="auto"/>
                <w:kern w:val="0"/>
                <w:sz w:val="24"/>
                <w:lang w:bidi="ar"/>
              </w:rPr>
            </w:pPr>
            <w:r>
              <w:rPr>
                <w:color w:val="auto"/>
                <w:kern w:val="0"/>
                <w:sz w:val="24"/>
                <w:lang w:bidi="ar"/>
              </w:rPr>
              <w:t>经开区是加快主城“南拓”步伐的主战场，孝妇河穿城而过，是“拥河发展”的重要组成部分。过去两年，在淄博市委、市政府的正确领导下，经开区聚焦城市能级提升和功能配套完善，策划实施了淄河大道、华福大道等路网项目，以及孝妇河、漫泗河等生态提升项目，城市面貌发生了根本性变化。</w:t>
            </w:r>
          </w:p>
          <w:p w14:paraId="6C52978D">
            <w:pPr>
              <w:widowControl/>
              <w:spacing w:line="360" w:lineRule="auto"/>
              <w:ind w:left="105" w:leftChars="50" w:right="105" w:rightChars="50" w:firstLine="480" w:firstLineChars="200"/>
              <w:rPr>
                <w:color w:val="auto"/>
                <w:kern w:val="0"/>
                <w:sz w:val="24"/>
                <w:lang w:bidi="ar"/>
              </w:rPr>
            </w:pPr>
            <w:r>
              <w:rPr>
                <w:color w:val="auto"/>
                <w:kern w:val="0"/>
                <w:sz w:val="24"/>
                <w:lang w:bidi="ar"/>
              </w:rPr>
              <w:t>河道工程、排污管道工程等工程实施后，将提升河道行洪能力，改善沿河周边生态环境，为广大人民群众提供安全保障和良好的基础休闲环境，带动周边区域发展，加快经开区招商引资步伐，对区域内的政治、经济和文化交流具有重要的意义。</w:t>
            </w:r>
          </w:p>
          <w:p w14:paraId="378CF3E2">
            <w:pPr>
              <w:widowControl/>
              <w:spacing w:line="360" w:lineRule="auto"/>
              <w:ind w:left="105" w:leftChars="50" w:right="105" w:rightChars="50" w:firstLine="480" w:firstLineChars="200"/>
              <w:rPr>
                <w:color w:val="auto"/>
                <w:kern w:val="0"/>
                <w:sz w:val="24"/>
                <w:highlight w:val="yellow"/>
                <w:lang w:bidi="ar"/>
              </w:rPr>
            </w:pPr>
            <w:r>
              <w:rPr>
                <w:color w:val="auto"/>
                <w:kern w:val="0"/>
                <w:sz w:val="24"/>
                <w:lang w:bidi="ar"/>
              </w:rPr>
              <w:t>因此，本方案对</w:t>
            </w:r>
            <w:r>
              <w:rPr>
                <w:rFonts w:hint="eastAsia"/>
                <w:color w:val="auto"/>
                <w:kern w:val="0"/>
                <w:sz w:val="24"/>
                <w:lang w:bidi="ar"/>
              </w:rPr>
              <w:t>涝淄河、漫泗河、东猪龙河上游东西支等中小河流综合治理工程，对瓦村沟、暖水河、焕然河、三泉沟、白蛇沟、袁家河、天津路排涝沟、小旦村大高村排涝沟等排涝河道提升治理工程</w:t>
            </w:r>
            <w:r>
              <w:rPr>
                <w:color w:val="auto"/>
                <w:kern w:val="0"/>
                <w:sz w:val="24"/>
                <w:lang w:bidi="ar"/>
              </w:rPr>
              <w:t>。</w:t>
            </w:r>
          </w:p>
        </w:tc>
      </w:tr>
    </w:tbl>
    <w:p w14:paraId="64DDEFCA">
      <w:pPr>
        <w:spacing w:line="360" w:lineRule="auto"/>
        <w:outlineLvl w:val="0"/>
        <w:rPr>
          <w:color w:val="auto"/>
          <w:sz w:val="30"/>
          <w:highlight w:val="yellow"/>
        </w:rPr>
        <w:sectPr>
          <w:footerReference r:id="rId4" w:type="default"/>
          <w:pgSz w:w="11905" w:h="16838"/>
          <w:pgMar w:top="1247" w:right="1417" w:bottom="1417" w:left="1417" w:header="851" w:footer="1077" w:gutter="0"/>
          <w:pgNumType w:start="1"/>
          <w:cols w:space="720" w:num="1"/>
          <w:docGrid w:linePitch="312" w:charSpace="0"/>
        </w:sectPr>
      </w:pPr>
    </w:p>
    <w:p w14:paraId="31450481">
      <w:pPr>
        <w:pStyle w:val="17"/>
        <w:spacing w:before="120" w:beforeLines="50" w:beforeAutospacing="0" w:after="120"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二、建设内容</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709"/>
      </w:tblGrid>
      <w:tr w14:paraId="12A03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16" w:hRule="atLeast"/>
          <w:jc w:val="center"/>
        </w:trPr>
        <w:tc>
          <w:tcPr>
            <w:tcW w:w="311" w:type="pct"/>
            <w:vAlign w:val="center"/>
          </w:tcPr>
          <w:p w14:paraId="3FCAA6D3">
            <w:pPr>
              <w:jc w:val="center"/>
              <w:rPr>
                <w:color w:val="auto"/>
                <w:kern w:val="0"/>
                <w:sz w:val="24"/>
                <w:highlight w:val="none"/>
              </w:rPr>
            </w:pPr>
            <w:r>
              <w:rPr>
                <w:color w:val="auto"/>
                <w:kern w:val="0"/>
                <w:sz w:val="24"/>
                <w:highlight w:val="none"/>
              </w:rPr>
              <w:t>地</w:t>
            </w:r>
          </w:p>
          <w:p w14:paraId="5C6EBDF3">
            <w:pPr>
              <w:jc w:val="center"/>
              <w:rPr>
                <w:color w:val="auto"/>
                <w:kern w:val="0"/>
                <w:sz w:val="24"/>
                <w:highlight w:val="none"/>
              </w:rPr>
            </w:pPr>
            <w:r>
              <w:rPr>
                <w:color w:val="auto"/>
                <w:kern w:val="0"/>
                <w:sz w:val="24"/>
                <w:highlight w:val="none"/>
              </w:rPr>
              <w:t>理</w:t>
            </w:r>
          </w:p>
          <w:p w14:paraId="1F79F031">
            <w:pPr>
              <w:jc w:val="center"/>
              <w:rPr>
                <w:color w:val="auto"/>
                <w:kern w:val="0"/>
                <w:sz w:val="24"/>
                <w:highlight w:val="none"/>
              </w:rPr>
            </w:pPr>
            <w:r>
              <w:rPr>
                <w:color w:val="auto"/>
                <w:kern w:val="0"/>
                <w:sz w:val="24"/>
                <w:highlight w:val="none"/>
              </w:rPr>
              <w:t>位</w:t>
            </w:r>
          </w:p>
          <w:p w14:paraId="24004445">
            <w:pPr>
              <w:jc w:val="center"/>
              <w:rPr>
                <w:color w:val="auto"/>
                <w:kern w:val="0"/>
                <w:sz w:val="24"/>
                <w:highlight w:val="none"/>
              </w:rPr>
            </w:pPr>
            <w:r>
              <w:rPr>
                <w:color w:val="auto"/>
                <w:kern w:val="0"/>
                <w:sz w:val="24"/>
                <w:highlight w:val="none"/>
              </w:rPr>
              <w:t>置</w:t>
            </w:r>
          </w:p>
        </w:tc>
        <w:tc>
          <w:tcPr>
            <w:tcW w:w="4688" w:type="pct"/>
            <w:vAlign w:val="center"/>
          </w:tcPr>
          <w:p w14:paraId="3947D4F2">
            <w:pPr>
              <w:snapToGrid w:val="0"/>
              <w:spacing w:line="360" w:lineRule="auto"/>
              <w:ind w:firstLine="560"/>
              <w:rPr>
                <w:color w:val="auto"/>
                <w:sz w:val="24"/>
                <w:highlight w:val="none"/>
              </w:rPr>
            </w:pPr>
            <w:r>
              <w:rPr>
                <w:color w:val="auto"/>
                <w:sz w:val="24"/>
                <w:highlight w:val="none"/>
              </w:rPr>
              <w:t>涝淄河起点坐标：E118°6′12.68</w:t>
            </w:r>
            <w:r>
              <w:rPr>
                <w:rFonts w:hint="eastAsia"/>
                <w:color w:val="auto"/>
                <w:sz w:val="24"/>
                <w:highlight w:val="none"/>
              </w:rPr>
              <w:t>7</w:t>
            </w:r>
            <w:r>
              <w:rPr>
                <w:color w:val="auto"/>
                <w:sz w:val="24"/>
                <w:highlight w:val="none"/>
              </w:rPr>
              <w:t>″</w:t>
            </w:r>
            <w:r>
              <w:rPr>
                <w:rFonts w:hint="eastAsia"/>
                <w:color w:val="auto"/>
                <w:sz w:val="24"/>
                <w:highlight w:val="none"/>
              </w:rPr>
              <w:t>，N</w:t>
            </w:r>
            <w:r>
              <w:rPr>
                <w:color w:val="auto"/>
                <w:sz w:val="24"/>
                <w:highlight w:val="none"/>
              </w:rPr>
              <w:t>36°44′57.354″，终点坐标：E118°5′43.00</w:t>
            </w:r>
            <w:r>
              <w:rPr>
                <w:rFonts w:hint="eastAsia"/>
                <w:color w:val="auto"/>
                <w:sz w:val="24"/>
                <w:highlight w:val="none"/>
              </w:rPr>
              <w:t>8</w:t>
            </w:r>
            <w:r>
              <w:rPr>
                <w:color w:val="auto"/>
                <w:sz w:val="24"/>
                <w:highlight w:val="none"/>
              </w:rPr>
              <w:t>″、N36°46′43.718″；</w:t>
            </w:r>
          </w:p>
          <w:p w14:paraId="13C12581">
            <w:pPr>
              <w:snapToGrid w:val="0"/>
              <w:spacing w:line="360" w:lineRule="auto"/>
              <w:ind w:firstLine="560"/>
              <w:rPr>
                <w:color w:val="auto"/>
                <w:sz w:val="24"/>
                <w:highlight w:val="none"/>
              </w:rPr>
            </w:pPr>
            <w:r>
              <w:rPr>
                <w:color w:val="auto"/>
                <w:sz w:val="24"/>
                <w:highlight w:val="none"/>
              </w:rPr>
              <w:t>漫泗河起点坐标：E118°3′13.714″、N36°43′6.51</w:t>
            </w:r>
            <w:r>
              <w:rPr>
                <w:rFonts w:hint="eastAsia"/>
                <w:color w:val="auto"/>
                <w:sz w:val="24"/>
                <w:highlight w:val="none"/>
              </w:rPr>
              <w:t>3</w:t>
            </w:r>
            <w:r>
              <w:rPr>
                <w:color w:val="auto"/>
                <w:sz w:val="24"/>
                <w:highlight w:val="none"/>
              </w:rPr>
              <w:t>″，终点坐标：E118°2′19.46</w:t>
            </w:r>
            <w:r>
              <w:rPr>
                <w:rFonts w:hint="eastAsia"/>
                <w:color w:val="auto"/>
                <w:sz w:val="24"/>
                <w:highlight w:val="none"/>
              </w:rPr>
              <w:t>4</w:t>
            </w:r>
            <w:r>
              <w:rPr>
                <w:color w:val="auto"/>
                <w:sz w:val="24"/>
                <w:highlight w:val="none"/>
              </w:rPr>
              <w:t>″、N36°43′48.29</w:t>
            </w:r>
            <w:r>
              <w:rPr>
                <w:rFonts w:hint="eastAsia"/>
                <w:color w:val="auto"/>
                <w:sz w:val="24"/>
                <w:highlight w:val="none"/>
              </w:rPr>
              <w:t>8</w:t>
            </w:r>
            <w:r>
              <w:rPr>
                <w:color w:val="auto"/>
                <w:sz w:val="24"/>
                <w:highlight w:val="none"/>
              </w:rPr>
              <w:t>″；</w:t>
            </w:r>
          </w:p>
          <w:p w14:paraId="73C87451">
            <w:pPr>
              <w:snapToGrid w:val="0"/>
              <w:spacing w:line="360" w:lineRule="auto"/>
              <w:ind w:firstLine="560"/>
              <w:rPr>
                <w:color w:val="auto"/>
                <w:sz w:val="24"/>
                <w:highlight w:val="none"/>
              </w:rPr>
            </w:pPr>
            <w:r>
              <w:rPr>
                <w:rFonts w:hint="eastAsia"/>
                <w:color w:val="auto"/>
                <w:sz w:val="24"/>
                <w:highlight w:val="none"/>
              </w:rPr>
              <w:t>东猪龙河上游东支起点坐标：</w:t>
            </w:r>
            <w:r>
              <w:rPr>
                <w:color w:val="auto"/>
                <w:sz w:val="24"/>
                <w:highlight w:val="none"/>
              </w:rPr>
              <w:t>E118°4′8.716″、N36°45′46.93</w:t>
            </w:r>
            <w:r>
              <w:rPr>
                <w:rFonts w:hint="eastAsia"/>
                <w:color w:val="auto"/>
                <w:sz w:val="24"/>
                <w:highlight w:val="none"/>
              </w:rPr>
              <w:t>4</w:t>
            </w:r>
            <w:r>
              <w:rPr>
                <w:color w:val="auto"/>
                <w:sz w:val="24"/>
                <w:highlight w:val="none"/>
              </w:rPr>
              <w:t>″，终点坐标：E118°3′6.99</w:t>
            </w:r>
            <w:r>
              <w:rPr>
                <w:rFonts w:hint="eastAsia"/>
                <w:color w:val="auto"/>
                <w:sz w:val="24"/>
                <w:highlight w:val="none"/>
              </w:rPr>
              <w:t>3</w:t>
            </w:r>
            <w:r>
              <w:rPr>
                <w:color w:val="auto"/>
                <w:sz w:val="24"/>
                <w:highlight w:val="none"/>
              </w:rPr>
              <w:t>″、N36°46′7.15</w:t>
            </w:r>
            <w:r>
              <w:rPr>
                <w:rFonts w:hint="eastAsia"/>
                <w:color w:val="auto"/>
                <w:sz w:val="24"/>
                <w:highlight w:val="none"/>
              </w:rPr>
              <w:t>5</w:t>
            </w:r>
            <w:r>
              <w:rPr>
                <w:color w:val="auto"/>
                <w:sz w:val="24"/>
                <w:highlight w:val="none"/>
              </w:rPr>
              <w:t>″；</w:t>
            </w:r>
          </w:p>
          <w:p w14:paraId="6C2338F1">
            <w:pPr>
              <w:snapToGrid w:val="0"/>
              <w:spacing w:line="360" w:lineRule="auto"/>
              <w:ind w:firstLine="560"/>
              <w:rPr>
                <w:color w:val="auto"/>
                <w:sz w:val="24"/>
                <w:highlight w:val="none"/>
              </w:rPr>
            </w:pPr>
            <w:r>
              <w:rPr>
                <w:rFonts w:hint="eastAsia"/>
                <w:color w:val="auto"/>
                <w:sz w:val="24"/>
                <w:highlight w:val="none"/>
              </w:rPr>
              <w:t>东猪龙河上游西支起点坐标：</w:t>
            </w:r>
            <w:r>
              <w:rPr>
                <w:color w:val="auto"/>
                <w:sz w:val="24"/>
                <w:highlight w:val="none"/>
              </w:rPr>
              <w:t>E118°4′51.876″、N36°44′37.488″，终点坐标：E118°2′47.76</w:t>
            </w:r>
            <w:r>
              <w:rPr>
                <w:rFonts w:hint="eastAsia"/>
                <w:color w:val="auto"/>
                <w:sz w:val="24"/>
                <w:highlight w:val="none"/>
              </w:rPr>
              <w:t>5</w:t>
            </w:r>
            <w:r>
              <w:rPr>
                <w:color w:val="auto"/>
                <w:sz w:val="24"/>
                <w:highlight w:val="none"/>
              </w:rPr>
              <w:t>″、N36°45′45.31</w:t>
            </w:r>
            <w:r>
              <w:rPr>
                <w:rFonts w:hint="eastAsia"/>
                <w:color w:val="auto"/>
                <w:sz w:val="24"/>
                <w:highlight w:val="none"/>
              </w:rPr>
              <w:t>8</w:t>
            </w:r>
            <w:r>
              <w:rPr>
                <w:color w:val="auto"/>
                <w:sz w:val="24"/>
                <w:highlight w:val="none"/>
              </w:rPr>
              <w:t>″；</w:t>
            </w:r>
          </w:p>
          <w:p w14:paraId="1E4C5696">
            <w:pPr>
              <w:snapToGrid w:val="0"/>
              <w:spacing w:line="360" w:lineRule="auto"/>
              <w:ind w:firstLine="560"/>
              <w:rPr>
                <w:color w:val="auto"/>
                <w:sz w:val="24"/>
                <w:highlight w:val="none"/>
              </w:rPr>
            </w:pPr>
            <w:r>
              <w:rPr>
                <w:color w:val="auto"/>
                <w:sz w:val="24"/>
                <w:highlight w:val="none"/>
              </w:rPr>
              <w:t>瓦村沟起点坐标：E118°1′33.516″、N36°42′21.548″，终点坐标：E118°0′9.12</w:t>
            </w:r>
            <w:r>
              <w:rPr>
                <w:rFonts w:hint="eastAsia"/>
                <w:color w:val="auto"/>
                <w:sz w:val="24"/>
                <w:highlight w:val="none"/>
              </w:rPr>
              <w:t>5</w:t>
            </w:r>
            <w:r>
              <w:rPr>
                <w:color w:val="auto"/>
                <w:sz w:val="24"/>
                <w:highlight w:val="none"/>
              </w:rPr>
              <w:t>″、N36°43′52.32</w:t>
            </w:r>
            <w:r>
              <w:rPr>
                <w:rFonts w:hint="eastAsia"/>
                <w:color w:val="auto"/>
                <w:sz w:val="24"/>
                <w:highlight w:val="none"/>
              </w:rPr>
              <w:t>8</w:t>
            </w:r>
            <w:r>
              <w:rPr>
                <w:color w:val="auto"/>
                <w:sz w:val="24"/>
                <w:highlight w:val="none"/>
              </w:rPr>
              <w:t>″；</w:t>
            </w:r>
          </w:p>
          <w:p w14:paraId="71A274A8">
            <w:pPr>
              <w:snapToGrid w:val="0"/>
              <w:spacing w:line="360" w:lineRule="auto"/>
              <w:ind w:firstLine="560"/>
              <w:rPr>
                <w:color w:val="auto"/>
                <w:sz w:val="24"/>
                <w:highlight w:val="none"/>
              </w:rPr>
            </w:pPr>
            <w:r>
              <w:rPr>
                <w:color w:val="auto"/>
                <w:sz w:val="24"/>
                <w:highlight w:val="none"/>
              </w:rPr>
              <w:t>暖水河起点坐标：E118°2′24.97</w:t>
            </w:r>
            <w:r>
              <w:rPr>
                <w:rFonts w:hint="eastAsia"/>
                <w:color w:val="auto"/>
                <w:sz w:val="24"/>
                <w:highlight w:val="none"/>
              </w:rPr>
              <w:t>4</w:t>
            </w:r>
            <w:r>
              <w:rPr>
                <w:color w:val="auto"/>
                <w:sz w:val="24"/>
                <w:highlight w:val="none"/>
              </w:rPr>
              <w:t>″、N36°42′32.66</w:t>
            </w:r>
            <w:r>
              <w:rPr>
                <w:rFonts w:hint="eastAsia"/>
                <w:color w:val="auto"/>
                <w:sz w:val="24"/>
                <w:highlight w:val="none"/>
              </w:rPr>
              <w:t>3</w:t>
            </w:r>
            <w:r>
              <w:rPr>
                <w:color w:val="auto"/>
                <w:sz w:val="24"/>
                <w:highlight w:val="none"/>
              </w:rPr>
              <w:t>″，终点坐标：E118°1′59.059″、N36°43′55.33</w:t>
            </w:r>
            <w:r>
              <w:rPr>
                <w:rFonts w:hint="eastAsia"/>
                <w:color w:val="auto"/>
                <w:sz w:val="24"/>
                <w:highlight w:val="none"/>
              </w:rPr>
              <w:t>6</w:t>
            </w:r>
            <w:r>
              <w:rPr>
                <w:color w:val="auto"/>
                <w:sz w:val="24"/>
                <w:highlight w:val="none"/>
              </w:rPr>
              <w:t>″；</w:t>
            </w:r>
          </w:p>
          <w:p w14:paraId="00624BC5">
            <w:pPr>
              <w:snapToGrid w:val="0"/>
              <w:spacing w:line="360" w:lineRule="auto"/>
              <w:ind w:firstLine="560"/>
              <w:rPr>
                <w:color w:val="auto"/>
                <w:sz w:val="24"/>
                <w:highlight w:val="none"/>
              </w:rPr>
            </w:pPr>
            <w:r>
              <w:rPr>
                <w:color w:val="auto"/>
                <w:sz w:val="24"/>
                <w:highlight w:val="none"/>
              </w:rPr>
              <w:t>焕然河起点坐标：E117°56′14.481″、N36°43′43.806″，终点坐标：E117°56′0.390″、N36°44′27.48</w:t>
            </w:r>
            <w:r>
              <w:rPr>
                <w:rFonts w:hint="eastAsia"/>
                <w:color w:val="auto"/>
                <w:sz w:val="24"/>
                <w:highlight w:val="none"/>
              </w:rPr>
              <w:t>3</w:t>
            </w:r>
            <w:r>
              <w:rPr>
                <w:color w:val="auto"/>
                <w:sz w:val="24"/>
                <w:highlight w:val="none"/>
              </w:rPr>
              <w:t>″；</w:t>
            </w:r>
          </w:p>
          <w:p w14:paraId="5601660F">
            <w:pPr>
              <w:snapToGrid w:val="0"/>
              <w:spacing w:line="360" w:lineRule="auto"/>
              <w:ind w:firstLine="560"/>
              <w:rPr>
                <w:color w:val="auto"/>
                <w:sz w:val="24"/>
                <w:highlight w:val="none"/>
              </w:rPr>
            </w:pPr>
            <w:r>
              <w:rPr>
                <w:rFonts w:hint="eastAsia"/>
                <w:color w:val="auto"/>
                <w:sz w:val="24"/>
                <w:highlight w:val="none"/>
              </w:rPr>
              <w:t>三泉沟</w:t>
            </w:r>
            <w:r>
              <w:rPr>
                <w:color w:val="auto"/>
                <w:sz w:val="24"/>
                <w:highlight w:val="none"/>
              </w:rPr>
              <w:t>起点坐标：E118°1′35.24</w:t>
            </w:r>
            <w:r>
              <w:rPr>
                <w:rFonts w:hint="eastAsia"/>
                <w:color w:val="auto"/>
                <w:sz w:val="24"/>
                <w:highlight w:val="none"/>
              </w:rPr>
              <w:t>8</w:t>
            </w:r>
            <w:r>
              <w:rPr>
                <w:color w:val="auto"/>
                <w:sz w:val="24"/>
                <w:highlight w:val="none"/>
              </w:rPr>
              <w:t>″、N36°45′20.688″，终点坐标：E118°1′14.251″、N36°44′6.87</w:t>
            </w:r>
            <w:r>
              <w:rPr>
                <w:rFonts w:hint="eastAsia"/>
                <w:color w:val="auto"/>
                <w:sz w:val="24"/>
                <w:highlight w:val="none"/>
              </w:rPr>
              <w:t>4</w:t>
            </w:r>
            <w:r>
              <w:rPr>
                <w:color w:val="auto"/>
                <w:sz w:val="24"/>
                <w:highlight w:val="none"/>
              </w:rPr>
              <w:t>″；</w:t>
            </w:r>
          </w:p>
          <w:p w14:paraId="0EB52EB6">
            <w:pPr>
              <w:snapToGrid w:val="0"/>
              <w:spacing w:line="360" w:lineRule="auto"/>
              <w:ind w:firstLine="560"/>
              <w:rPr>
                <w:color w:val="auto"/>
                <w:sz w:val="24"/>
                <w:highlight w:val="none"/>
              </w:rPr>
            </w:pPr>
            <w:r>
              <w:rPr>
                <w:color w:val="auto"/>
                <w:sz w:val="24"/>
                <w:highlight w:val="none"/>
              </w:rPr>
              <w:t>白蛇沟起点坐标：E117°55′32.28</w:t>
            </w:r>
            <w:r>
              <w:rPr>
                <w:rFonts w:hint="eastAsia"/>
                <w:color w:val="auto"/>
                <w:sz w:val="24"/>
                <w:highlight w:val="none"/>
              </w:rPr>
              <w:t>9</w:t>
            </w:r>
            <w:r>
              <w:rPr>
                <w:color w:val="auto"/>
                <w:sz w:val="24"/>
                <w:highlight w:val="none"/>
              </w:rPr>
              <w:t>″、N36°45′51.66</w:t>
            </w:r>
            <w:r>
              <w:rPr>
                <w:rFonts w:hint="eastAsia"/>
                <w:color w:val="auto"/>
                <w:sz w:val="24"/>
                <w:highlight w:val="none"/>
              </w:rPr>
              <w:t>8</w:t>
            </w:r>
            <w:r>
              <w:rPr>
                <w:color w:val="auto"/>
                <w:sz w:val="24"/>
                <w:highlight w:val="none"/>
              </w:rPr>
              <w:t>″，终点坐标：E117°57′51.9</w:t>
            </w:r>
            <w:r>
              <w:rPr>
                <w:rFonts w:hint="eastAsia"/>
                <w:color w:val="auto"/>
                <w:sz w:val="24"/>
                <w:highlight w:val="none"/>
              </w:rPr>
              <w:t>30</w:t>
            </w:r>
            <w:r>
              <w:rPr>
                <w:color w:val="auto"/>
                <w:sz w:val="24"/>
                <w:highlight w:val="none"/>
              </w:rPr>
              <w:t>″、N36°46′57.450″；</w:t>
            </w:r>
          </w:p>
          <w:p w14:paraId="57CDB523">
            <w:pPr>
              <w:snapToGrid w:val="0"/>
              <w:spacing w:line="360" w:lineRule="auto"/>
              <w:ind w:firstLine="560"/>
              <w:rPr>
                <w:color w:val="auto"/>
                <w:sz w:val="24"/>
                <w:highlight w:val="none"/>
              </w:rPr>
            </w:pPr>
            <w:r>
              <w:rPr>
                <w:rFonts w:hint="eastAsia"/>
                <w:color w:val="auto"/>
                <w:sz w:val="24"/>
                <w:highlight w:val="none"/>
              </w:rPr>
              <w:t>袁家河</w:t>
            </w:r>
            <w:r>
              <w:rPr>
                <w:color w:val="auto"/>
                <w:sz w:val="24"/>
                <w:highlight w:val="none"/>
              </w:rPr>
              <w:t>起点坐标：E117°56′39.67</w:t>
            </w:r>
            <w:r>
              <w:rPr>
                <w:rFonts w:hint="eastAsia"/>
                <w:color w:val="auto"/>
                <w:sz w:val="24"/>
                <w:highlight w:val="none"/>
              </w:rPr>
              <w:t>7</w:t>
            </w:r>
            <w:r>
              <w:rPr>
                <w:color w:val="auto"/>
                <w:sz w:val="24"/>
                <w:highlight w:val="none"/>
              </w:rPr>
              <w:t>″、N36°42′51.879″，终点坐标：E117°57′30.19</w:t>
            </w:r>
            <w:r>
              <w:rPr>
                <w:rFonts w:hint="eastAsia"/>
                <w:color w:val="auto"/>
                <w:sz w:val="24"/>
                <w:highlight w:val="none"/>
              </w:rPr>
              <w:t>3</w:t>
            </w:r>
            <w:r>
              <w:rPr>
                <w:color w:val="auto"/>
                <w:sz w:val="24"/>
                <w:highlight w:val="none"/>
              </w:rPr>
              <w:t>″、N36°44′39.306″；</w:t>
            </w:r>
          </w:p>
          <w:p w14:paraId="09AAE253">
            <w:pPr>
              <w:snapToGrid w:val="0"/>
              <w:spacing w:line="360" w:lineRule="auto"/>
              <w:ind w:firstLine="560"/>
              <w:rPr>
                <w:color w:val="auto"/>
                <w:sz w:val="24"/>
                <w:highlight w:val="none"/>
              </w:rPr>
            </w:pPr>
            <w:r>
              <w:rPr>
                <w:rFonts w:hint="eastAsia"/>
                <w:color w:val="auto"/>
                <w:sz w:val="24"/>
                <w:highlight w:val="none"/>
              </w:rPr>
              <w:t>天津路排涝沟</w:t>
            </w:r>
            <w:r>
              <w:rPr>
                <w:color w:val="auto"/>
                <w:sz w:val="24"/>
                <w:highlight w:val="none"/>
              </w:rPr>
              <w:t>起点坐标：E117°57′58.385″、N36°42′54.006″，终点坐标：E117°57′40.686″、N36°44′52.588″；</w:t>
            </w:r>
          </w:p>
          <w:p w14:paraId="7BB93F20">
            <w:pPr>
              <w:snapToGrid w:val="0"/>
              <w:spacing w:line="360" w:lineRule="auto"/>
              <w:ind w:firstLine="560"/>
              <w:rPr>
                <w:color w:val="auto"/>
                <w:sz w:val="24"/>
                <w:highlight w:val="none"/>
              </w:rPr>
            </w:pPr>
            <w:r>
              <w:rPr>
                <w:rFonts w:hint="eastAsia"/>
                <w:color w:val="auto"/>
                <w:sz w:val="24"/>
                <w:highlight w:val="none"/>
              </w:rPr>
              <w:t>小旦村排涝沟</w:t>
            </w:r>
            <w:r>
              <w:rPr>
                <w:color w:val="auto"/>
                <w:sz w:val="24"/>
                <w:highlight w:val="none"/>
              </w:rPr>
              <w:t>起点坐标：E118°2′37.42</w:t>
            </w:r>
            <w:r>
              <w:rPr>
                <w:rFonts w:hint="eastAsia"/>
                <w:color w:val="auto"/>
                <w:sz w:val="24"/>
                <w:highlight w:val="none"/>
              </w:rPr>
              <w:t>9</w:t>
            </w:r>
            <w:r>
              <w:rPr>
                <w:color w:val="auto"/>
                <w:sz w:val="24"/>
                <w:highlight w:val="none"/>
              </w:rPr>
              <w:t>″、N36°43′13.57</w:t>
            </w:r>
            <w:r>
              <w:rPr>
                <w:rFonts w:hint="eastAsia"/>
                <w:color w:val="auto"/>
                <w:sz w:val="24"/>
                <w:highlight w:val="none"/>
              </w:rPr>
              <w:t>4</w:t>
            </w:r>
            <w:r>
              <w:rPr>
                <w:color w:val="auto"/>
                <w:sz w:val="24"/>
                <w:highlight w:val="none"/>
              </w:rPr>
              <w:t>″，终点坐标：E118°2′43.360″、N36°43′45.80</w:t>
            </w:r>
            <w:r>
              <w:rPr>
                <w:rFonts w:hint="eastAsia"/>
                <w:color w:val="auto"/>
                <w:sz w:val="24"/>
                <w:highlight w:val="none"/>
              </w:rPr>
              <w:t>7</w:t>
            </w:r>
            <w:r>
              <w:rPr>
                <w:color w:val="auto"/>
                <w:sz w:val="24"/>
                <w:highlight w:val="none"/>
              </w:rPr>
              <w:t>″；</w:t>
            </w:r>
          </w:p>
          <w:p w14:paraId="0CB79894">
            <w:pPr>
              <w:snapToGrid w:val="0"/>
              <w:spacing w:line="360" w:lineRule="auto"/>
              <w:ind w:firstLine="560"/>
              <w:rPr>
                <w:color w:val="auto"/>
                <w:sz w:val="24"/>
                <w:highlight w:val="none"/>
              </w:rPr>
            </w:pPr>
            <w:r>
              <w:rPr>
                <w:rFonts w:hint="eastAsia"/>
                <w:color w:val="auto"/>
                <w:sz w:val="24"/>
                <w:highlight w:val="none"/>
              </w:rPr>
              <w:t>大高村排涝沟</w:t>
            </w:r>
            <w:r>
              <w:rPr>
                <w:color w:val="auto"/>
                <w:sz w:val="24"/>
                <w:highlight w:val="none"/>
              </w:rPr>
              <w:t>起点坐标：E118°6′34.197″、N36°45′26.86</w:t>
            </w:r>
            <w:r>
              <w:rPr>
                <w:rFonts w:hint="eastAsia"/>
                <w:color w:val="auto"/>
                <w:sz w:val="24"/>
                <w:highlight w:val="none"/>
              </w:rPr>
              <w:t>1</w:t>
            </w:r>
            <w:r>
              <w:rPr>
                <w:color w:val="auto"/>
                <w:sz w:val="24"/>
                <w:highlight w:val="none"/>
              </w:rPr>
              <w:t>″，终点坐标：E118°6′46.017″、N36°45′50.04</w:t>
            </w:r>
            <w:r>
              <w:rPr>
                <w:rFonts w:hint="eastAsia"/>
                <w:color w:val="auto"/>
                <w:sz w:val="24"/>
                <w:highlight w:val="none"/>
              </w:rPr>
              <w:t>2</w:t>
            </w:r>
            <w:r>
              <w:rPr>
                <w:color w:val="auto"/>
                <w:sz w:val="24"/>
                <w:highlight w:val="none"/>
              </w:rPr>
              <w:t>″。</w:t>
            </w:r>
          </w:p>
          <w:p w14:paraId="7A65133E">
            <w:pPr>
              <w:snapToGrid w:val="0"/>
              <w:spacing w:line="360" w:lineRule="auto"/>
              <w:ind w:firstLine="560"/>
              <w:rPr>
                <w:color w:val="auto"/>
                <w:sz w:val="24"/>
                <w:highlight w:val="none"/>
              </w:rPr>
            </w:pPr>
            <w:r>
              <w:rPr>
                <w:color w:val="auto"/>
                <w:sz w:val="24"/>
                <w:highlight w:val="none"/>
              </w:rPr>
              <w:t>项目详细地理位置图见附图1。</w:t>
            </w:r>
          </w:p>
        </w:tc>
      </w:tr>
      <w:tr w14:paraId="72096F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8" w:hRule="atLeast"/>
          <w:jc w:val="center"/>
        </w:trPr>
        <w:tc>
          <w:tcPr>
            <w:tcW w:w="311" w:type="pct"/>
            <w:vAlign w:val="center"/>
          </w:tcPr>
          <w:p w14:paraId="28190D74">
            <w:pPr>
              <w:jc w:val="center"/>
              <w:rPr>
                <w:color w:val="auto"/>
                <w:kern w:val="0"/>
                <w:sz w:val="24"/>
                <w:highlight w:val="none"/>
              </w:rPr>
            </w:pPr>
            <w:r>
              <w:rPr>
                <w:color w:val="auto"/>
                <w:kern w:val="0"/>
                <w:sz w:val="24"/>
                <w:highlight w:val="none"/>
              </w:rPr>
              <w:t>项</w:t>
            </w:r>
          </w:p>
          <w:p w14:paraId="6425D954">
            <w:pPr>
              <w:jc w:val="center"/>
              <w:rPr>
                <w:color w:val="auto"/>
                <w:kern w:val="0"/>
                <w:sz w:val="24"/>
                <w:highlight w:val="none"/>
              </w:rPr>
            </w:pPr>
            <w:r>
              <w:rPr>
                <w:color w:val="auto"/>
                <w:kern w:val="0"/>
                <w:sz w:val="24"/>
                <w:highlight w:val="none"/>
              </w:rPr>
              <w:t>目</w:t>
            </w:r>
          </w:p>
          <w:p w14:paraId="1B0F6294">
            <w:pPr>
              <w:jc w:val="center"/>
              <w:rPr>
                <w:color w:val="auto"/>
                <w:kern w:val="0"/>
                <w:sz w:val="24"/>
                <w:highlight w:val="none"/>
              </w:rPr>
            </w:pPr>
            <w:r>
              <w:rPr>
                <w:color w:val="auto"/>
                <w:kern w:val="0"/>
                <w:sz w:val="24"/>
                <w:highlight w:val="none"/>
              </w:rPr>
              <w:t>组</w:t>
            </w:r>
          </w:p>
          <w:p w14:paraId="3845934B">
            <w:pPr>
              <w:jc w:val="center"/>
              <w:rPr>
                <w:color w:val="auto"/>
                <w:kern w:val="0"/>
                <w:sz w:val="24"/>
                <w:highlight w:val="none"/>
              </w:rPr>
            </w:pPr>
            <w:r>
              <w:rPr>
                <w:color w:val="auto"/>
                <w:kern w:val="0"/>
                <w:sz w:val="24"/>
                <w:highlight w:val="none"/>
              </w:rPr>
              <w:t>成</w:t>
            </w:r>
          </w:p>
          <w:p w14:paraId="603081AE">
            <w:pPr>
              <w:jc w:val="center"/>
              <w:rPr>
                <w:color w:val="auto"/>
                <w:kern w:val="0"/>
                <w:sz w:val="24"/>
                <w:highlight w:val="none"/>
              </w:rPr>
            </w:pPr>
            <w:r>
              <w:rPr>
                <w:color w:val="auto"/>
                <w:kern w:val="0"/>
                <w:sz w:val="24"/>
                <w:highlight w:val="none"/>
              </w:rPr>
              <w:t>及</w:t>
            </w:r>
          </w:p>
          <w:p w14:paraId="3FEBDD75">
            <w:pPr>
              <w:jc w:val="center"/>
              <w:rPr>
                <w:color w:val="auto"/>
                <w:kern w:val="0"/>
                <w:sz w:val="24"/>
                <w:highlight w:val="none"/>
              </w:rPr>
            </w:pPr>
            <w:r>
              <w:rPr>
                <w:color w:val="auto"/>
                <w:kern w:val="0"/>
                <w:sz w:val="24"/>
                <w:highlight w:val="none"/>
              </w:rPr>
              <w:t>规</w:t>
            </w:r>
          </w:p>
          <w:p w14:paraId="569BA4E6">
            <w:pPr>
              <w:jc w:val="center"/>
              <w:rPr>
                <w:color w:val="auto"/>
                <w:kern w:val="0"/>
                <w:szCs w:val="21"/>
                <w:highlight w:val="none"/>
              </w:rPr>
            </w:pPr>
            <w:r>
              <w:rPr>
                <w:color w:val="auto"/>
                <w:kern w:val="0"/>
                <w:sz w:val="24"/>
                <w:highlight w:val="none"/>
              </w:rPr>
              <w:t>模</w:t>
            </w:r>
          </w:p>
        </w:tc>
        <w:tc>
          <w:tcPr>
            <w:tcW w:w="4688" w:type="pct"/>
            <w:vAlign w:val="center"/>
          </w:tcPr>
          <w:p w14:paraId="2C11EBC4">
            <w:pPr>
              <w:pStyle w:val="30"/>
              <w:spacing w:before="120" w:beforeLines="50"/>
              <w:ind w:firstLine="482"/>
              <w:rPr>
                <w:b/>
                <w:bCs/>
                <w:color w:val="auto"/>
                <w:highlight w:val="none"/>
                <w:lang w:val="en-US"/>
              </w:rPr>
            </w:pPr>
            <w:r>
              <w:rPr>
                <w:b/>
                <w:bCs/>
                <w:color w:val="auto"/>
                <w:highlight w:val="none"/>
                <w:lang w:val="en-US"/>
              </w:rPr>
              <w:t>一、项目建设背景</w:t>
            </w:r>
          </w:p>
          <w:p w14:paraId="468E7A5F">
            <w:pPr>
              <w:snapToGrid w:val="0"/>
              <w:spacing w:line="360" w:lineRule="auto"/>
              <w:ind w:firstLine="560"/>
              <w:rPr>
                <w:color w:val="auto"/>
                <w:sz w:val="24"/>
                <w:highlight w:val="none"/>
              </w:rPr>
            </w:pPr>
            <w:r>
              <w:rPr>
                <w:color w:val="auto"/>
                <w:sz w:val="24"/>
                <w:highlight w:val="none"/>
              </w:rPr>
              <w:t>本项目实施单位为</w:t>
            </w:r>
            <w:r>
              <w:rPr>
                <w:rFonts w:hint="eastAsia"/>
                <w:color w:val="auto"/>
                <w:sz w:val="24"/>
                <w:highlight w:val="none"/>
              </w:rPr>
              <w:t>淄博经济开发区管理委员会建设局</w:t>
            </w:r>
            <w:r>
              <w:rPr>
                <w:rFonts w:hint="eastAsia"/>
                <w:color w:val="auto"/>
                <w:sz w:val="24"/>
                <w:highlight w:val="none"/>
                <w:lang w:eastAsia="zh-CN"/>
              </w:rPr>
              <w:t>，</w:t>
            </w:r>
            <w:r>
              <w:rPr>
                <w:rFonts w:hint="eastAsia"/>
                <w:color w:val="auto"/>
                <w:sz w:val="24"/>
                <w:highlight w:val="none"/>
              </w:rPr>
              <w:t>位于南京路与王舍路路口东200米房家办公楼4楼，主要负责组织实施辖区重要市政基础设施建设，负责城乡和住房保障、交通运输管理、公共事业服务管理、人民防空、房地产市场管理等工作，负责完成管委会交办的其他工作。</w:t>
            </w:r>
          </w:p>
          <w:p w14:paraId="62F962E1">
            <w:pPr>
              <w:spacing w:line="360" w:lineRule="auto"/>
              <w:ind w:firstLine="480" w:firstLineChars="200"/>
              <w:rPr>
                <w:color w:val="auto"/>
                <w:szCs w:val="21"/>
                <w:highlight w:val="none"/>
              </w:rPr>
            </w:pPr>
            <w:bookmarkStart w:id="1" w:name="_Toc464297350"/>
            <w:r>
              <w:rPr>
                <w:color w:val="auto"/>
                <w:sz w:val="24"/>
                <w:highlight w:val="none"/>
              </w:rPr>
              <w:t>根据《中华人民共和国环境保护法》《中华人民共和国环境影响评价法》《建设项目环境保护管理条例》，</w:t>
            </w:r>
            <w:r>
              <w:rPr>
                <w:rFonts w:hint="eastAsia"/>
                <w:color w:val="auto"/>
                <w:sz w:val="24"/>
                <w:highlight w:val="none"/>
              </w:rPr>
              <w:t>淄博经济开发区管理委员会建设局</w:t>
            </w:r>
            <w:r>
              <w:rPr>
                <w:color w:val="auto"/>
                <w:sz w:val="24"/>
                <w:highlight w:val="none"/>
              </w:rPr>
              <w:t>委托我公司进行环境影响评价工作。根据</w:t>
            </w:r>
            <w:r>
              <w:rPr>
                <w:color w:val="auto"/>
                <w:kern w:val="0"/>
                <w:sz w:val="24"/>
                <w:highlight w:val="none"/>
                <w:lang w:bidi="ar"/>
              </w:rPr>
              <w:t>《建设项目分类管理名录》（2021版）</w:t>
            </w:r>
            <w:r>
              <w:rPr>
                <w:color w:val="auto"/>
                <w:sz w:val="24"/>
                <w:highlight w:val="none"/>
              </w:rPr>
              <w:t>，本项目属于“五十一、水利，12</w:t>
            </w:r>
            <w:r>
              <w:rPr>
                <w:rFonts w:hint="eastAsia"/>
                <w:color w:val="auto"/>
                <w:sz w:val="24"/>
                <w:highlight w:val="none"/>
              </w:rPr>
              <w:t>7</w:t>
            </w:r>
            <w:r>
              <w:rPr>
                <w:color w:val="auto"/>
                <w:sz w:val="24"/>
                <w:highlight w:val="none"/>
              </w:rPr>
              <w:t>、</w:t>
            </w:r>
            <w:r>
              <w:rPr>
                <w:rFonts w:hint="eastAsia"/>
                <w:color w:val="auto"/>
                <w:sz w:val="24"/>
                <w:highlight w:val="none"/>
              </w:rPr>
              <w:t>防洪除涝工程</w:t>
            </w:r>
            <w:r>
              <w:rPr>
                <w:color w:val="auto"/>
                <w:sz w:val="24"/>
                <w:highlight w:val="none"/>
              </w:rPr>
              <w:t>”中“其他</w:t>
            </w:r>
            <w:r>
              <w:rPr>
                <w:rFonts w:hint="eastAsia"/>
                <w:color w:val="auto"/>
                <w:sz w:val="24"/>
                <w:highlight w:val="none"/>
              </w:rPr>
              <w:t>（小型沟渠的护坡除外；城镇排涝河流水闸、排涝泵站除外）</w:t>
            </w:r>
            <w:r>
              <w:rPr>
                <w:color w:val="auto"/>
                <w:sz w:val="24"/>
                <w:highlight w:val="none"/>
              </w:rPr>
              <w:t>”</w:t>
            </w:r>
            <w:r>
              <w:rPr>
                <w:rFonts w:hint="eastAsia"/>
                <w:color w:val="auto"/>
                <w:sz w:val="24"/>
                <w:highlight w:val="none"/>
                <w:lang w:eastAsia="zh-CN"/>
              </w:rPr>
              <w:t>及“五十二、交通运输业、管道运输业：</w:t>
            </w:r>
            <w:r>
              <w:rPr>
                <w:rFonts w:hint="eastAsia"/>
                <w:color w:val="auto"/>
                <w:sz w:val="24"/>
                <w:highlight w:val="none"/>
                <w:lang w:val="en-US" w:eastAsia="zh-CN"/>
              </w:rPr>
              <w:t>146、城市（镇）管网及管廊建设（不含给水管道；不含光纤；不含1.6兆帕及以下的天然气管道）</w:t>
            </w:r>
            <w:r>
              <w:rPr>
                <w:rFonts w:hint="eastAsia"/>
                <w:color w:val="auto"/>
                <w:sz w:val="24"/>
                <w:highlight w:val="none"/>
                <w:lang w:eastAsia="zh-CN"/>
              </w:rPr>
              <w:t>”</w:t>
            </w:r>
            <w:r>
              <w:rPr>
                <w:color w:val="auto"/>
                <w:sz w:val="24"/>
                <w:highlight w:val="none"/>
              </w:rPr>
              <w:t>需编制环境影响报告表。我单位接受委托后，立即组织有关人员进行了现场踏勘，收集了建设项目及周边地区的有关资料，通过分析研究，依据国家相关法规和环境影响评价技术导则的要求编制了该项目的环境影响报告表。</w:t>
            </w:r>
          </w:p>
          <w:bookmarkEnd w:id="1"/>
          <w:p w14:paraId="14533FD0">
            <w:pPr>
              <w:spacing w:line="360" w:lineRule="auto"/>
              <w:ind w:firstLine="482" w:firstLineChars="200"/>
              <w:rPr>
                <w:b/>
                <w:bCs/>
                <w:color w:val="auto"/>
                <w:sz w:val="24"/>
                <w:highlight w:val="none"/>
              </w:rPr>
            </w:pPr>
            <w:r>
              <w:rPr>
                <w:b/>
                <w:bCs/>
                <w:color w:val="auto"/>
                <w:sz w:val="24"/>
                <w:highlight w:val="none"/>
              </w:rPr>
              <w:t>二、</w:t>
            </w:r>
            <w:r>
              <w:rPr>
                <w:b/>
                <w:bCs/>
                <w:color w:val="auto"/>
                <w:spacing w:val="5"/>
                <w:sz w:val="24"/>
                <w:highlight w:val="none"/>
              </w:rPr>
              <w:t>项目名称、性质、地点和内容</w:t>
            </w:r>
          </w:p>
          <w:p w14:paraId="58C3BB85">
            <w:pPr>
              <w:widowControl/>
              <w:spacing w:line="360" w:lineRule="auto"/>
              <w:ind w:firstLine="480" w:firstLineChars="200"/>
              <w:jc w:val="left"/>
              <w:rPr>
                <w:color w:val="auto"/>
                <w:kern w:val="0"/>
                <w:sz w:val="24"/>
                <w:highlight w:val="none"/>
                <w:lang w:bidi="ar"/>
              </w:rPr>
            </w:pPr>
            <w:r>
              <w:rPr>
                <w:color w:val="auto"/>
                <w:kern w:val="0"/>
                <w:sz w:val="24"/>
                <w:highlight w:val="none"/>
                <w:lang w:bidi="ar"/>
              </w:rPr>
              <w:t>1、项目名称：</w:t>
            </w:r>
            <w:r>
              <w:rPr>
                <w:rFonts w:hint="eastAsia"/>
                <w:color w:val="auto"/>
                <w:kern w:val="0"/>
                <w:sz w:val="24"/>
                <w:highlight w:val="none"/>
                <w:lang w:bidi="ar"/>
              </w:rPr>
              <w:t>淄博经济开发区防洪排涝体系整治提升工程项目</w:t>
            </w:r>
          </w:p>
          <w:p w14:paraId="67FDB68E">
            <w:pPr>
              <w:widowControl/>
              <w:spacing w:line="360" w:lineRule="auto"/>
              <w:ind w:firstLine="480" w:firstLineChars="200"/>
              <w:jc w:val="left"/>
              <w:rPr>
                <w:color w:val="auto"/>
                <w:kern w:val="0"/>
                <w:sz w:val="24"/>
                <w:highlight w:val="none"/>
                <w:lang w:bidi="ar"/>
              </w:rPr>
            </w:pPr>
            <w:r>
              <w:rPr>
                <w:color w:val="auto"/>
                <w:kern w:val="0"/>
                <w:sz w:val="24"/>
                <w:highlight w:val="none"/>
                <w:lang w:bidi="ar"/>
              </w:rPr>
              <w:t>2、项目性质：新建</w:t>
            </w:r>
          </w:p>
          <w:p w14:paraId="0B514C3E">
            <w:pPr>
              <w:widowControl/>
              <w:spacing w:line="360" w:lineRule="auto"/>
              <w:ind w:firstLine="480" w:firstLineChars="200"/>
              <w:jc w:val="left"/>
              <w:rPr>
                <w:color w:val="auto"/>
                <w:sz w:val="24"/>
                <w:highlight w:val="none"/>
              </w:rPr>
            </w:pPr>
            <w:r>
              <w:rPr>
                <w:color w:val="auto"/>
                <w:kern w:val="0"/>
                <w:sz w:val="24"/>
                <w:highlight w:val="none"/>
                <w:lang w:bidi="ar"/>
              </w:rPr>
              <w:t>3、建设地点：</w:t>
            </w:r>
            <w:r>
              <w:rPr>
                <w:rFonts w:hint="eastAsia"/>
                <w:color w:val="auto"/>
                <w:kern w:val="0"/>
                <w:sz w:val="24"/>
                <w:highlight w:val="none"/>
                <w:lang w:bidi="ar"/>
              </w:rPr>
              <w:t>淄博</w:t>
            </w:r>
            <w:r>
              <w:rPr>
                <w:rFonts w:hint="eastAsia"/>
                <w:color w:val="auto"/>
                <w:kern w:val="0"/>
                <w:sz w:val="24"/>
                <w:highlight w:val="none"/>
                <w:lang w:eastAsia="zh-CN" w:bidi="ar"/>
              </w:rPr>
              <w:t>经济开发区</w:t>
            </w:r>
            <w:r>
              <w:rPr>
                <w:rFonts w:hint="eastAsia"/>
                <w:color w:val="auto"/>
                <w:kern w:val="0"/>
                <w:sz w:val="24"/>
                <w:highlight w:val="none"/>
                <w:lang w:bidi="ar"/>
              </w:rPr>
              <w:t>。</w:t>
            </w:r>
          </w:p>
          <w:p w14:paraId="48E69428">
            <w:pPr>
              <w:widowControl/>
              <w:spacing w:line="360" w:lineRule="auto"/>
              <w:ind w:firstLine="480" w:firstLineChars="200"/>
              <w:rPr>
                <w:color w:val="auto"/>
                <w:sz w:val="24"/>
                <w:highlight w:val="none"/>
              </w:rPr>
            </w:pPr>
            <w:r>
              <w:rPr>
                <w:color w:val="auto"/>
                <w:sz w:val="24"/>
                <w:highlight w:val="none"/>
              </w:rPr>
              <w:t>4、工程主要建设内容：对</w:t>
            </w:r>
            <w:r>
              <w:rPr>
                <w:rFonts w:hint="eastAsia"/>
                <w:color w:val="auto"/>
                <w:sz w:val="24"/>
                <w:highlight w:val="none"/>
              </w:rPr>
              <w:t>淄博经开区段涝淄河、漫泗河、东猪龙河上游东西支等中小河流综合治理工程，主要对河道进行疏浚改造，岸坡护砌，截污管道等工程，减轻河道淤积萎缩，保持河道畅通和河势稳定，恢复河道行洪能力。改造河道总长约13.18km。同时对淄博经济开发区瓦村沟、暖水河、焕然河、三泉沟、白蛇沟、袁家河、天津路排涝沟、小旦村大高村排涝沟等排涝河道提升治理工程，通过河道清障、清淤疏浚、岸坡整治、生态提升等综合措施，提升经开区综合排涝能力。改造排涝沟总长约29.57km。</w:t>
            </w:r>
          </w:p>
          <w:p w14:paraId="50CE8DC2">
            <w:pPr>
              <w:widowControl/>
              <w:numPr>
                <w:ilvl w:val="0"/>
                <w:numId w:val="2"/>
              </w:numPr>
              <w:spacing w:line="360" w:lineRule="auto"/>
              <w:ind w:firstLine="482" w:firstLineChars="200"/>
              <w:rPr>
                <w:b/>
                <w:bCs/>
                <w:color w:val="auto"/>
                <w:kern w:val="0"/>
                <w:sz w:val="24"/>
                <w:highlight w:val="none"/>
                <w:lang w:bidi="ar"/>
              </w:rPr>
            </w:pPr>
            <w:r>
              <w:rPr>
                <w:b/>
                <w:bCs/>
                <w:color w:val="auto"/>
                <w:kern w:val="0"/>
                <w:sz w:val="24"/>
                <w:highlight w:val="none"/>
                <w:lang w:bidi="ar"/>
              </w:rPr>
              <w:t>治理标准</w:t>
            </w:r>
          </w:p>
          <w:p w14:paraId="1F213368">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1、防洪标准</w:t>
            </w:r>
          </w:p>
          <w:p w14:paraId="57BDCDC9">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根据《淄博经济开发区城市防洪规划（2022—2035年）》以及《防洪标准》4.2.1规定，经开区范围内河道防洪标准如下：</w:t>
            </w:r>
          </w:p>
          <w:p w14:paraId="278C69EB">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涝淄河：鲁山大道至胶济铁路段防洪标准为100年一遇，鲁山大道至大高水库段防洪标准为50年一遇；大高水库上游段防洪标准为20年一遇。范阳河：经济开发区区界至华福大道段防洪标准为20年一遇，华福大道至孝妇河口段防洪标准为50年一遇。猪龙河东西支：防洪标准为50年一遇。漫泗河：经济开发区段防洪标准为20年一遇。</w:t>
            </w:r>
          </w:p>
          <w:p w14:paraId="50C8244D">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2、排涝标准</w:t>
            </w:r>
          </w:p>
          <w:p w14:paraId="29258633">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根据《淄博经济开发区城市防洪规划（2022—2035年）》以及《治涝标准》SL273-2016、《室外排水设计标准》GB50014-2021的规定，淄博经济开发区内涝综合防治标准为30年一遇。</w:t>
            </w:r>
          </w:p>
          <w:p w14:paraId="1F9A1F68">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3、河道堤防</w:t>
            </w:r>
          </w:p>
          <w:p w14:paraId="76B39A31">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根据《防洪标准》（GB50201－2014）、《水利水电工程等级划分及洪水标准》（SL252－2017）和《堤防工程设计规范》（GB50286-2013），确定东西支河道堤防等级为2级。</w:t>
            </w:r>
          </w:p>
          <w:p w14:paraId="632F3998">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4、桥梁工程</w:t>
            </w:r>
          </w:p>
          <w:p w14:paraId="25C1565C">
            <w:pPr>
              <w:widowControl/>
              <w:spacing w:line="360" w:lineRule="auto"/>
              <w:ind w:firstLine="480" w:firstLineChars="200"/>
              <w:jc w:val="left"/>
              <w:rPr>
                <w:color w:val="auto"/>
                <w:sz w:val="24"/>
                <w:highlight w:val="none"/>
              </w:rPr>
            </w:pPr>
            <w:r>
              <w:rPr>
                <w:rFonts w:hint="eastAsia"/>
                <w:color w:val="auto"/>
                <w:kern w:val="0"/>
                <w:sz w:val="24"/>
                <w:highlight w:val="none"/>
                <w:lang w:bidi="ar"/>
              </w:rPr>
              <w:t>根据《城市桥梁设计规范》（CJJ 11-2011）（2019年版），确定桥梁设计荷载等级为城-A级，桥梁设计洪水标准同河道防洪标准。</w:t>
            </w:r>
          </w:p>
          <w:p w14:paraId="051ACE9C">
            <w:pPr>
              <w:widowControl/>
              <w:spacing w:line="360" w:lineRule="auto"/>
              <w:ind w:firstLine="482" w:firstLineChars="200"/>
              <w:rPr>
                <w:b/>
                <w:bCs/>
                <w:color w:val="auto"/>
                <w:kern w:val="0"/>
                <w:sz w:val="24"/>
                <w:highlight w:val="none"/>
                <w:lang w:bidi="ar"/>
              </w:rPr>
            </w:pPr>
            <w:r>
              <w:rPr>
                <w:b/>
                <w:bCs/>
                <w:color w:val="auto"/>
                <w:kern w:val="0"/>
                <w:sz w:val="24"/>
                <w:highlight w:val="none"/>
                <w:lang w:bidi="ar"/>
              </w:rPr>
              <w:t>四、项目组成</w:t>
            </w:r>
          </w:p>
          <w:p w14:paraId="7074D936">
            <w:pPr>
              <w:widowControl/>
              <w:spacing w:line="360" w:lineRule="auto"/>
              <w:ind w:firstLine="480" w:firstLineChars="200"/>
              <w:rPr>
                <w:color w:val="auto"/>
                <w:kern w:val="0"/>
                <w:sz w:val="24"/>
                <w:highlight w:val="none"/>
                <w:lang w:bidi="ar"/>
              </w:rPr>
            </w:pPr>
            <w:r>
              <w:rPr>
                <w:color w:val="auto"/>
                <w:kern w:val="0"/>
                <w:sz w:val="24"/>
                <w:highlight w:val="none"/>
                <w:lang w:bidi="ar"/>
              </w:rPr>
              <w:t>本项目主要工程内容见表2-1所示。</w:t>
            </w:r>
          </w:p>
          <w:p w14:paraId="4DBDE2B4">
            <w:pPr>
              <w:widowControl/>
              <w:jc w:val="center"/>
              <w:rPr>
                <w:color w:val="auto"/>
                <w:kern w:val="0"/>
                <w:sz w:val="24"/>
                <w:highlight w:val="none"/>
                <w:lang w:bidi="ar"/>
              </w:rPr>
            </w:pPr>
            <w:r>
              <w:rPr>
                <w:b/>
                <w:bCs/>
                <w:color w:val="auto"/>
                <w:kern w:val="0"/>
                <w:szCs w:val="21"/>
                <w:highlight w:val="none"/>
                <w:lang w:bidi="ar"/>
              </w:rPr>
              <w:t>表2-1  本项目主要工程内容</w:t>
            </w:r>
          </w:p>
          <w:tbl>
            <w:tblPr>
              <w:tblStyle w:val="2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1"/>
              <w:gridCol w:w="603"/>
              <w:gridCol w:w="792"/>
              <w:gridCol w:w="5504"/>
              <w:gridCol w:w="593"/>
            </w:tblGrid>
            <w:tr w14:paraId="6AE923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8AEF76C">
                  <w:pPr>
                    <w:widowControl/>
                    <w:jc w:val="center"/>
                    <w:textAlignment w:val="center"/>
                    <w:rPr>
                      <w:bCs/>
                      <w:color w:val="auto"/>
                      <w:szCs w:val="21"/>
                      <w:highlight w:val="none"/>
                    </w:rPr>
                  </w:pPr>
                  <w:r>
                    <w:rPr>
                      <w:bCs/>
                      <w:color w:val="auto"/>
                      <w:kern w:val="0"/>
                      <w:szCs w:val="21"/>
                      <w:highlight w:val="none"/>
                      <w:lang w:bidi="ar"/>
                    </w:rPr>
                    <w:t>序号</w:t>
                  </w:r>
                </w:p>
              </w:tc>
              <w:tc>
                <w:tcPr>
                  <w:tcW w:w="824" w:type="pct"/>
                  <w:gridSpan w:val="2"/>
                  <w:tcMar>
                    <w:top w:w="8" w:type="dxa"/>
                    <w:left w:w="8" w:type="dxa"/>
                    <w:right w:w="8" w:type="dxa"/>
                  </w:tcMar>
                  <w:vAlign w:val="center"/>
                </w:tcPr>
                <w:p w14:paraId="3B56B085">
                  <w:pPr>
                    <w:widowControl/>
                    <w:jc w:val="center"/>
                    <w:textAlignment w:val="center"/>
                    <w:rPr>
                      <w:bCs/>
                      <w:color w:val="auto"/>
                      <w:szCs w:val="21"/>
                      <w:highlight w:val="none"/>
                    </w:rPr>
                  </w:pPr>
                  <w:r>
                    <w:rPr>
                      <w:bCs/>
                      <w:color w:val="auto"/>
                      <w:kern w:val="0"/>
                      <w:szCs w:val="21"/>
                      <w:highlight w:val="none"/>
                      <w:lang w:bidi="ar"/>
                    </w:rPr>
                    <w:t>指标名称或内容</w:t>
                  </w:r>
                </w:p>
              </w:tc>
              <w:tc>
                <w:tcPr>
                  <w:tcW w:w="3251" w:type="pct"/>
                  <w:tcMar>
                    <w:top w:w="8" w:type="dxa"/>
                    <w:left w:w="8" w:type="dxa"/>
                    <w:right w:w="8" w:type="dxa"/>
                  </w:tcMar>
                  <w:vAlign w:val="center"/>
                </w:tcPr>
                <w:p w14:paraId="07BEA055">
                  <w:pPr>
                    <w:widowControl/>
                    <w:jc w:val="center"/>
                    <w:textAlignment w:val="center"/>
                    <w:rPr>
                      <w:bCs/>
                      <w:color w:val="auto"/>
                      <w:szCs w:val="21"/>
                      <w:highlight w:val="none"/>
                    </w:rPr>
                  </w:pPr>
                  <w:r>
                    <w:rPr>
                      <w:bCs/>
                      <w:color w:val="auto"/>
                      <w:szCs w:val="21"/>
                      <w:highlight w:val="none"/>
                    </w:rPr>
                    <w:t>工程内容</w:t>
                  </w:r>
                </w:p>
              </w:tc>
              <w:tc>
                <w:tcPr>
                  <w:tcW w:w="350" w:type="pct"/>
                  <w:noWrap/>
                  <w:tcMar>
                    <w:top w:w="8" w:type="dxa"/>
                    <w:left w:w="8" w:type="dxa"/>
                    <w:right w:w="8" w:type="dxa"/>
                  </w:tcMar>
                  <w:vAlign w:val="center"/>
                </w:tcPr>
                <w:p w14:paraId="37199154">
                  <w:pPr>
                    <w:widowControl/>
                    <w:jc w:val="center"/>
                    <w:textAlignment w:val="center"/>
                    <w:rPr>
                      <w:bCs/>
                      <w:color w:val="auto"/>
                      <w:szCs w:val="21"/>
                      <w:highlight w:val="none"/>
                    </w:rPr>
                  </w:pPr>
                  <w:r>
                    <w:rPr>
                      <w:bCs/>
                      <w:color w:val="auto"/>
                      <w:kern w:val="0"/>
                      <w:szCs w:val="21"/>
                      <w:highlight w:val="none"/>
                      <w:lang w:bidi="ar"/>
                    </w:rPr>
                    <w:t>备注</w:t>
                  </w:r>
                </w:p>
              </w:tc>
            </w:tr>
            <w:tr w14:paraId="7C5875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CF273E8">
                  <w:pPr>
                    <w:widowControl/>
                    <w:jc w:val="center"/>
                    <w:textAlignment w:val="center"/>
                    <w:rPr>
                      <w:b/>
                      <w:color w:val="auto"/>
                      <w:kern w:val="0"/>
                      <w:szCs w:val="21"/>
                      <w:highlight w:val="none"/>
                      <w:lang w:bidi="ar"/>
                    </w:rPr>
                  </w:pPr>
                  <w:r>
                    <w:rPr>
                      <w:b/>
                      <w:color w:val="auto"/>
                      <w:kern w:val="0"/>
                      <w:szCs w:val="21"/>
                      <w:highlight w:val="none"/>
                      <w:lang w:bidi="ar"/>
                    </w:rPr>
                    <w:t>一</w:t>
                  </w:r>
                </w:p>
              </w:tc>
              <w:tc>
                <w:tcPr>
                  <w:tcW w:w="4426" w:type="pct"/>
                  <w:gridSpan w:val="4"/>
                  <w:tcMar>
                    <w:top w:w="8" w:type="dxa"/>
                    <w:left w:w="8" w:type="dxa"/>
                    <w:right w:w="8" w:type="dxa"/>
                  </w:tcMar>
                  <w:vAlign w:val="center"/>
                </w:tcPr>
                <w:p w14:paraId="4C55382A">
                  <w:pPr>
                    <w:widowControl/>
                    <w:jc w:val="center"/>
                    <w:textAlignment w:val="center"/>
                    <w:rPr>
                      <w:b/>
                      <w:color w:val="auto"/>
                      <w:kern w:val="0"/>
                      <w:szCs w:val="21"/>
                      <w:highlight w:val="none"/>
                      <w:lang w:bidi="ar"/>
                    </w:rPr>
                  </w:pPr>
                  <w:r>
                    <w:rPr>
                      <w:b/>
                      <w:color w:val="auto"/>
                      <w:kern w:val="0"/>
                      <w:szCs w:val="21"/>
                      <w:highlight w:val="none"/>
                      <w:lang w:bidi="ar"/>
                    </w:rPr>
                    <w:t>主体工程</w:t>
                  </w:r>
                </w:p>
              </w:tc>
            </w:tr>
            <w:tr w14:paraId="4A180B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90" w:hRule="atLeast"/>
                <w:jc w:val="center"/>
              </w:trPr>
              <w:tc>
                <w:tcPr>
                  <w:tcW w:w="573" w:type="pct"/>
                  <w:shd w:val="clear" w:color="auto" w:fill="auto"/>
                  <w:tcMar>
                    <w:top w:w="8" w:type="dxa"/>
                    <w:left w:w="8" w:type="dxa"/>
                    <w:right w:w="8" w:type="dxa"/>
                  </w:tcMar>
                  <w:vAlign w:val="center"/>
                </w:tcPr>
                <w:p w14:paraId="68A1A6D0">
                  <w:pPr>
                    <w:widowControl/>
                    <w:jc w:val="center"/>
                    <w:textAlignment w:val="center"/>
                    <w:rPr>
                      <w:bCs/>
                      <w:color w:val="auto"/>
                      <w:kern w:val="0"/>
                      <w:szCs w:val="21"/>
                      <w:highlight w:val="none"/>
                      <w:lang w:bidi="ar"/>
                    </w:rPr>
                  </w:pPr>
                  <w:r>
                    <w:rPr>
                      <w:bCs/>
                      <w:color w:val="auto"/>
                      <w:kern w:val="0"/>
                      <w:szCs w:val="21"/>
                      <w:highlight w:val="none"/>
                      <w:lang w:bidi="ar"/>
                    </w:rPr>
                    <w:t>（一）</w:t>
                  </w:r>
                </w:p>
              </w:tc>
              <w:tc>
                <w:tcPr>
                  <w:tcW w:w="824" w:type="pct"/>
                  <w:gridSpan w:val="2"/>
                  <w:shd w:val="clear" w:color="auto" w:fill="auto"/>
                  <w:tcMar>
                    <w:top w:w="8" w:type="dxa"/>
                    <w:left w:w="8" w:type="dxa"/>
                    <w:right w:w="8" w:type="dxa"/>
                  </w:tcMar>
                  <w:vAlign w:val="center"/>
                </w:tcPr>
                <w:p w14:paraId="1C8973A0">
                  <w:pPr>
                    <w:widowControl/>
                    <w:jc w:val="center"/>
                    <w:textAlignment w:val="center"/>
                    <w:rPr>
                      <w:bCs/>
                      <w:color w:val="auto"/>
                      <w:kern w:val="0"/>
                      <w:szCs w:val="21"/>
                      <w:highlight w:val="none"/>
                      <w:lang w:bidi="ar"/>
                    </w:rPr>
                  </w:pPr>
                  <w:r>
                    <w:rPr>
                      <w:bCs/>
                      <w:color w:val="auto"/>
                      <w:kern w:val="0"/>
                      <w:szCs w:val="21"/>
                      <w:highlight w:val="none"/>
                      <w:lang w:bidi="ar"/>
                    </w:rPr>
                    <w:t>涝淄河治理工程</w:t>
                  </w:r>
                </w:p>
              </w:tc>
              <w:tc>
                <w:tcPr>
                  <w:tcW w:w="3251" w:type="pct"/>
                  <w:shd w:val="clear" w:color="auto" w:fill="auto"/>
                  <w:noWrap/>
                  <w:tcMar>
                    <w:top w:w="8" w:type="dxa"/>
                    <w:left w:w="8" w:type="dxa"/>
                    <w:right w:w="8" w:type="dxa"/>
                  </w:tcMar>
                  <w:vAlign w:val="center"/>
                </w:tcPr>
                <w:p w14:paraId="6025707A">
                  <w:pPr>
                    <w:widowControl/>
                    <w:jc w:val="center"/>
                    <w:textAlignment w:val="center"/>
                    <w:rPr>
                      <w:bCs/>
                      <w:color w:val="auto"/>
                      <w:kern w:val="0"/>
                      <w:szCs w:val="21"/>
                      <w:highlight w:val="none"/>
                      <w:lang w:bidi="ar"/>
                    </w:rPr>
                  </w:pPr>
                  <w:r>
                    <w:rPr>
                      <w:bCs/>
                      <w:color w:val="auto"/>
                      <w:kern w:val="0"/>
                      <w:szCs w:val="21"/>
                      <w:highlight w:val="none"/>
                      <w:lang w:bidi="ar"/>
                    </w:rPr>
                    <w:t>河道治理总长3.88km，治理范围为胶济铁路至大高水库，总长约3.88公里。以防洪及生态水系提升为主，包括河道清淤扩挖、岸坡护砌，改建桥梁8座，新建防汛道路</w:t>
                  </w:r>
                  <w:r>
                    <w:rPr>
                      <w:rFonts w:hint="eastAsia"/>
                      <w:bCs/>
                      <w:color w:val="auto"/>
                      <w:kern w:val="0"/>
                      <w:szCs w:val="21"/>
                      <w:highlight w:val="none"/>
                      <w:lang w:val="en-US" w:eastAsia="zh-CN" w:bidi="ar"/>
                    </w:rPr>
                    <w:t>2.9</w:t>
                  </w:r>
                  <w:r>
                    <w:rPr>
                      <w:bCs/>
                      <w:color w:val="auto"/>
                      <w:kern w:val="0"/>
                      <w:szCs w:val="21"/>
                      <w:highlight w:val="none"/>
                      <w:lang w:bidi="ar"/>
                    </w:rPr>
                    <w:t>公里，沿河新建截污管道1850m。</w:t>
                  </w:r>
                </w:p>
              </w:tc>
              <w:tc>
                <w:tcPr>
                  <w:tcW w:w="350" w:type="pct"/>
                  <w:shd w:val="clear" w:color="auto" w:fill="auto"/>
                  <w:noWrap/>
                  <w:tcMar>
                    <w:top w:w="8" w:type="dxa"/>
                    <w:left w:w="8" w:type="dxa"/>
                    <w:right w:w="8" w:type="dxa"/>
                  </w:tcMar>
                  <w:vAlign w:val="center"/>
                </w:tcPr>
                <w:p w14:paraId="1758F0BC">
                  <w:pPr>
                    <w:widowControl/>
                    <w:jc w:val="center"/>
                    <w:textAlignment w:val="center"/>
                    <w:rPr>
                      <w:bCs/>
                      <w:color w:val="auto"/>
                      <w:szCs w:val="21"/>
                      <w:highlight w:val="none"/>
                    </w:rPr>
                  </w:pPr>
                  <w:r>
                    <w:rPr>
                      <w:bCs/>
                      <w:color w:val="auto"/>
                      <w:szCs w:val="21"/>
                      <w:highlight w:val="none"/>
                    </w:rPr>
                    <w:t>/</w:t>
                  </w:r>
                </w:p>
              </w:tc>
            </w:tr>
            <w:tr w14:paraId="50BF23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shd w:val="clear" w:color="auto" w:fill="auto"/>
                  <w:tcMar>
                    <w:top w:w="8" w:type="dxa"/>
                    <w:left w:w="8" w:type="dxa"/>
                    <w:right w:w="8" w:type="dxa"/>
                  </w:tcMar>
                  <w:vAlign w:val="center"/>
                </w:tcPr>
                <w:p w14:paraId="17899775">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shd w:val="clear" w:color="auto" w:fill="auto"/>
                  <w:tcMar>
                    <w:top w:w="8" w:type="dxa"/>
                    <w:left w:w="8" w:type="dxa"/>
                    <w:right w:w="8" w:type="dxa"/>
                  </w:tcMar>
                  <w:vAlign w:val="center"/>
                </w:tcPr>
                <w:p w14:paraId="14843122">
                  <w:pPr>
                    <w:widowControl/>
                    <w:jc w:val="center"/>
                    <w:textAlignment w:val="center"/>
                    <w:rPr>
                      <w:bCs/>
                      <w:color w:val="auto"/>
                      <w:kern w:val="0"/>
                      <w:szCs w:val="21"/>
                      <w:highlight w:val="none"/>
                      <w:lang w:bidi="ar"/>
                    </w:rPr>
                  </w:pPr>
                  <w:r>
                    <w:rPr>
                      <w:bCs/>
                      <w:color w:val="auto"/>
                      <w:kern w:val="0"/>
                      <w:szCs w:val="21"/>
                      <w:highlight w:val="none"/>
                      <w:lang w:bidi="ar"/>
                    </w:rPr>
                    <w:t>胶济铁路至昌国路段</w:t>
                  </w:r>
                </w:p>
              </w:tc>
              <w:tc>
                <w:tcPr>
                  <w:tcW w:w="3251" w:type="pct"/>
                  <w:shd w:val="clear" w:color="auto" w:fill="auto"/>
                  <w:noWrap/>
                  <w:tcMar>
                    <w:top w:w="8" w:type="dxa"/>
                    <w:left w:w="8" w:type="dxa"/>
                    <w:right w:w="8" w:type="dxa"/>
                  </w:tcMar>
                  <w:vAlign w:val="center"/>
                </w:tcPr>
                <w:p w14:paraId="6988C5B9">
                  <w:pPr>
                    <w:widowControl/>
                    <w:jc w:val="center"/>
                    <w:textAlignment w:val="center"/>
                    <w:rPr>
                      <w:bCs/>
                      <w:color w:val="auto"/>
                      <w:kern w:val="0"/>
                      <w:szCs w:val="21"/>
                      <w:highlight w:val="none"/>
                      <w:lang w:bidi="ar"/>
                    </w:rPr>
                  </w:pPr>
                  <w:r>
                    <w:rPr>
                      <w:bCs/>
                      <w:color w:val="auto"/>
                      <w:kern w:val="0"/>
                      <w:szCs w:val="21"/>
                      <w:highlight w:val="none"/>
                      <w:lang w:bidi="ar"/>
                    </w:rPr>
                    <w:t>该段河道长约945米，主要对沟道扩挖疏浚，修整原有岸坡。河道采用梯形断面型式，河道下口宽约5~6米，边坡比为1：1.5~1：2，河道平均深度约3m，河道上口宽约15米。河岸采用联锁式生态护坡。河道右岸新建防汛路，路宽7米，道路长约940米。改建一座桥梁，桥梁跨径为20米，宽7米。</w:t>
                  </w:r>
                  <w:r>
                    <w:rPr>
                      <w:rFonts w:hint="eastAsia"/>
                      <w:bCs/>
                      <w:color w:val="auto"/>
                      <w:kern w:val="0"/>
                      <w:szCs w:val="21"/>
                      <w:highlight w:val="none"/>
                      <w:lang w:bidi="ar"/>
                    </w:rPr>
                    <w:t>河道右岸新建污水管道，管径为d400~d500，管长约900米。</w:t>
                  </w:r>
                </w:p>
              </w:tc>
              <w:tc>
                <w:tcPr>
                  <w:tcW w:w="350" w:type="pct"/>
                  <w:shd w:val="clear" w:color="auto" w:fill="auto"/>
                  <w:noWrap/>
                  <w:tcMar>
                    <w:top w:w="8" w:type="dxa"/>
                    <w:left w:w="8" w:type="dxa"/>
                    <w:right w:w="8" w:type="dxa"/>
                  </w:tcMar>
                  <w:vAlign w:val="center"/>
                </w:tcPr>
                <w:p w14:paraId="3F162CBD">
                  <w:pPr>
                    <w:widowControl/>
                    <w:jc w:val="center"/>
                    <w:textAlignment w:val="center"/>
                    <w:rPr>
                      <w:bCs/>
                      <w:color w:val="auto"/>
                      <w:szCs w:val="21"/>
                      <w:highlight w:val="none"/>
                    </w:rPr>
                  </w:pPr>
                  <w:r>
                    <w:rPr>
                      <w:bCs/>
                      <w:color w:val="auto"/>
                      <w:szCs w:val="21"/>
                      <w:highlight w:val="none"/>
                    </w:rPr>
                    <w:t>/</w:t>
                  </w:r>
                </w:p>
              </w:tc>
            </w:tr>
            <w:tr w14:paraId="61E95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shd w:val="clear" w:color="auto" w:fill="auto"/>
                  <w:tcMar>
                    <w:top w:w="8" w:type="dxa"/>
                    <w:left w:w="8" w:type="dxa"/>
                    <w:right w:w="8" w:type="dxa"/>
                  </w:tcMar>
                  <w:vAlign w:val="center"/>
                </w:tcPr>
                <w:p w14:paraId="4FAFB19D">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shd w:val="clear" w:color="auto" w:fill="auto"/>
                  <w:tcMar>
                    <w:top w:w="8" w:type="dxa"/>
                    <w:left w:w="8" w:type="dxa"/>
                    <w:right w:w="8" w:type="dxa"/>
                  </w:tcMar>
                  <w:vAlign w:val="center"/>
                </w:tcPr>
                <w:p w14:paraId="223DA75C">
                  <w:pPr>
                    <w:widowControl/>
                    <w:jc w:val="center"/>
                    <w:textAlignment w:val="center"/>
                    <w:rPr>
                      <w:bCs/>
                      <w:color w:val="auto"/>
                      <w:kern w:val="0"/>
                      <w:szCs w:val="21"/>
                      <w:highlight w:val="none"/>
                      <w:lang w:bidi="ar"/>
                    </w:rPr>
                  </w:pPr>
                  <w:r>
                    <w:rPr>
                      <w:bCs/>
                      <w:color w:val="auto"/>
                      <w:kern w:val="0"/>
                      <w:szCs w:val="21"/>
                      <w:highlight w:val="none"/>
                      <w:lang w:bidi="ar"/>
                    </w:rPr>
                    <w:t>昌国路至向阳路段</w:t>
                  </w:r>
                </w:p>
              </w:tc>
              <w:tc>
                <w:tcPr>
                  <w:tcW w:w="3251" w:type="pct"/>
                  <w:shd w:val="clear" w:color="auto" w:fill="auto"/>
                  <w:noWrap/>
                  <w:tcMar>
                    <w:top w:w="8" w:type="dxa"/>
                    <w:left w:w="8" w:type="dxa"/>
                    <w:right w:w="8" w:type="dxa"/>
                  </w:tcMar>
                  <w:vAlign w:val="center"/>
                </w:tcPr>
                <w:p w14:paraId="599414A4">
                  <w:pPr>
                    <w:widowControl/>
                    <w:jc w:val="center"/>
                    <w:textAlignment w:val="center"/>
                    <w:rPr>
                      <w:bCs/>
                      <w:color w:val="auto"/>
                      <w:kern w:val="0"/>
                      <w:szCs w:val="21"/>
                      <w:highlight w:val="none"/>
                      <w:lang w:bidi="ar"/>
                    </w:rPr>
                  </w:pPr>
                  <w:r>
                    <w:rPr>
                      <w:bCs/>
                      <w:color w:val="auto"/>
                      <w:kern w:val="0"/>
                      <w:szCs w:val="21"/>
                      <w:highlight w:val="none"/>
                      <w:lang w:bidi="ar"/>
                    </w:rPr>
                    <w:t>长度约1.06km，河道改建为矩形护砌断面，钢筋混凝土侧墙。河道宽约8~9米，深约2.5~3米。同步改建桥梁5座。</w:t>
                  </w:r>
                  <w:r>
                    <w:rPr>
                      <w:rFonts w:hint="eastAsia"/>
                      <w:bCs/>
                      <w:color w:val="auto"/>
                      <w:kern w:val="0"/>
                      <w:szCs w:val="21"/>
                      <w:highlight w:val="none"/>
                      <w:lang w:bidi="ar"/>
                    </w:rPr>
                    <w:t>河道右岸新建污水管道，管径为d400~d500，管长约950米。</w:t>
                  </w:r>
                </w:p>
              </w:tc>
              <w:tc>
                <w:tcPr>
                  <w:tcW w:w="350" w:type="pct"/>
                  <w:shd w:val="clear" w:color="auto" w:fill="auto"/>
                  <w:noWrap/>
                  <w:tcMar>
                    <w:top w:w="8" w:type="dxa"/>
                    <w:left w:w="8" w:type="dxa"/>
                    <w:right w:w="8" w:type="dxa"/>
                  </w:tcMar>
                  <w:vAlign w:val="center"/>
                </w:tcPr>
                <w:p w14:paraId="61D27542">
                  <w:pPr>
                    <w:widowControl/>
                    <w:jc w:val="center"/>
                    <w:textAlignment w:val="center"/>
                    <w:rPr>
                      <w:bCs/>
                      <w:color w:val="auto"/>
                      <w:szCs w:val="21"/>
                      <w:highlight w:val="none"/>
                    </w:rPr>
                  </w:pPr>
                  <w:r>
                    <w:rPr>
                      <w:bCs/>
                      <w:color w:val="auto"/>
                      <w:szCs w:val="21"/>
                      <w:highlight w:val="none"/>
                    </w:rPr>
                    <w:t>/</w:t>
                  </w:r>
                </w:p>
              </w:tc>
            </w:tr>
            <w:tr w14:paraId="4CD805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shd w:val="clear" w:color="auto" w:fill="auto"/>
                  <w:tcMar>
                    <w:top w:w="8" w:type="dxa"/>
                    <w:left w:w="8" w:type="dxa"/>
                    <w:right w:w="8" w:type="dxa"/>
                  </w:tcMar>
                  <w:vAlign w:val="center"/>
                </w:tcPr>
                <w:p w14:paraId="50FB3178">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shd w:val="clear" w:color="auto" w:fill="auto"/>
                  <w:tcMar>
                    <w:top w:w="8" w:type="dxa"/>
                    <w:left w:w="8" w:type="dxa"/>
                    <w:right w:w="8" w:type="dxa"/>
                  </w:tcMar>
                  <w:vAlign w:val="center"/>
                </w:tcPr>
                <w:p w14:paraId="4FA5B085">
                  <w:pPr>
                    <w:widowControl/>
                    <w:jc w:val="center"/>
                    <w:textAlignment w:val="center"/>
                    <w:rPr>
                      <w:bCs/>
                      <w:color w:val="auto"/>
                      <w:kern w:val="0"/>
                      <w:szCs w:val="21"/>
                      <w:highlight w:val="none"/>
                      <w:lang w:bidi="ar"/>
                    </w:rPr>
                  </w:pPr>
                  <w:r>
                    <w:rPr>
                      <w:color w:val="auto"/>
                      <w:szCs w:val="21"/>
                      <w:highlight w:val="none"/>
                    </w:rPr>
                    <w:t>向阳路至海岱大道段</w:t>
                  </w:r>
                </w:p>
              </w:tc>
              <w:tc>
                <w:tcPr>
                  <w:tcW w:w="3251" w:type="pct"/>
                  <w:shd w:val="clear" w:color="auto" w:fill="auto"/>
                  <w:noWrap/>
                  <w:tcMar>
                    <w:top w:w="8" w:type="dxa"/>
                    <w:left w:w="8" w:type="dxa"/>
                    <w:right w:w="8" w:type="dxa"/>
                  </w:tcMar>
                  <w:vAlign w:val="center"/>
                </w:tcPr>
                <w:p w14:paraId="2271B5AF">
                  <w:pPr>
                    <w:widowControl/>
                    <w:jc w:val="center"/>
                    <w:textAlignment w:val="center"/>
                    <w:rPr>
                      <w:bCs/>
                      <w:color w:val="auto"/>
                      <w:kern w:val="0"/>
                      <w:szCs w:val="21"/>
                      <w:highlight w:val="none"/>
                      <w:lang w:bidi="ar"/>
                    </w:rPr>
                  </w:pPr>
                  <w:r>
                    <w:rPr>
                      <w:color w:val="auto"/>
                      <w:szCs w:val="21"/>
                      <w:highlight w:val="none"/>
                    </w:rPr>
                    <w:t>对河道清淤，河岸护砌。河道采用梯形断面。放坡系数1：1.5，底宽4~6米，顶宽10~14米，深2.5~3.0米。河道护坡形式采用联锁式生态护坡，险工段采用浆砌片石护坡。对河道右岸防汛路进行改建，改建后道路宽7米，道路长约1100米。改建2座桥梁，桥梁跨径为15米，宽7米。</w:t>
                  </w:r>
                </w:p>
              </w:tc>
              <w:tc>
                <w:tcPr>
                  <w:tcW w:w="350" w:type="pct"/>
                  <w:shd w:val="clear" w:color="auto" w:fill="auto"/>
                  <w:noWrap/>
                  <w:tcMar>
                    <w:top w:w="8" w:type="dxa"/>
                    <w:left w:w="8" w:type="dxa"/>
                    <w:right w:w="8" w:type="dxa"/>
                  </w:tcMar>
                  <w:vAlign w:val="center"/>
                </w:tcPr>
                <w:p w14:paraId="7F53CC78">
                  <w:pPr>
                    <w:widowControl/>
                    <w:jc w:val="center"/>
                    <w:textAlignment w:val="center"/>
                    <w:rPr>
                      <w:bCs/>
                      <w:color w:val="auto"/>
                      <w:szCs w:val="21"/>
                      <w:highlight w:val="none"/>
                    </w:rPr>
                  </w:pPr>
                  <w:r>
                    <w:rPr>
                      <w:bCs/>
                      <w:color w:val="auto"/>
                      <w:szCs w:val="21"/>
                      <w:highlight w:val="none"/>
                    </w:rPr>
                    <w:t>/</w:t>
                  </w:r>
                </w:p>
              </w:tc>
            </w:tr>
            <w:tr w14:paraId="58ABF4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1666BDB1">
                  <w:pPr>
                    <w:widowControl/>
                    <w:jc w:val="center"/>
                    <w:textAlignment w:val="center"/>
                    <w:rPr>
                      <w:bCs/>
                      <w:color w:val="auto"/>
                      <w:kern w:val="0"/>
                      <w:szCs w:val="21"/>
                      <w:highlight w:val="none"/>
                      <w:lang w:bidi="ar"/>
                    </w:rPr>
                  </w:pPr>
                  <w:r>
                    <w:rPr>
                      <w:bCs/>
                      <w:color w:val="auto"/>
                      <w:kern w:val="0"/>
                      <w:szCs w:val="21"/>
                      <w:highlight w:val="none"/>
                      <w:lang w:bidi="ar"/>
                    </w:rPr>
                    <w:t>4</w:t>
                  </w:r>
                </w:p>
              </w:tc>
              <w:tc>
                <w:tcPr>
                  <w:tcW w:w="824" w:type="pct"/>
                  <w:gridSpan w:val="2"/>
                  <w:tcMar>
                    <w:top w:w="8" w:type="dxa"/>
                    <w:left w:w="8" w:type="dxa"/>
                    <w:right w:w="8" w:type="dxa"/>
                  </w:tcMar>
                  <w:vAlign w:val="center"/>
                </w:tcPr>
                <w:p w14:paraId="7E87FC2C">
                  <w:pPr>
                    <w:widowControl/>
                    <w:jc w:val="center"/>
                    <w:textAlignment w:val="center"/>
                    <w:rPr>
                      <w:bCs/>
                      <w:color w:val="auto"/>
                      <w:kern w:val="0"/>
                      <w:szCs w:val="21"/>
                      <w:highlight w:val="none"/>
                      <w:lang w:bidi="ar"/>
                    </w:rPr>
                  </w:pPr>
                  <w:r>
                    <w:rPr>
                      <w:bCs/>
                      <w:color w:val="auto"/>
                      <w:kern w:val="0"/>
                      <w:szCs w:val="21"/>
                      <w:highlight w:val="none"/>
                      <w:lang w:bidi="ar"/>
                    </w:rPr>
                    <w:t>海岱大道至大高水库段</w:t>
                  </w:r>
                </w:p>
              </w:tc>
              <w:tc>
                <w:tcPr>
                  <w:tcW w:w="3251" w:type="pct"/>
                  <w:noWrap/>
                  <w:tcMar>
                    <w:top w:w="8" w:type="dxa"/>
                    <w:left w:w="8" w:type="dxa"/>
                    <w:right w:w="8" w:type="dxa"/>
                  </w:tcMar>
                  <w:vAlign w:val="center"/>
                </w:tcPr>
                <w:p w14:paraId="14163619">
                  <w:pPr>
                    <w:widowControl/>
                    <w:jc w:val="center"/>
                    <w:textAlignment w:val="center"/>
                    <w:rPr>
                      <w:bCs/>
                      <w:color w:val="auto"/>
                      <w:kern w:val="0"/>
                      <w:szCs w:val="21"/>
                      <w:highlight w:val="none"/>
                      <w:lang w:bidi="ar"/>
                    </w:rPr>
                  </w:pPr>
                  <w:r>
                    <w:rPr>
                      <w:bCs/>
                      <w:color w:val="auto"/>
                      <w:kern w:val="0"/>
                      <w:szCs w:val="21"/>
                      <w:highlight w:val="none"/>
                      <w:lang w:bidi="ar"/>
                    </w:rPr>
                    <w:t>对河道清淤扩挖，河岸护砌。河道采用梯形断面。放坡系数1：2，底宽8~15米，顶宽20~26米，深3.0~4.0米。河道护坡形式采用联锁式生态护坡，险工段采用浆砌片石护坡。新建河道右岸防汛路，道路宽7米，道路长约860米。</w:t>
                  </w:r>
                </w:p>
              </w:tc>
              <w:tc>
                <w:tcPr>
                  <w:tcW w:w="350" w:type="pct"/>
                  <w:noWrap/>
                  <w:tcMar>
                    <w:top w:w="8" w:type="dxa"/>
                    <w:left w:w="8" w:type="dxa"/>
                    <w:right w:w="8" w:type="dxa"/>
                  </w:tcMar>
                  <w:vAlign w:val="center"/>
                </w:tcPr>
                <w:p w14:paraId="33262025">
                  <w:pPr>
                    <w:widowControl/>
                    <w:jc w:val="center"/>
                    <w:textAlignment w:val="center"/>
                    <w:rPr>
                      <w:b/>
                      <w:color w:val="auto"/>
                      <w:szCs w:val="21"/>
                      <w:highlight w:val="none"/>
                    </w:rPr>
                  </w:pPr>
                  <w:r>
                    <w:rPr>
                      <w:b/>
                      <w:color w:val="auto"/>
                      <w:szCs w:val="21"/>
                      <w:highlight w:val="none"/>
                    </w:rPr>
                    <w:t>/</w:t>
                  </w:r>
                </w:p>
              </w:tc>
            </w:tr>
            <w:tr w14:paraId="2725F6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57D82968">
                  <w:pPr>
                    <w:widowControl/>
                    <w:jc w:val="center"/>
                    <w:textAlignment w:val="center"/>
                    <w:rPr>
                      <w:bCs/>
                      <w:color w:val="auto"/>
                      <w:kern w:val="0"/>
                      <w:szCs w:val="21"/>
                      <w:highlight w:val="none"/>
                      <w:lang w:bidi="ar"/>
                    </w:rPr>
                  </w:pPr>
                  <w:r>
                    <w:rPr>
                      <w:bCs/>
                      <w:color w:val="auto"/>
                      <w:kern w:val="0"/>
                      <w:szCs w:val="21"/>
                      <w:highlight w:val="none"/>
                      <w:lang w:bidi="ar"/>
                    </w:rPr>
                    <w:t>（二）</w:t>
                  </w:r>
                </w:p>
              </w:tc>
              <w:tc>
                <w:tcPr>
                  <w:tcW w:w="824" w:type="pct"/>
                  <w:gridSpan w:val="2"/>
                  <w:tcMar>
                    <w:top w:w="8" w:type="dxa"/>
                    <w:left w:w="8" w:type="dxa"/>
                    <w:right w:w="8" w:type="dxa"/>
                  </w:tcMar>
                  <w:vAlign w:val="center"/>
                </w:tcPr>
                <w:p w14:paraId="1AB97092">
                  <w:pPr>
                    <w:widowControl/>
                    <w:jc w:val="center"/>
                    <w:textAlignment w:val="center"/>
                    <w:rPr>
                      <w:bCs/>
                      <w:color w:val="auto"/>
                      <w:kern w:val="0"/>
                      <w:szCs w:val="21"/>
                      <w:highlight w:val="none"/>
                      <w:lang w:bidi="ar"/>
                    </w:rPr>
                  </w:pPr>
                  <w:r>
                    <w:rPr>
                      <w:bCs/>
                      <w:color w:val="auto"/>
                      <w:kern w:val="0"/>
                      <w:szCs w:val="21"/>
                      <w:highlight w:val="none"/>
                      <w:lang w:bidi="ar"/>
                    </w:rPr>
                    <w:t>漫泗河治理工程</w:t>
                  </w:r>
                </w:p>
              </w:tc>
              <w:tc>
                <w:tcPr>
                  <w:tcW w:w="3251" w:type="pct"/>
                  <w:noWrap/>
                  <w:tcMar>
                    <w:top w:w="8" w:type="dxa"/>
                    <w:left w:w="8" w:type="dxa"/>
                    <w:right w:w="8" w:type="dxa"/>
                  </w:tcMar>
                  <w:vAlign w:val="center"/>
                </w:tcPr>
                <w:p w14:paraId="57205932">
                  <w:pPr>
                    <w:widowControl/>
                    <w:jc w:val="center"/>
                    <w:textAlignment w:val="center"/>
                    <w:rPr>
                      <w:bCs/>
                      <w:color w:val="auto"/>
                      <w:kern w:val="0"/>
                      <w:szCs w:val="21"/>
                      <w:highlight w:val="none"/>
                      <w:lang w:bidi="ar"/>
                    </w:rPr>
                  </w:pPr>
                  <w:r>
                    <w:rPr>
                      <w:bCs/>
                      <w:color w:val="auto"/>
                      <w:kern w:val="0"/>
                      <w:szCs w:val="21"/>
                      <w:highlight w:val="none"/>
                      <w:lang w:bidi="ar"/>
                    </w:rPr>
                    <w:t>治理范围为漫泗河村（一期治理终点）至旦村水库，总长约2.23公里。以防洪及生态水系提升为主，包括河道清淤扩挖、岸坡护砌。</w:t>
                  </w:r>
                </w:p>
              </w:tc>
              <w:tc>
                <w:tcPr>
                  <w:tcW w:w="350" w:type="pct"/>
                  <w:noWrap/>
                  <w:tcMar>
                    <w:top w:w="8" w:type="dxa"/>
                    <w:left w:w="8" w:type="dxa"/>
                    <w:right w:w="8" w:type="dxa"/>
                  </w:tcMar>
                  <w:vAlign w:val="center"/>
                </w:tcPr>
                <w:p w14:paraId="0F0AA9EF">
                  <w:pPr>
                    <w:widowControl/>
                    <w:jc w:val="center"/>
                    <w:textAlignment w:val="center"/>
                    <w:rPr>
                      <w:b/>
                      <w:color w:val="auto"/>
                      <w:szCs w:val="21"/>
                      <w:highlight w:val="none"/>
                    </w:rPr>
                  </w:pPr>
                  <w:r>
                    <w:rPr>
                      <w:b/>
                      <w:color w:val="auto"/>
                      <w:szCs w:val="21"/>
                      <w:highlight w:val="none"/>
                    </w:rPr>
                    <w:t>/</w:t>
                  </w:r>
                </w:p>
              </w:tc>
            </w:tr>
            <w:tr w14:paraId="35E760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76682A24">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tcMar>
                    <w:top w:w="8" w:type="dxa"/>
                    <w:left w:w="8" w:type="dxa"/>
                    <w:right w:w="8" w:type="dxa"/>
                  </w:tcMar>
                  <w:vAlign w:val="center"/>
                </w:tcPr>
                <w:p w14:paraId="15258C4F">
                  <w:pPr>
                    <w:widowControl/>
                    <w:jc w:val="center"/>
                    <w:textAlignment w:val="center"/>
                    <w:rPr>
                      <w:bCs/>
                      <w:color w:val="auto"/>
                      <w:kern w:val="0"/>
                      <w:szCs w:val="21"/>
                      <w:highlight w:val="none"/>
                      <w:lang w:bidi="ar"/>
                    </w:rPr>
                  </w:pPr>
                  <w:r>
                    <w:rPr>
                      <w:color w:val="auto"/>
                      <w:szCs w:val="21"/>
                      <w:highlight w:val="none"/>
                    </w:rPr>
                    <w:t>旦村水库至大旦村段</w:t>
                  </w:r>
                </w:p>
              </w:tc>
              <w:tc>
                <w:tcPr>
                  <w:tcW w:w="3251" w:type="pct"/>
                  <w:noWrap/>
                  <w:tcMar>
                    <w:top w:w="8" w:type="dxa"/>
                    <w:left w:w="8" w:type="dxa"/>
                    <w:right w:w="8" w:type="dxa"/>
                  </w:tcMar>
                  <w:vAlign w:val="center"/>
                </w:tcPr>
                <w:p w14:paraId="5C847575">
                  <w:pPr>
                    <w:widowControl/>
                    <w:jc w:val="center"/>
                    <w:textAlignment w:val="center"/>
                    <w:rPr>
                      <w:bCs/>
                      <w:color w:val="auto"/>
                      <w:kern w:val="0"/>
                      <w:szCs w:val="21"/>
                      <w:highlight w:val="none"/>
                      <w:lang w:bidi="ar"/>
                    </w:rPr>
                  </w:pPr>
                  <w:r>
                    <w:rPr>
                      <w:color w:val="auto"/>
                      <w:szCs w:val="21"/>
                      <w:highlight w:val="none"/>
                    </w:rPr>
                    <w:t>该段河道长度为620m，河道上口宽度50-95m，河口宽度维持现状河道宽度，河道河岸下部采用浆砌块石护坡，上部采用草皮护坡。险工段河岸采用浆砌块石。</w:t>
                  </w:r>
                </w:p>
              </w:tc>
              <w:tc>
                <w:tcPr>
                  <w:tcW w:w="350" w:type="pct"/>
                  <w:noWrap/>
                  <w:tcMar>
                    <w:top w:w="8" w:type="dxa"/>
                    <w:left w:w="8" w:type="dxa"/>
                    <w:right w:w="8" w:type="dxa"/>
                  </w:tcMar>
                  <w:vAlign w:val="center"/>
                </w:tcPr>
                <w:p w14:paraId="609B03A3">
                  <w:pPr>
                    <w:widowControl/>
                    <w:jc w:val="center"/>
                    <w:textAlignment w:val="center"/>
                    <w:rPr>
                      <w:bCs/>
                      <w:color w:val="auto"/>
                      <w:szCs w:val="21"/>
                      <w:highlight w:val="none"/>
                    </w:rPr>
                  </w:pPr>
                  <w:r>
                    <w:rPr>
                      <w:bCs/>
                      <w:color w:val="auto"/>
                      <w:szCs w:val="21"/>
                      <w:highlight w:val="none"/>
                    </w:rPr>
                    <w:t>/</w:t>
                  </w:r>
                </w:p>
              </w:tc>
            </w:tr>
            <w:tr w14:paraId="68523E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90" w:hRule="atLeast"/>
                <w:jc w:val="center"/>
              </w:trPr>
              <w:tc>
                <w:tcPr>
                  <w:tcW w:w="573" w:type="pct"/>
                  <w:tcMar>
                    <w:top w:w="8" w:type="dxa"/>
                    <w:left w:w="8" w:type="dxa"/>
                    <w:right w:w="8" w:type="dxa"/>
                  </w:tcMar>
                  <w:vAlign w:val="center"/>
                </w:tcPr>
                <w:p w14:paraId="087D4BD9">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49D373B6">
                  <w:pPr>
                    <w:widowControl/>
                    <w:jc w:val="center"/>
                    <w:textAlignment w:val="center"/>
                    <w:rPr>
                      <w:color w:val="auto"/>
                      <w:szCs w:val="21"/>
                      <w:highlight w:val="none"/>
                    </w:rPr>
                  </w:pPr>
                  <w:r>
                    <w:rPr>
                      <w:color w:val="auto"/>
                      <w:szCs w:val="21"/>
                      <w:highlight w:val="none"/>
                    </w:rPr>
                    <w:t>大旦村南墓地段</w:t>
                  </w:r>
                </w:p>
              </w:tc>
              <w:tc>
                <w:tcPr>
                  <w:tcW w:w="3251" w:type="pct"/>
                  <w:noWrap/>
                  <w:tcMar>
                    <w:top w:w="8" w:type="dxa"/>
                    <w:left w:w="8" w:type="dxa"/>
                    <w:right w:w="8" w:type="dxa"/>
                  </w:tcMar>
                  <w:vAlign w:val="center"/>
                </w:tcPr>
                <w:p w14:paraId="500AE994">
                  <w:pPr>
                    <w:widowControl/>
                    <w:jc w:val="center"/>
                    <w:textAlignment w:val="center"/>
                    <w:rPr>
                      <w:color w:val="auto"/>
                      <w:szCs w:val="21"/>
                      <w:highlight w:val="none"/>
                    </w:rPr>
                  </w:pPr>
                  <w:r>
                    <w:rPr>
                      <w:color w:val="auto"/>
                      <w:szCs w:val="21"/>
                      <w:highlight w:val="none"/>
                    </w:rPr>
                    <w:t>该段长度约为200m；该段主河道疏浚并扩挖至20m宽，采用浆砌块石挡墙护岸。</w:t>
                  </w:r>
                </w:p>
              </w:tc>
              <w:tc>
                <w:tcPr>
                  <w:tcW w:w="350" w:type="pct"/>
                  <w:noWrap/>
                  <w:tcMar>
                    <w:top w:w="8" w:type="dxa"/>
                    <w:left w:w="8" w:type="dxa"/>
                    <w:right w:w="8" w:type="dxa"/>
                  </w:tcMar>
                  <w:vAlign w:val="center"/>
                </w:tcPr>
                <w:p w14:paraId="4DAFB226">
                  <w:pPr>
                    <w:widowControl/>
                    <w:jc w:val="center"/>
                    <w:textAlignment w:val="center"/>
                    <w:rPr>
                      <w:bCs/>
                      <w:color w:val="auto"/>
                      <w:szCs w:val="21"/>
                      <w:highlight w:val="none"/>
                    </w:rPr>
                  </w:pPr>
                  <w:r>
                    <w:rPr>
                      <w:bCs/>
                      <w:color w:val="auto"/>
                      <w:szCs w:val="21"/>
                      <w:highlight w:val="none"/>
                    </w:rPr>
                    <w:t>/</w:t>
                  </w:r>
                </w:p>
              </w:tc>
            </w:tr>
            <w:tr w14:paraId="42BF5E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36311D7C">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tcMar>
                    <w:top w:w="8" w:type="dxa"/>
                    <w:left w:w="8" w:type="dxa"/>
                    <w:right w:w="8" w:type="dxa"/>
                  </w:tcMar>
                  <w:vAlign w:val="center"/>
                </w:tcPr>
                <w:p w14:paraId="1544E1A3">
                  <w:pPr>
                    <w:widowControl/>
                    <w:jc w:val="center"/>
                    <w:textAlignment w:val="center"/>
                    <w:rPr>
                      <w:color w:val="auto"/>
                      <w:szCs w:val="21"/>
                      <w:highlight w:val="none"/>
                    </w:rPr>
                  </w:pPr>
                  <w:r>
                    <w:rPr>
                      <w:color w:val="auto"/>
                      <w:szCs w:val="21"/>
                      <w:highlight w:val="none"/>
                    </w:rPr>
                    <w:t>大旦村南段</w:t>
                  </w:r>
                </w:p>
              </w:tc>
              <w:tc>
                <w:tcPr>
                  <w:tcW w:w="3251" w:type="pct"/>
                  <w:noWrap/>
                  <w:tcMar>
                    <w:top w:w="8" w:type="dxa"/>
                    <w:left w:w="8" w:type="dxa"/>
                    <w:right w:w="8" w:type="dxa"/>
                  </w:tcMar>
                  <w:vAlign w:val="center"/>
                </w:tcPr>
                <w:p w14:paraId="0E90D78D">
                  <w:pPr>
                    <w:widowControl/>
                    <w:jc w:val="center"/>
                    <w:textAlignment w:val="center"/>
                    <w:rPr>
                      <w:color w:val="auto"/>
                      <w:szCs w:val="21"/>
                      <w:highlight w:val="none"/>
                    </w:rPr>
                  </w:pPr>
                  <w:r>
                    <w:rPr>
                      <w:color w:val="auto"/>
                      <w:szCs w:val="21"/>
                      <w:highlight w:val="none"/>
                    </w:rPr>
                    <w:t>该段长度约为90m；该段河道拆除现状挡水坝，主河道清淤。主河道右岸修整河岸，采用浆砌块石护砌，长度90m。上部河道采用植草护坡。河道宽度维持不变。</w:t>
                  </w:r>
                </w:p>
              </w:tc>
              <w:tc>
                <w:tcPr>
                  <w:tcW w:w="350" w:type="pct"/>
                  <w:noWrap/>
                  <w:tcMar>
                    <w:top w:w="8" w:type="dxa"/>
                    <w:left w:w="8" w:type="dxa"/>
                    <w:right w:w="8" w:type="dxa"/>
                  </w:tcMar>
                  <w:vAlign w:val="center"/>
                </w:tcPr>
                <w:p w14:paraId="65A9EB93">
                  <w:pPr>
                    <w:widowControl/>
                    <w:jc w:val="center"/>
                    <w:textAlignment w:val="center"/>
                    <w:rPr>
                      <w:bCs/>
                      <w:color w:val="auto"/>
                      <w:szCs w:val="21"/>
                      <w:highlight w:val="none"/>
                    </w:rPr>
                  </w:pPr>
                  <w:r>
                    <w:rPr>
                      <w:bCs/>
                      <w:color w:val="auto"/>
                      <w:szCs w:val="21"/>
                      <w:highlight w:val="none"/>
                    </w:rPr>
                    <w:t>/</w:t>
                  </w:r>
                </w:p>
              </w:tc>
            </w:tr>
            <w:tr w14:paraId="66B698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2A5276E">
                  <w:pPr>
                    <w:widowControl/>
                    <w:jc w:val="center"/>
                    <w:textAlignment w:val="center"/>
                    <w:rPr>
                      <w:bCs/>
                      <w:color w:val="auto"/>
                      <w:kern w:val="0"/>
                      <w:szCs w:val="21"/>
                      <w:highlight w:val="none"/>
                      <w:lang w:bidi="ar"/>
                    </w:rPr>
                  </w:pPr>
                  <w:r>
                    <w:rPr>
                      <w:bCs/>
                      <w:color w:val="auto"/>
                      <w:kern w:val="0"/>
                      <w:szCs w:val="21"/>
                      <w:highlight w:val="none"/>
                      <w:lang w:bidi="ar"/>
                    </w:rPr>
                    <w:t>4</w:t>
                  </w:r>
                </w:p>
              </w:tc>
              <w:tc>
                <w:tcPr>
                  <w:tcW w:w="824" w:type="pct"/>
                  <w:gridSpan w:val="2"/>
                  <w:tcMar>
                    <w:top w:w="8" w:type="dxa"/>
                    <w:left w:w="8" w:type="dxa"/>
                    <w:right w:w="8" w:type="dxa"/>
                  </w:tcMar>
                  <w:vAlign w:val="center"/>
                </w:tcPr>
                <w:p w14:paraId="54E686F1">
                  <w:pPr>
                    <w:widowControl/>
                    <w:jc w:val="center"/>
                    <w:textAlignment w:val="center"/>
                    <w:rPr>
                      <w:color w:val="auto"/>
                      <w:szCs w:val="21"/>
                      <w:highlight w:val="none"/>
                    </w:rPr>
                  </w:pPr>
                  <w:r>
                    <w:rPr>
                      <w:color w:val="auto"/>
                      <w:szCs w:val="21"/>
                      <w:highlight w:val="none"/>
                    </w:rPr>
                    <w:t>漫泗河村至大旦村段</w:t>
                  </w:r>
                </w:p>
              </w:tc>
              <w:tc>
                <w:tcPr>
                  <w:tcW w:w="3251" w:type="pct"/>
                  <w:noWrap/>
                  <w:tcMar>
                    <w:top w:w="8" w:type="dxa"/>
                    <w:left w:w="8" w:type="dxa"/>
                    <w:right w:w="8" w:type="dxa"/>
                  </w:tcMar>
                  <w:vAlign w:val="center"/>
                </w:tcPr>
                <w:p w14:paraId="2AD3BF8B">
                  <w:pPr>
                    <w:widowControl/>
                    <w:jc w:val="center"/>
                    <w:textAlignment w:val="center"/>
                    <w:rPr>
                      <w:rFonts w:hint="default" w:eastAsia="宋体"/>
                      <w:color w:val="auto"/>
                      <w:szCs w:val="21"/>
                      <w:highlight w:val="none"/>
                      <w:lang w:val="en-US" w:eastAsia="zh-CN"/>
                    </w:rPr>
                  </w:pPr>
                  <w:r>
                    <w:rPr>
                      <w:color w:val="auto"/>
                      <w:szCs w:val="21"/>
                      <w:highlight w:val="none"/>
                    </w:rPr>
                    <w:t>该段长度约为520m；该段河道拆除现状挡水坝。河岸下部采用浆砌块石，上部自然梯形植草护岸。</w:t>
                  </w:r>
                </w:p>
              </w:tc>
              <w:tc>
                <w:tcPr>
                  <w:tcW w:w="350" w:type="pct"/>
                  <w:noWrap/>
                  <w:tcMar>
                    <w:top w:w="8" w:type="dxa"/>
                    <w:left w:w="8" w:type="dxa"/>
                    <w:right w:w="8" w:type="dxa"/>
                  </w:tcMar>
                  <w:vAlign w:val="center"/>
                </w:tcPr>
                <w:p w14:paraId="1867F1DE">
                  <w:pPr>
                    <w:widowControl/>
                    <w:jc w:val="center"/>
                    <w:textAlignment w:val="center"/>
                    <w:rPr>
                      <w:bCs/>
                      <w:color w:val="auto"/>
                      <w:szCs w:val="21"/>
                      <w:highlight w:val="none"/>
                    </w:rPr>
                  </w:pPr>
                  <w:r>
                    <w:rPr>
                      <w:bCs/>
                      <w:color w:val="auto"/>
                      <w:szCs w:val="21"/>
                      <w:highlight w:val="none"/>
                    </w:rPr>
                    <w:t>/</w:t>
                  </w:r>
                </w:p>
              </w:tc>
            </w:tr>
            <w:tr w14:paraId="37B558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5FAED53">
                  <w:pPr>
                    <w:widowControl/>
                    <w:jc w:val="center"/>
                    <w:textAlignment w:val="center"/>
                    <w:rPr>
                      <w:color w:val="auto"/>
                      <w:szCs w:val="21"/>
                      <w:highlight w:val="none"/>
                    </w:rPr>
                  </w:pPr>
                  <w:r>
                    <w:rPr>
                      <w:color w:val="auto"/>
                      <w:szCs w:val="21"/>
                      <w:highlight w:val="none"/>
                    </w:rPr>
                    <w:t>5</w:t>
                  </w:r>
                </w:p>
              </w:tc>
              <w:tc>
                <w:tcPr>
                  <w:tcW w:w="824" w:type="pct"/>
                  <w:gridSpan w:val="2"/>
                  <w:tcMar>
                    <w:top w:w="8" w:type="dxa"/>
                    <w:left w:w="8" w:type="dxa"/>
                    <w:right w:w="8" w:type="dxa"/>
                  </w:tcMar>
                  <w:vAlign w:val="center"/>
                </w:tcPr>
                <w:p w14:paraId="066F2D1F">
                  <w:pPr>
                    <w:widowControl/>
                    <w:jc w:val="center"/>
                    <w:textAlignment w:val="center"/>
                    <w:rPr>
                      <w:color w:val="auto"/>
                      <w:szCs w:val="21"/>
                      <w:highlight w:val="none"/>
                    </w:rPr>
                  </w:pPr>
                  <w:r>
                    <w:rPr>
                      <w:color w:val="auto"/>
                      <w:szCs w:val="21"/>
                      <w:highlight w:val="none"/>
                    </w:rPr>
                    <w:t>漫泗河村段</w:t>
                  </w:r>
                </w:p>
              </w:tc>
              <w:tc>
                <w:tcPr>
                  <w:tcW w:w="3251" w:type="pct"/>
                  <w:noWrap/>
                  <w:tcMar>
                    <w:top w:w="8" w:type="dxa"/>
                    <w:left w:w="8" w:type="dxa"/>
                    <w:right w:w="8" w:type="dxa"/>
                  </w:tcMar>
                  <w:vAlign w:val="center"/>
                </w:tcPr>
                <w:p w14:paraId="7222B8EE">
                  <w:pPr>
                    <w:widowControl/>
                    <w:jc w:val="center"/>
                    <w:textAlignment w:val="center"/>
                    <w:rPr>
                      <w:color w:val="auto"/>
                      <w:szCs w:val="21"/>
                      <w:highlight w:val="none"/>
                    </w:rPr>
                  </w:pPr>
                  <w:r>
                    <w:rPr>
                      <w:color w:val="auto"/>
                      <w:szCs w:val="21"/>
                      <w:highlight w:val="none"/>
                    </w:rPr>
                    <w:t>该段长度约为680m，该段河道对河岸修护，清理河道内垃圾及杂草，拆除现状挡水坝。</w:t>
                  </w:r>
                </w:p>
              </w:tc>
              <w:tc>
                <w:tcPr>
                  <w:tcW w:w="350" w:type="pct"/>
                  <w:noWrap/>
                  <w:tcMar>
                    <w:top w:w="8" w:type="dxa"/>
                    <w:left w:w="8" w:type="dxa"/>
                    <w:right w:w="8" w:type="dxa"/>
                  </w:tcMar>
                  <w:vAlign w:val="center"/>
                </w:tcPr>
                <w:p w14:paraId="391D64EB">
                  <w:pPr>
                    <w:widowControl/>
                    <w:jc w:val="center"/>
                    <w:textAlignment w:val="center"/>
                    <w:rPr>
                      <w:bCs/>
                      <w:color w:val="auto"/>
                      <w:szCs w:val="21"/>
                      <w:highlight w:val="none"/>
                    </w:rPr>
                  </w:pPr>
                  <w:r>
                    <w:rPr>
                      <w:bCs/>
                      <w:color w:val="auto"/>
                      <w:szCs w:val="21"/>
                      <w:highlight w:val="none"/>
                    </w:rPr>
                    <w:t>/</w:t>
                  </w:r>
                </w:p>
              </w:tc>
            </w:tr>
            <w:tr w14:paraId="45CF73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3212F80">
                  <w:pPr>
                    <w:widowControl/>
                    <w:jc w:val="center"/>
                    <w:textAlignment w:val="center"/>
                    <w:rPr>
                      <w:bCs/>
                      <w:color w:val="auto"/>
                      <w:kern w:val="0"/>
                      <w:szCs w:val="21"/>
                      <w:highlight w:val="none"/>
                      <w:lang w:bidi="ar"/>
                    </w:rPr>
                  </w:pPr>
                  <w:r>
                    <w:rPr>
                      <w:bCs/>
                      <w:color w:val="auto"/>
                      <w:kern w:val="0"/>
                      <w:szCs w:val="21"/>
                      <w:highlight w:val="none"/>
                      <w:lang w:bidi="ar"/>
                    </w:rPr>
                    <w:t>（三）</w:t>
                  </w:r>
                </w:p>
              </w:tc>
              <w:tc>
                <w:tcPr>
                  <w:tcW w:w="824" w:type="pct"/>
                  <w:gridSpan w:val="2"/>
                  <w:tcMar>
                    <w:top w:w="8" w:type="dxa"/>
                    <w:left w:w="8" w:type="dxa"/>
                    <w:right w:w="8" w:type="dxa"/>
                  </w:tcMar>
                  <w:vAlign w:val="center"/>
                </w:tcPr>
                <w:p w14:paraId="6B280C34">
                  <w:pPr>
                    <w:widowControl/>
                    <w:jc w:val="center"/>
                    <w:textAlignment w:val="center"/>
                    <w:rPr>
                      <w:bCs/>
                      <w:color w:val="auto"/>
                      <w:kern w:val="0"/>
                      <w:szCs w:val="21"/>
                      <w:highlight w:val="none"/>
                      <w:lang w:bidi="ar"/>
                    </w:rPr>
                  </w:pPr>
                  <w:r>
                    <w:rPr>
                      <w:bCs/>
                      <w:color w:val="auto"/>
                      <w:kern w:val="0"/>
                      <w:szCs w:val="21"/>
                      <w:highlight w:val="none"/>
                      <w:lang w:bidi="ar"/>
                    </w:rPr>
                    <w:t>猪龙河上游东支治理工程</w:t>
                  </w:r>
                </w:p>
              </w:tc>
              <w:tc>
                <w:tcPr>
                  <w:tcW w:w="3251" w:type="pct"/>
                  <w:noWrap/>
                  <w:tcMar>
                    <w:top w:w="8" w:type="dxa"/>
                    <w:left w:w="8" w:type="dxa"/>
                    <w:right w:w="8" w:type="dxa"/>
                  </w:tcMar>
                  <w:vAlign w:val="center"/>
                </w:tcPr>
                <w:p w14:paraId="7A690466">
                  <w:pPr>
                    <w:widowControl/>
                    <w:jc w:val="center"/>
                    <w:textAlignment w:val="center"/>
                    <w:rPr>
                      <w:bCs/>
                      <w:color w:val="auto"/>
                      <w:kern w:val="0"/>
                      <w:szCs w:val="21"/>
                      <w:highlight w:val="none"/>
                      <w:lang w:bidi="ar"/>
                    </w:rPr>
                  </w:pPr>
                  <w:r>
                    <w:rPr>
                      <w:color w:val="auto"/>
                      <w:szCs w:val="21"/>
                      <w:highlight w:val="none"/>
                    </w:rPr>
                    <w:t>治理范围为东四路至朝阳路，总长约1.9km。</w:t>
                  </w:r>
                </w:p>
              </w:tc>
              <w:tc>
                <w:tcPr>
                  <w:tcW w:w="350" w:type="pct"/>
                  <w:noWrap/>
                  <w:tcMar>
                    <w:top w:w="8" w:type="dxa"/>
                    <w:left w:w="8" w:type="dxa"/>
                    <w:right w:w="8" w:type="dxa"/>
                  </w:tcMar>
                  <w:vAlign w:val="center"/>
                </w:tcPr>
                <w:p w14:paraId="29DAB145">
                  <w:pPr>
                    <w:widowControl/>
                    <w:jc w:val="center"/>
                    <w:textAlignment w:val="center"/>
                    <w:rPr>
                      <w:bCs/>
                      <w:color w:val="auto"/>
                      <w:szCs w:val="21"/>
                      <w:highlight w:val="none"/>
                    </w:rPr>
                  </w:pPr>
                  <w:r>
                    <w:rPr>
                      <w:bCs/>
                      <w:color w:val="auto"/>
                      <w:szCs w:val="21"/>
                      <w:highlight w:val="none"/>
                    </w:rPr>
                    <w:t>/</w:t>
                  </w:r>
                </w:p>
              </w:tc>
            </w:tr>
            <w:tr w14:paraId="42AD4D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28B910F">
                  <w:pPr>
                    <w:widowControl/>
                    <w:jc w:val="center"/>
                    <w:textAlignment w:val="center"/>
                    <w:rPr>
                      <w:color w:val="auto"/>
                      <w:szCs w:val="21"/>
                      <w:highlight w:val="none"/>
                    </w:rPr>
                  </w:pPr>
                  <w:r>
                    <w:rPr>
                      <w:color w:val="auto"/>
                      <w:szCs w:val="21"/>
                      <w:highlight w:val="none"/>
                    </w:rPr>
                    <w:t>1</w:t>
                  </w:r>
                </w:p>
              </w:tc>
              <w:tc>
                <w:tcPr>
                  <w:tcW w:w="824" w:type="pct"/>
                  <w:gridSpan w:val="2"/>
                  <w:tcMar>
                    <w:top w:w="8" w:type="dxa"/>
                    <w:left w:w="8" w:type="dxa"/>
                    <w:right w:w="8" w:type="dxa"/>
                  </w:tcMar>
                  <w:vAlign w:val="center"/>
                </w:tcPr>
                <w:p w14:paraId="7F48C755">
                  <w:pPr>
                    <w:widowControl/>
                    <w:jc w:val="center"/>
                    <w:textAlignment w:val="center"/>
                    <w:rPr>
                      <w:color w:val="auto"/>
                      <w:szCs w:val="21"/>
                      <w:highlight w:val="none"/>
                    </w:rPr>
                  </w:pPr>
                  <w:r>
                    <w:rPr>
                      <w:color w:val="auto"/>
                      <w:szCs w:val="21"/>
                      <w:highlight w:val="none"/>
                    </w:rPr>
                    <w:t>东四路至赤泥堆段</w:t>
                  </w:r>
                </w:p>
              </w:tc>
              <w:tc>
                <w:tcPr>
                  <w:tcW w:w="3251" w:type="pct"/>
                  <w:noWrap/>
                  <w:tcMar>
                    <w:top w:w="8" w:type="dxa"/>
                    <w:left w:w="8" w:type="dxa"/>
                    <w:right w:w="8" w:type="dxa"/>
                  </w:tcMar>
                  <w:vAlign w:val="center"/>
                </w:tcPr>
                <w:p w14:paraId="261414BF">
                  <w:pPr>
                    <w:widowControl/>
                    <w:jc w:val="center"/>
                    <w:textAlignment w:val="center"/>
                    <w:rPr>
                      <w:color w:val="auto"/>
                      <w:szCs w:val="21"/>
                      <w:highlight w:val="none"/>
                    </w:rPr>
                  </w:pPr>
                  <w:r>
                    <w:rPr>
                      <w:color w:val="auto"/>
                      <w:szCs w:val="21"/>
                      <w:highlight w:val="none"/>
                    </w:rPr>
                    <w:t>该段对猪龙河东支进行扩挖疏浚。扩挖后猪龙河东支为梯形断面，并对河岸及河底进行护砌，采用C25混凝土护砌，厚25cm。河道下口宽约0.5米，上口宽约6米，深约3~3.5米，总长约250米。同时对两处排水涵洞进行扩建，扩建后涵洞断面为3500×2500，总长18米。</w:t>
                  </w:r>
                </w:p>
              </w:tc>
              <w:tc>
                <w:tcPr>
                  <w:tcW w:w="350" w:type="pct"/>
                  <w:noWrap/>
                  <w:tcMar>
                    <w:top w:w="8" w:type="dxa"/>
                    <w:left w:w="8" w:type="dxa"/>
                    <w:right w:w="8" w:type="dxa"/>
                  </w:tcMar>
                  <w:vAlign w:val="center"/>
                </w:tcPr>
                <w:p w14:paraId="6B6CA971">
                  <w:pPr>
                    <w:widowControl/>
                    <w:jc w:val="center"/>
                    <w:textAlignment w:val="center"/>
                    <w:rPr>
                      <w:bCs/>
                      <w:color w:val="auto"/>
                      <w:szCs w:val="21"/>
                      <w:highlight w:val="none"/>
                    </w:rPr>
                  </w:pPr>
                  <w:r>
                    <w:rPr>
                      <w:bCs/>
                      <w:color w:val="auto"/>
                      <w:szCs w:val="21"/>
                      <w:highlight w:val="none"/>
                    </w:rPr>
                    <w:t>/</w:t>
                  </w:r>
                </w:p>
              </w:tc>
            </w:tr>
            <w:tr w14:paraId="2A2E28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D91BE6E">
                  <w:pPr>
                    <w:widowControl/>
                    <w:jc w:val="center"/>
                    <w:textAlignment w:val="center"/>
                    <w:rPr>
                      <w:color w:val="auto"/>
                      <w:szCs w:val="21"/>
                      <w:highlight w:val="none"/>
                    </w:rPr>
                  </w:pPr>
                  <w:r>
                    <w:rPr>
                      <w:color w:val="auto"/>
                      <w:szCs w:val="21"/>
                      <w:highlight w:val="none"/>
                    </w:rPr>
                    <w:t>2</w:t>
                  </w:r>
                </w:p>
              </w:tc>
              <w:tc>
                <w:tcPr>
                  <w:tcW w:w="824" w:type="pct"/>
                  <w:gridSpan w:val="2"/>
                  <w:tcMar>
                    <w:top w:w="8" w:type="dxa"/>
                    <w:left w:w="8" w:type="dxa"/>
                    <w:right w:w="8" w:type="dxa"/>
                  </w:tcMar>
                  <w:vAlign w:val="center"/>
                </w:tcPr>
                <w:p w14:paraId="2B4347F2">
                  <w:pPr>
                    <w:widowControl/>
                    <w:jc w:val="center"/>
                    <w:textAlignment w:val="center"/>
                    <w:rPr>
                      <w:color w:val="auto"/>
                      <w:szCs w:val="21"/>
                      <w:highlight w:val="none"/>
                    </w:rPr>
                  </w:pPr>
                  <w:r>
                    <w:rPr>
                      <w:color w:val="auto"/>
                      <w:szCs w:val="21"/>
                      <w:highlight w:val="none"/>
                    </w:rPr>
                    <w:t>赤泥堆至海岱大道段</w:t>
                  </w:r>
                </w:p>
              </w:tc>
              <w:tc>
                <w:tcPr>
                  <w:tcW w:w="3251" w:type="pct"/>
                  <w:noWrap/>
                  <w:tcMar>
                    <w:top w:w="8" w:type="dxa"/>
                    <w:left w:w="8" w:type="dxa"/>
                    <w:right w:w="8" w:type="dxa"/>
                  </w:tcMar>
                  <w:vAlign w:val="center"/>
                </w:tcPr>
                <w:p w14:paraId="4F2BDB6A">
                  <w:pPr>
                    <w:widowControl/>
                    <w:jc w:val="center"/>
                    <w:textAlignment w:val="center"/>
                    <w:rPr>
                      <w:color w:val="auto"/>
                      <w:szCs w:val="21"/>
                      <w:highlight w:val="none"/>
                    </w:rPr>
                  </w:pPr>
                  <w:r>
                    <w:rPr>
                      <w:color w:val="auto"/>
                      <w:szCs w:val="21"/>
                      <w:highlight w:val="none"/>
                    </w:rPr>
                    <w:t>对河岸进行修护，清理河道内垃圾</w:t>
                  </w:r>
                </w:p>
              </w:tc>
              <w:tc>
                <w:tcPr>
                  <w:tcW w:w="350" w:type="pct"/>
                  <w:noWrap/>
                  <w:tcMar>
                    <w:top w:w="8" w:type="dxa"/>
                    <w:left w:w="8" w:type="dxa"/>
                    <w:right w:w="8" w:type="dxa"/>
                  </w:tcMar>
                  <w:vAlign w:val="center"/>
                </w:tcPr>
                <w:p w14:paraId="608D5CCE">
                  <w:pPr>
                    <w:widowControl/>
                    <w:jc w:val="center"/>
                    <w:textAlignment w:val="center"/>
                    <w:rPr>
                      <w:bCs/>
                      <w:color w:val="auto"/>
                      <w:szCs w:val="21"/>
                      <w:highlight w:val="none"/>
                    </w:rPr>
                  </w:pPr>
                  <w:r>
                    <w:rPr>
                      <w:bCs/>
                      <w:color w:val="auto"/>
                      <w:szCs w:val="21"/>
                      <w:highlight w:val="none"/>
                    </w:rPr>
                    <w:t>/</w:t>
                  </w:r>
                </w:p>
              </w:tc>
            </w:tr>
            <w:tr w14:paraId="7DF797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7E2CB47">
                  <w:pPr>
                    <w:widowControl/>
                    <w:jc w:val="center"/>
                    <w:textAlignment w:val="center"/>
                    <w:rPr>
                      <w:color w:val="auto"/>
                      <w:szCs w:val="21"/>
                      <w:highlight w:val="none"/>
                    </w:rPr>
                  </w:pPr>
                  <w:r>
                    <w:rPr>
                      <w:color w:val="auto"/>
                      <w:szCs w:val="21"/>
                      <w:highlight w:val="none"/>
                    </w:rPr>
                    <w:t>3</w:t>
                  </w:r>
                </w:p>
              </w:tc>
              <w:tc>
                <w:tcPr>
                  <w:tcW w:w="824" w:type="pct"/>
                  <w:gridSpan w:val="2"/>
                  <w:tcMar>
                    <w:top w:w="8" w:type="dxa"/>
                    <w:left w:w="8" w:type="dxa"/>
                    <w:right w:w="8" w:type="dxa"/>
                  </w:tcMar>
                  <w:vAlign w:val="center"/>
                </w:tcPr>
                <w:p w14:paraId="629D3B95">
                  <w:pPr>
                    <w:widowControl/>
                    <w:jc w:val="center"/>
                    <w:textAlignment w:val="center"/>
                    <w:rPr>
                      <w:color w:val="auto"/>
                      <w:szCs w:val="21"/>
                      <w:highlight w:val="none"/>
                    </w:rPr>
                  </w:pPr>
                  <w:r>
                    <w:rPr>
                      <w:color w:val="auto"/>
                      <w:szCs w:val="21"/>
                      <w:highlight w:val="none"/>
                    </w:rPr>
                    <w:t>海岱大道至朝阳路段</w:t>
                  </w:r>
                </w:p>
              </w:tc>
              <w:tc>
                <w:tcPr>
                  <w:tcW w:w="3251" w:type="pct"/>
                  <w:noWrap/>
                  <w:tcMar>
                    <w:top w:w="8" w:type="dxa"/>
                    <w:left w:w="8" w:type="dxa"/>
                    <w:right w:w="8" w:type="dxa"/>
                  </w:tcMar>
                  <w:vAlign w:val="center"/>
                </w:tcPr>
                <w:p w14:paraId="4503A655">
                  <w:pPr>
                    <w:widowControl/>
                    <w:jc w:val="center"/>
                    <w:textAlignment w:val="center"/>
                    <w:rPr>
                      <w:color w:val="auto"/>
                      <w:szCs w:val="21"/>
                      <w:highlight w:val="none"/>
                    </w:rPr>
                  </w:pPr>
                  <w:r>
                    <w:rPr>
                      <w:color w:val="auto"/>
                      <w:szCs w:val="21"/>
                      <w:highlight w:val="none"/>
                    </w:rPr>
                    <w:t>河道改造为矩形断面，底宽6m，采用钢筋混凝土岸墙护砌，岸墙净高为3.0m和3.5m，顶宽0.5m，墙趾、墙踵均厚0.5m，前趾长0.6m，后踵长2.1m，岸墙分缝长度不大于15m，缝宽20mm，缝内填塞聚乙烯闭孔泡沫板L600。墙内设φ100PVC排水管，水平间距2m，呈梅花形布置。该段河道长约400米。</w:t>
                  </w:r>
                </w:p>
              </w:tc>
              <w:tc>
                <w:tcPr>
                  <w:tcW w:w="350" w:type="pct"/>
                  <w:noWrap/>
                  <w:tcMar>
                    <w:top w:w="8" w:type="dxa"/>
                    <w:left w:w="8" w:type="dxa"/>
                    <w:right w:w="8" w:type="dxa"/>
                  </w:tcMar>
                  <w:vAlign w:val="center"/>
                </w:tcPr>
                <w:p w14:paraId="3810F79A">
                  <w:pPr>
                    <w:widowControl/>
                    <w:jc w:val="center"/>
                    <w:textAlignment w:val="center"/>
                    <w:rPr>
                      <w:bCs/>
                      <w:color w:val="auto"/>
                      <w:szCs w:val="21"/>
                      <w:highlight w:val="none"/>
                    </w:rPr>
                  </w:pPr>
                  <w:r>
                    <w:rPr>
                      <w:bCs/>
                      <w:color w:val="auto"/>
                      <w:szCs w:val="21"/>
                      <w:highlight w:val="none"/>
                    </w:rPr>
                    <w:t>/</w:t>
                  </w:r>
                </w:p>
              </w:tc>
            </w:tr>
            <w:tr w14:paraId="7EA055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1E8C35CB">
                  <w:pPr>
                    <w:widowControl/>
                    <w:jc w:val="center"/>
                    <w:textAlignment w:val="center"/>
                    <w:rPr>
                      <w:color w:val="auto"/>
                      <w:szCs w:val="21"/>
                      <w:highlight w:val="none"/>
                    </w:rPr>
                  </w:pPr>
                  <w:r>
                    <w:rPr>
                      <w:color w:val="auto"/>
                      <w:szCs w:val="21"/>
                      <w:highlight w:val="none"/>
                    </w:rPr>
                    <w:t>4</w:t>
                  </w:r>
                </w:p>
              </w:tc>
              <w:tc>
                <w:tcPr>
                  <w:tcW w:w="824" w:type="pct"/>
                  <w:gridSpan w:val="2"/>
                  <w:tcMar>
                    <w:top w:w="8" w:type="dxa"/>
                    <w:left w:w="8" w:type="dxa"/>
                    <w:right w:w="8" w:type="dxa"/>
                  </w:tcMar>
                  <w:vAlign w:val="center"/>
                </w:tcPr>
                <w:p w14:paraId="03F8665F">
                  <w:pPr>
                    <w:widowControl/>
                    <w:jc w:val="center"/>
                    <w:textAlignment w:val="center"/>
                    <w:rPr>
                      <w:color w:val="auto"/>
                      <w:szCs w:val="21"/>
                      <w:highlight w:val="none"/>
                    </w:rPr>
                  </w:pPr>
                  <w:r>
                    <w:rPr>
                      <w:color w:val="auto"/>
                      <w:szCs w:val="21"/>
                      <w:highlight w:val="none"/>
                    </w:rPr>
                    <w:t>朝阳路段</w:t>
                  </w:r>
                </w:p>
              </w:tc>
              <w:tc>
                <w:tcPr>
                  <w:tcW w:w="3251" w:type="pct"/>
                  <w:noWrap/>
                  <w:tcMar>
                    <w:top w:w="8" w:type="dxa"/>
                    <w:left w:w="8" w:type="dxa"/>
                    <w:right w:w="8" w:type="dxa"/>
                  </w:tcMar>
                  <w:vAlign w:val="center"/>
                </w:tcPr>
                <w:p w14:paraId="6B7BF1C6">
                  <w:pPr>
                    <w:widowControl/>
                    <w:jc w:val="center"/>
                    <w:textAlignment w:val="center"/>
                    <w:rPr>
                      <w:color w:val="auto"/>
                      <w:szCs w:val="21"/>
                      <w:highlight w:val="none"/>
                    </w:rPr>
                  </w:pPr>
                  <w:r>
                    <w:rPr>
                      <w:color w:val="auto"/>
                      <w:szCs w:val="21"/>
                      <w:highlight w:val="none"/>
                    </w:rPr>
                    <w:t>朝阳路段河道受朝阳路及两侧民房限制，采用C30钢筋混凝土箱涵结构，长491m。箱涵共1孔，单孔净尺寸为4m（宽）×2.6m（高），断面尺寸为顶、底厚0.45m，侧墙厚0.4m，加掖尺寸0.2×0.2m。箱涵分缝长度不大于15m，缝内设橡胶止水，止水范围以外的缝内填塞聚乙烯闭孔泡沫板L600。因河道需在朝阳路下敷设，车行道需拆除并恢复，总面积约3950m</w:t>
                  </w:r>
                  <w:r>
                    <w:rPr>
                      <w:color w:val="auto"/>
                      <w:szCs w:val="21"/>
                      <w:highlight w:val="none"/>
                      <w:vertAlign w:val="superscript"/>
                    </w:rPr>
                    <w:t>2</w:t>
                  </w:r>
                  <w:r>
                    <w:rPr>
                      <w:color w:val="auto"/>
                      <w:szCs w:val="21"/>
                      <w:highlight w:val="none"/>
                    </w:rPr>
                    <w:t>。</w:t>
                  </w:r>
                </w:p>
              </w:tc>
              <w:tc>
                <w:tcPr>
                  <w:tcW w:w="350" w:type="pct"/>
                  <w:noWrap/>
                  <w:tcMar>
                    <w:top w:w="8" w:type="dxa"/>
                    <w:left w:w="8" w:type="dxa"/>
                    <w:right w:w="8" w:type="dxa"/>
                  </w:tcMar>
                  <w:vAlign w:val="center"/>
                </w:tcPr>
                <w:p w14:paraId="0CF719AA">
                  <w:pPr>
                    <w:widowControl/>
                    <w:jc w:val="center"/>
                    <w:textAlignment w:val="center"/>
                    <w:rPr>
                      <w:bCs/>
                      <w:color w:val="auto"/>
                      <w:szCs w:val="21"/>
                      <w:highlight w:val="none"/>
                    </w:rPr>
                  </w:pPr>
                  <w:r>
                    <w:rPr>
                      <w:bCs/>
                      <w:color w:val="auto"/>
                      <w:szCs w:val="21"/>
                      <w:highlight w:val="none"/>
                    </w:rPr>
                    <w:t>/</w:t>
                  </w:r>
                </w:p>
              </w:tc>
            </w:tr>
            <w:tr w14:paraId="76069E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832" w:hRule="atLeast"/>
                <w:jc w:val="center"/>
              </w:trPr>
              <w:tc>
                <w:tcPr>
                  <w:tcW w:w="573" w:type="pct"/>
                  <w:tcMar>
                    <w:top w:w="8" w:type="dxa"/>
                    <w:left w:w="8" w:type="dxa"/>
                    <w:right w:w="8" w:type="dxa"/>
                  </w:tcMar>
                  <w:vAlign w:val="center"/>
                </w:tcPr>
                <w:p w14:paraId="67F9A85C">
                  <w:pPr>
                    <w:widowControl/>
                    <w:jc w:val="center"/>
                    <w:textAlignment w:val="center"/>
                    <w:rPr>
                      <w:color w:val="auto"/>
                      <w:szCs w:val="21"/>
                      <w:highlight w:val="none"/>
                    </w:rPr>
                  </w:pPr>
                  <w:r>
                    <w:rPr>
                      <w:color w:val="auto"/>
                      <w:szCs w:val="21"/>
                      <w:highlight w:val="none"/>
                    </w:rPr>
                    <w:t>（四）</w:t>
                  </w:r>
                </w:p>
              </w:tc>
              <w:tc>
                <w:tcPr>
                  <w:tcW w:w="824" w:type="pct"/>
                  <w:gridSpan w:val="2"/>
                  <w:tcMar>
                    <w:top w:w="8" w:type="dxa"/>
                    <w:left w:w="8" w:type="dxa"/>
                    <w:right w:w="8" w:type="dxa"/>
                  </w:tcMar>
                  <w:vAlign w:val="center"/>
                </w:tcPr>
                <w:p w14:paraId="6FBCBE24">
                  <w:pPr>
                    <w:widowControl/>
                    <w:jc w:val="center"/>
                    <w:textAlignment w:val="center"/>
                    <w:rPr>
                      <w:color w:val="auto"/>
                      <w:szCs w:val="21"/>
                      <w:highlight w:val="none"/>
                    </w:rPr>
                  </w:pPr>
                  <w:r>
                    <w:rPr>
                      <w:color w:val="auto"/>
                      <w:szCs w:val="21"/>
                      <w:highlight w:val="none"/>
                    </w:rPr>
                    <w:t>猪龙河上游西支治理工程</w:t>
                  </w:r>
                </w:p>
              </w:tc>
              <w:tc>
                <w:tcPr>
                  <w:tcW w:w="3251" w:type="pct"/>
                  <w:noWrap/>
                  <w:tcMar>
                    <w:top w:w="8" w:type="dxa"/>
                    <w:left w:w="8" w:type="dxa"/>
                    <w:right w:w="8" w:type="dxa"/>
                  </w:tcMar>
                  <w:vAlign w:val="center"/>
                </w:tcPr>
                <w:p w14:paraId="36D75A6C">
                  <w:pPr>
                    <w:widowControl/>
                    <w:jc w:val="center"/>
                    <w:textAlignment w:val="center"/>
                    <w:rPr>
                      <w:color w:val="auto"/>
                      <w:szCs w:val="21"/>
                      <w:highlight w:val="none"/>
                    </w:rPr>
                  </w:pPr>
                  <w:r>
                    <w:rPr>
                      <w:color w:val="auto"/>
                      <w:szCs w:val="21"/>
                      <w:highlight w:val="none"/>
                    </w:rPr>
                    <w:t>治理范围为电厂西门至鲁山大道，总长约5.1公里。以防洪排涝能力提升为主，包括河道清淤扩挖、岸坡护砌，改建桥梁3座</w:t>
                  </w:r>
                  <w:r>
                    <w:rPr>
                      <w:rFonts w:hint="eastAsia"/>
                      <w:color w:val="auto"/>
                      <w:szCs w:val="21"/>
                      <w:highlight w:val="none"/>
                      <w:lang w:eastAsia="zh-CN"/>
                    </w:rPr>
                    <w:t>，沿线新建一条雨水管道</w:t>
                  </w:r>
                  <w:r>
                    <w:rPr>
                      <w:color w:val="auto"/>
                      <w:szCs w:val="21"/>
                      <w:highlight w:val="none"/>
                    </w:rPr>
                    <w:t>。</w:t>
                  </w:r>
                </w:p>
              </w:tc>
              <w:tc>
                <w:tcPr>
                  <w:tcW w:w="350" w:type="pct"/>
                  <w:noWrap/>
                  <w:tcMar>
                    <w:top w:w="8" w:type="dxa"/>
                    <w:left w:w="8" w:type="dxa"/>
                    <w:right w:w="8" w:type="dxa"/>
                  </w:tcMar>
                  <w:vAlign w:val="center"/>
                </w:tcPr>
                <w:p w14:paraId="7EB4B813">
                  <w:pPr>
                    <w:widowControl/>
                    <w:jc w:val="center"/>
                    <w:textAlignment w:val="center"/>
                    <w:rPr>
                      <w:bCs/>
                      <w:color w:val="auto"/>
                      <w:szCs w:val="21"/>
                      <w:highlight w:val="none"/>
                    </w:rPr>
                  </w:pPr>
                  <w:r>
                    <w:rPr>
                      <w:bCs/>
                      <w:color w:val="auto"/>
                      <w:szCs w:val="21"/>
                      <w:highlight w:val="none"/>
                    </w:rPr>
                    <w:t>/</w:t>
                  </w:r>
                </w:p>
              </w:tc>
            </w:tr>
            <w:tr w14:paraId="7BEE1F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7704EA50">
                  <w:pPr>
                    <w:widowControl/>
                    <w:jc w:val="center"/>
                    <w:textAlignment w:val="center"/>
                    <w:rPr>
                      <w:color w:val="auto"/>
                      <w:szCs w:val="21"/>
                      <w:highlight w:val="none"/>
                    </w:rPr>
                  </w:pPr>
                  <w:r>
                    <w:rPr>
                      <w:color w:val="auto"/>
                      <w:szCs w:val="21"/>
                      <w:highlight w:val="none"/>
                    </w:rPr>
                    <w:t>1</w:t>
                  </w:r>
                </w:p>
              </w:tc>
              <w:tc>
                <w:tcPr>
                  <w:tcW w:w="824" w:type="pct"/>
                  <w:gridSpan w:val="2"/>
                  <w:tcMar>
                    <w:top w:w="8" w:type="dxa"/>
                    <w:left w:w="8" w:type="dxa"/>
                    <w:right w:w="8" w:type="dxa"/>
                  </w:tcMar>
                  <w:vAlign w:val="center"/>
                </w:tcPr>
                <w:p w14:paraId="129DF2AE">
                  <w:pPr>
                    <w:widowControl/>
                    <w:jc w:val="center"/>
                    <w:textAlignment w:val="center"/>
                    <w:rPr>
                      <w:color w:val="auto"/>
                      <w:szCs w:val="21"/>
                      <w:highlight w:val="none"/>
                    </w:rPr>
                  </w:pPr>
                  <w:r>
                    <w:rPr>
                      <w:color w:val="auto"/>
                      <w:szCs w:val="21"/>
                      <w:highlight w:val="none"/>
                    </w:rPr>
                    <w:t>鲁山大道至东四路段</w:t>
                  </w:r>
                </w:p>
              </w:tc>
              <w:tc>
                <w:tcPr>
                  <w:tcW w:w="3251" w:type="pct"/>
                  <w:noWrap/>
                  <w:tcMar>
                    <w:top w:w="8" w:type="dxa"/>
                    <w:left w:w="8" w:type="dxa"/>
                    <w:right w:w="8" w:type="dxa"/>
                  </w:tcMar>
                  <w:vAlign w:val="center"/>
                </w:tcPr>
                <w:p w14:paraId="5073BB2D">
                  <w:pPr>
                    <w:widowControl/>
                    <w:jc w:val="center"/>
                    <w:textAlignment w:val="center"/>
                    <w:rPr>
                      <w:color w:val="auto"/>
                      <w:szCs w:val="21"/>
                      <w:highlight w:val="none"/>
                    </w:rPr>
                  </w:pPr>
                  <w:r>
                    <w:rPr>
                      <w:color w:val="auto"/>
                      <w:szCs w:val="21"/>
                      <w:highlight w:val="none"/>
                    </w:rPr>
                    <w:t>寨子村段护砌明沟清淤后利用，扩建寨子村猪龙河西支桥涵，扩建为1-3m盖板涵。土沟段进行扩挖护砌，护砌后断面为3m×2m，长约180米。沿工业路车行道下、东四路东侧绿化带下，新建一条d1650雨水管道，用于分流部分雨水，分流量约5.7m</w:t>
                  </w:r>
                  <w:r>
                    <w:rPr>
                      <w:color w:val="auto"/>
                      <w:szCs w:val="21"/>
                      <w:highlight w:val="none"/>
                      <w:vertAlign w:val="superscript"/>
                    </w:rPr>
                    <w:t>3</w:t>
                  </w:r>
                  <w:r>
                    <w:rPr>
                      <w:color w:val="auto"/>
                      <w:szCs w:val="21"/>
                      <w:highlight w:val="none"/>
                    </w:rPr>
                    <w:t>/s。与现状猪龙河西支共同承担上游来水，总流量约12m</w:t>
                  </w:r>
                  <w:r>
                    <w:rPr>
                      <w:color w:val="auto"/>
                      <w:szCs w:val="21"/>
                      <w:highlight w:val="none"/>
                      <w:vertAlign w:val="superscript"/>
                    </w:rPr>
                    <w:t>3</w:t>
                  </w:r>
                  <w:r>
                    <w:rPr>
                      <w:color w:val="auto"/>
                      <w:szCs w:val="21"/>
                      <w:highlight w:val="none"/>
                    </w:rPr>
                    <w:t>/s。</w:t>
                  </w:r>
                </w:p>
              </w:tc>
              <w:tc>
                <w:tcPr>
                  <w:tcW w:w="350" w:type="pct"/>
                  <w:noWrap/>
                  <w:tcMar>
                    <w:top w:w="8" w:type="dxa"/>
                    <w:left w:w="8" w:type="dxa"/>
                    <w:right w:w="8" w:type="dxa"/>
                  </w:tcMar>
                  <w:vAlign w:val="center"/>
                </w:tcPr>
                <w:p w14:paraId="02E08F82">
                  <w:pPr>
                    <w:widowControl/>
                    <w:jc w:val="center"/>
                    <w:textAlignment w:val="center"/>
                    <w:rPr>
                      <w:bCs/>
                      <w:color w:val="auto"/>
                      <w:szCs w:val="21"/>
                      <w:highlight w:val="none"/>
                    </w:rPr>
                  </w:pPr>
                  <w:r>
                    <w:rPr>
                      <w:bCs/>
                      <w:color w:val="auto"/>
                      <w:szCs w:val="21"/>
                      <w:highlight w:val="none"/>
                    </w:rPr>
                    <w:t>/</w:t>
                  </w:r>
                </w:p>
              </w:tc>
            </w:tr>
            <w:tr w14:paraId="219D75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79450B6D">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68D43D1F">
                  <w:pPr>
                    <w:widowControl/>
                    <w:jc w:val="center"/>
                    <w:textAlignment w:val="center"/>
                    <w:rPr>
                      <w:bCs/>
                      <w:color w:val="auto"/>
                      <w:kern w:val="0"/>
                      <w:szCs w:val="21"/>
                      <w:highlight w:val="none"/>
                      <w:lang w:bidi="ar"/>
                    </w:rPr>
                  </w:pPr>
                  <w:r>
                    <w:rPr>
                      <w:color w:val="auto"/>
                      <w:szCs w:val="21"/>
                      <w:highlight w:val="none"/>
                    </w:rPr>
                    <w:t>东四路至工业路段</w:t>
                  </w:r>
                </w:p>
              </w:tc>
              <w:tc>
                <w:tcPr>
                  <w:tcW w:w="3251" w:type="pct"/>
                  <w:noWrap/>
                  <w:tcMar>
                    <w:top w:w="8" w:type="dxa"/>
                    <w:left w:w="8" w:type="dxa"/>
                    <w:right w:w="8" w:type="dxa"/>
                  </w:tcMar>
                  <w:vAlign w:val="center"/>
                </w:tcPr>
                <w:p w14:paraId="3139B716">
                  <w:pPr>
                    <w:widowControl/>
                    <w:jc w:val="center"/>
                    <w:textAlignment w:val="center"/>
                    <w:rPr>
                      <w:bCs/>
                      <w:color w:val="auto"/>
                      <w:kern w:val="0"/>
                      <w:szCs w:val="21"/>
                      <w:highlight w:val="none"/>
                      <w:lang w:bidi="ar"/>
                    </w:rPr>
                  </w:pPr>
                  <w:r>
                    <w:rPr>
                      <w:color w:val="auto"/>
                      <w:szCs w:val="21"/>
                      <w:highlight w:val="none"/>
                    </w:rPr>
                    <w:t>该段河道长约2700米，仅对河道进行清淤。</w:t>
                  </w:r>
                </w:p>
              </w:tc>
              <w:tc>
                <w:tcPr>
                  <w:tcW w:w="350" w:type="pct"/>
                  <w:noWrap/>
                  <w:tcMar>
                    <w:top w:w="8" w:type="dxa"/>
                    <w:left w:w="8" w:type="dxa"/>
                    <w:right w:w="8" w:type="dxa"/>
                  </w:tcMar>
                  <w:vAlign w:val="center"/>
                </w:tcPr>
                <w:p w14:paraId="0E31A541">
                  <w:pPr>
                    <w:widowControl/>
                    <w:jc w:val="center"/>
                    <w:textAlignment w:val="center"/>
                    <w:rPr>
                      <w:bCs/>
                      <w:color w:val="auto"/>
                      <w:szCs w:val="21"/>
                      <w:highlight w:val="none"/>
                    </w:rPr>
                  </w:pPr>
                  <w:r>
                    <w:rPr>
                      <w:bCs/>
                      <w:color w:val="auto"/>
                      <w:szCs w:val="21"/>
                      <w:highlight w:val="none"/>
                    </w:rPr>
                    <w:t>/</w:t>
                  </w:r>
                </w:p>
              </w:tc>
            </w:tr>
            <w:tr w14:paraId="28C0F4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30AE7CAA">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tcMar>
                    <w:top w:w="8" w:type="dxa"/>
                    <w:left w:w="8" w:type="dxa"/>
                    <w:right w:w="8" w:type="dxa"/>
                  </w:tcMar>
                  <w:vAlign w:val="center"/>
                </w:tcPr>
                <w:p w14:paraId="30F143BA">
                  <w:pPr>
                    <w:widowControl/>
                    <w:jc w:val="center"/>
                    <w:textAlignment w:val="center"/>
                    <w:rPr>
                      <w:color w:val="auto"/>
                      <w:szCs w:val="21"/>
                      <w:highlight w:val="none"/>
                    </w:rPr>
                  </w:pPr>
                  <w:r>
                    <w:rPr>
                      <w:color w:val="auto"/>
                      <w:szCs w:val="21"/>
                      <w:highlight w:val="none"/>
                    </w:rPr>
                    <w:t>张南路段</w:t>
                  </w:r>
                </w:p>
              </w:tc>
              <w:tc>
                <w:tcPr>
                  <w:tcW w:w="3251" w:type="pct"/>
                  <w:noWrap/>
                  <w:tcMar>
                    <w:top w:w="8" w:type="dxa"/>
                    <w:left w:w="8" w:type="dxa"/>
                    <w:right w:w="8" w:type="dxa"/>
                  </w:tcMar>
                  <w:vAlign w:val="center"/>
                </w:tcPr>
                <w:p w14:paraId="32BFF25D">
                  <w:pPr>
                    <w:widowControl/>
                    <w:jc w:val="center"/>
                    <w:textAlignment w:val="center"/>
                    <w:rPr>
                      <w:color w:val="auto"/>
                      <w:szCs w:val="21"/>
                      <w:highlight w:val="none"/>
                    </w:rPr>
                  </w:pPr>
                  <w:r>
                    <w:rPr>
                      <w:color w:val="auto"/>
                      <w:szCs w:val="21"/>
                      <w:highlight w:val="none"/>
                    </w:rPr>
                    <w:t>该段河道长1.3km，仅对热电厂西门和山铝西门桥涵进行改造。热电厂西门改造后桥涵跨径为13米，桥宽16米。山铝西门改造桥涵扩径为5米，改造总长约71米，并对路面进行恢复，面积约1350m</w:t>
                  </w:r>
                  <w:r>
                    <w:rPr>
                      <w:color w:val="auto"/>
                      <w:szCs w:val="21"/>
                      <w:highlight w:val="none"/>
                      <w:vertAlign w:val="superscript"/>
                    </w:rPr>
                    <w:t>2</w:t>
                  </w:r>
                  <w:r>
                    <w:rPr>
                      <w:color w:val="auto"/>
                      <w:szCs w:val="21"/>
                      <w:highlight w:val="none"/>
                    </w:rPr>
                    <w:t>。并对河道内现状管线进行迁改。</w:t>
                  </w:r>
                </w:p>
                <w:p w14:paraId="08C1B1AE">
                  <w:pPr>
                    <w:widowControl/>
                    <w:jc w:val="center"/>
                    <w:textAlignment w:val="center"/>
                    <w:rPr>
                      <w:color w:val="auto"/>
                      <w:szCs w:val="21"/>
                      <w:highlight w:val="none"/>
                    </w:rPr>
                  </w:pPr>
                  <w:r>
                    <w:rPr>
                      <w:color w:val="auto"/>
                      <w:szCs w:val="21"/>
                      <w:highlight w:val="none"/>
                    </w:rPr>
                    <w:t>并对热电厂西门以北段河道进行改造，改造后断面为矩形护砌断面，护岸为钢筋混凝土结构，河道宽约10米，河道深约3～3.5米，改造长度约220米。</w:t>
                  </w:r>
                </w:p>
              </w:tc>
              <w:tc>
                <w:tcPr>
                  <w:tcW w:w="350" w:type="pct"/>
                  <w:noWrap/>
                  <w:tcMar>
                    <w:top w:w="8" w:type="dxa"/>
                    <w:left w:w="8" w:type="dxa"/>
                    <w:right w:w="8" w:type="dxa"/>
                  </w:tcMar>
                  <w:vAlign w:val="center"/>
                </w:tcPr>
                <w:p w14:paraId="09CA162A">
                  <w:pPr>
                    <w:widowControl/>
                    <w:jc w:val="center"/>
                    <w:textAlignment w:val="center"/>
                    <w:rPr>
                      <w:bCs/>
                      <w:color w:val="auto"/>
                      <w:szCs w:val="21"/>
                      <w:highlight w:val="none"/>
                    </w:rPr>
                  </w:pPr>
                  <w:r>
                    <w:rPr>
                      <w:bCs/>
                      <w:color w:val="auto"/>
                      <w:szCs w:val="21"/>
                      <w:highlight w:val="none"/>
                    </w:rPr>
                    <w:t>/</w:t>
                  </w:r>
                </w:p>
              </w:tc>
            </w:tr>
            <w:tr w14:paraId="10DA77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D6A9875">
                  <w:pPr>
                    <w:widowControl/>
                    <w:jc w:val="center"/>
                    <w:textAlignment w:val="center"/>
                    <w:rPr>
                      <w:color w:val="auto"/>
                      <w:szCs w:val="21"/>
                      <w:highlight w:val="none"/>
                    </w:rPr>
                  </w:pPr>
                  <w:r>
                    <w:rPr>
                      <w:color w:val="auto"/>
                      <w:szCs w:val="21"/>
                      <w:highlight w:val="none"/>
                    </w:rPr>
                    <w:t>（五）</w:t>
                  </w:r>
                </w:p>
              </w:tc>
              <w:tc>
                <w:tcPr>
                  <w:tcW w:w="824" w:type="pct"/>
                  <w:gridSpan w:val="2"/>
                  <w:shd w:val="clear" w:color="auto" w:fill="auto"/>
                  <w:tcMar>
                    <w:top w:w="8" w:type="dxa"/>
                    <w:left w:w="8" w:type="dxa"/>
                    <w:right w:w="8" w:type="dxa"/>
                  </w:tcMar>
                  <w:vAlign w:val="center"/>
                </w:tcPr>
                <w:p w14:paraId="4D6774BA">
                  <w:pPr>
                    <w:widowControl/>
                    <w:jc w:val="center"/>
                    <w:textAlignment w:val="center"/>
                    <w:rPr>
                      <w:color w:val="auto"/>
                      <w:szCs w:val="21"/>
                      <w:highlight w:val="none"/>
                    </w:rPr>
                  </w:pPr>
                  <w:r>
                    <w:rPr>
                      <w:color w:val="auto"/>
                      <w:szCs w:val="21"/>
                      <w:highlight w:val="none"/>
                    </w:rPr>
                    <w:t>瓦村沟治理工程</w:t>
                  </w:r>
                </w:p>
              </w:tc>
              <w:tc>
                <w:tcPr>
                  <w:tcW w:w="3251" w:type="pct"/>
                  <w:shd w:val="clear" w:color="auto" w:fill="auto"/>
                  <w:noWrap/>
                  <w:tcMar>
                    <w:top w:w="8" w:type="dxa"/>
                    <w:left w:w="8" w:type="dxa"/>
                    <w:right w:w="8" w:type="dxa"/>
                  </w:tcMar>
                  <w:vAlign w:val="center"/>
                </w:tcPr>
                <w:p w14:paraId="3AB40EDB">
                  <w:pPr>
                    <w:widowControl/>
                    <w:jc w:val="center"/>
                    <w:textAlignment w:val="center"/>
                    <w:rPr>
                      <w:color w:val="auto"/>
                      <w:szCs w:val="21"/>
                      <w:highlight w:val="none"/>
                    </w:rPr>
                  </w:pPr>
                  <w:r>
                    <w:rPr>
                      <w:color w:val="auto"/>
                      <w:szCs w:val="21"/>
                      <w:highlight w:val="none"/>
                    </w:rPr>
                    <w:t>治理范围为S102至孝妇河汇流处，总长约3.5km。本次整治按20年一遇对沿线河道进行清淤疏浚，拆除棚河建筑及拦水坝。过村庄段采用矩形断面，钢筋混凝土结构，断面为6米，深度约2.6米，长约970米。非村庄段采用梯形断面，河道护坡形式采用联锁式生态护坡，险工段采用浆砌片石护坡。河道底宽约6～8米，上口宽约11～13米，边坡系数为1：1.5，河道深度约2.6米，长约2530米。</w:t>
                  </w:r>
                </w:p>
                <w:p w14:paraId="28AAB988">
                  <w:pPr>
                    <w:widowControl/>
                    <w:jc w:val="center"/>
                    <w:textAlignment w:val="center"/>
                    <w:rPr>
                      <w:color w:val="auto"/>
                      <w:szCs w:val="21"/>
                      <w:highlight w:val="none"/>
                    </w:rPr>
                  </w:pPr>
                  <w:r>
                    <w:rPr>
                      <w:color w:val="auto"/>
                      <w:szCs w:val="21"/>
                      <w:highlight w:val="none"/>
                    </w:rPr>
                    <w:t>结合河道治理共改建桥梁3座。孔数及跨径主要为1×10m。</w:t>
                  </w:r>
                </w:p>
                <w:p w14:paraId="5D5FCD4D">
                  <w:pPr>
                    <w:widowControl/>
                    <w:jc w:val="center"/>
                    <w:textAlignment w:val="center"/>
                    <w:rPr>
                      <w:color w:val="auto"/>
                      <w:szCs w:val="21"/>
                      <w:highlight w:val="none"/>
                    </w:rPr>
                  </w:pPr>
                  <w:r>
                    <w:rPr>
                      <w:color w:val="auto"/>
                      <w:szCs w:val="21"/>
                      <w:highlight w:val="none"/>
                    </w:rPr>
                    <w:t>车站街至双沟铁路段，河道右岸改建防汛路，道路宽度为7米，长为330米。</w:t>
                  </w:r>
                </w:p>
              </w:tc>
              <w:tc>
                <w:tcPr>
                  <w:tcW w:w="350" w:type="pct"/>
                  <w:noWrap/>
                  <w:tcMar>
                    <w:top w:w="8" w:type="dxa"/>
                    <w:left w:w="8" w:type="dxa"/>
                    <w:right w:w="8" w:type="dxa"/>
                  </w:tcMar>
                  <w:vAlign w:val="center"/>
                </w:tcPr>
                <w:p w14:paraId="3F53E73A">
                  <w:pPr>
                    <w:widowControl/>
                    <w:jc w:val="center"/>
                    <w:textAlignment w:val="center"/>
                    <w:rPr>
                      <w:bCs/>
                      <w:color w:val="auto"/>
                      <w:szCs w:val="21"/>
                      <w:highlight w:val="none"/>
                    </w:rPr>
                  </w:pPr>
                  <w:r>
                    <w:rPr>
                      <w:bCs/>
                      <w:color w:val="auto"/>
                      <w:szCs w:val="21"/>
                      <w:highlight w:val="none"/>
                    </w:rPr>
                    <w:t>/</w:t>
                  </w:r>
                </w:p>
              </w:tc>
            </w:tr>
            <w:tr w14:paraId="4AC0EE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281DFAFE">
                  <w:pPr>
                    <w:widowControl/>
                    <w:jc w:val="center"/>
                    <w:textAlignment w:val="center"/>
                    <w:rPr>
                      <w:bCs/>
                      <w:color w:val="auto"/>
                      <w:kern w:val="0"/>
                      <w:szCs w:val="21"/>
                      <w:highlight w:val="none"/>
                      <w:lang w:bidi="ar"/>
                    </w:rPr>
                  </w:pPr>
                  <w:r>
                    <w:rPr>
                      <w:bCs/>
                      <w:color w:val="auto"/>
                      <w:kern w:val="0"/>
                      <w:szCs w:val="21"/>
                      <w:highlight w:val="none"/>
                      <w:lang w:bidi="ar"/>
                    </w:rPr>
                    <w:t>（六）</w:t>
                  </w:r>
                </w:p>
              </w:tc>
              <w:tc>
                <w:tcPr>
                  <w:tcW w:w="824" w:type="pct"/>
                  <w:gridSpan w:val="2"/>
                  <w:tcMar>
                    <w:top w:w="8" w:type="dxa"/>
                    <w:left w:w="8" w:type="dxa"/>
                    <w:right w:w="8" w:type="dxa"/>
                  </w:tcMar>
                  <w:vAlign w:val="center"/>
                </w:tcPr>
                <w:p w14:paraId="213297D9">
                  <w:pPr>
                    <w:widowControl/>
                    <w:jc w:val="center"/>
                    <w:textAlignment w:val="center"/>
                    <w:rPr>
                      <w:color w:val="auto"/>
                      <w:szCs w:val="21"/>
                      <w:highlight w:val="none"/>
                    </w:rPr>
                  </w:pPr>
                  <w:r>
                    <w:rPr>
                      <w:color w:val="auto"/>
                      <w:szCs w:val="21"/>
                      <w:highlight w:val="none"/>
                    </w:rPr>
                    <w:t>暖水河治理工程</w:t>
                  </w:r>
                </w:p>
              </w:tc>
              <w:tc>
                <w:tcPr>
                  <w:tcW w:w="3251" w:type="pct"/>
                  <w:noWrap/>
                  <w:tcMar>
                    <w:top w:w="8" w:type="dxa"/>
                    <w:left w:w="8" w:type="dxa"/>
                    <w:right w:w="8" w:type="dxa"/>
                  </w:tcMar>
                  <w:vAlign w:val="center"/>
                </w:tcPr>
                <w:p w14:paraId="2CF834CD">
                  <w:pPr>
                    <w:widowControl/>
                    <w:jc w:val="center"/>
                    <w:textAlignment w:val="center"/>
                    <w:rPr>
                      <w:color w:val="auto"/>
                      <w:szCs w:val="21"/>
                      <w:highlight w:val="none"/>
                    </w:rPr>
                  </w:pPr>
                  <w:r>
                    <w:rPr>
                      <w:color w:val="auto"/>
                      <w:szCs w:val="21"/>
                      <w:highlight w:val="none"/>
                    </w:rPr>
                    <w:t>河道治理总长4.3km。</w:t>
                  </w:r>
                </w:p>
              </w:tc>
              <w:tc>
                <w:tcPr>
                  <w:tcW w:w="350" w:type="pct"/>
                  <w:noWrap/>
                  <w:tcMar>
                    <w:top w:w="8" w:type="dxa"/>
                    <w:left w:w="8" w:type="dxa"/>
                    <w:right w:w="8" w:type="dxa"/>
                  </w:tcMar>
                  <w:vAlign w:val="center"/>
                </w:tcPr>
                <w:p w14:paraId="490E7590">
                  <w:pPr>
                    <w:widowControl/>
                    <w:jc w:val="center"/>
                    <w:textAlignment w:val="center"/>
                    <w:rPr>
                      <w:bCs/>
                      <w:color w:val="auto"/>
                      <w:szCs w:val="21"/>
                      <w:highlight w:val="none"/>
                    </w:rPr>
                  </w:pPr>
                  <w:r>
                    <w:rPr>
                      <w:bCs/>
                      <w:color w:val="auto"/>
                      <w:szCs w:val="21"/>
                      <w:highlight w:val="none"/>
                    </w:rPr>
                    <w:t>/</w:t>
                  </w:r>
                </w:p>
              </w:tc>
            </w:tr>
            <w:tr w14:paraId="771E14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66785EC7">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tcMar>
                    <w:top w:w="8" w:type="dxa"/>
                    <w:left w:w="8" w:type="dxa"/>
                    <w:right w:w="8" w:type="dxa"/>
                  </w:tcMar>
                  <w:vAlign w:val="center"/>
                </w:tcPr>
                <w:p w14:paraId="32D8E923">
                  <w:pPr>
                    <w:widowControl/>
                    <w:jc w:val="center"/>
                    <w:textAlignment w:val="center"/>
                    <w:rPr>
                      <w:color w:val="auto"/>
                      <w:szCs w:val="21"/>
                      <w:highlight w:val="none"/>
                    </w:rPr>
                  </w:pPr>
                  <w:r>
                    <w:rPr>
                      <w:color w:val="auto"/>
                      <w:szCs w:val="21"/>
                      <w:highlight w:val="none"/>
                    </w:rPr>
                    <w:t>省道102段～瓦村以南段</w:t>
                  </w:r>
                </w:p>
              </w:tc>
              <w:tc>
                <w:tcPr>
                  <w:tcW w:w="3251" w:type="pct"/>
                  <w:noWrap/>
                  <w:tcMar>
                    <w:top w:w="8" w:type="dxa"/>
                    <w:left w:w="8" w:type="dxa"/>
                    <w:right w:w="8" w:type="dxa"/>
                  </w:tcMar>
                  <w:vAlign w:val="center"/>
                </w:tcPr>
                <w:p w14:paraId="4674AC52">
                  <w:pPr>
                    <w:widowControl/>
                    <w:jc w:val="center"/>
                    <w:textAlignment w:val="center"/>
                    <w:rPr>
                      <w:color w:val="auto"/>
                      <w:szCs w:val="21"/>
                      <w:highlight w:val="none"/>
                    </w:rPr>
                  </w:pPr>
                  <w:r>
                    <w:rPr>
                      <w:color w:val="auto"/>
                      <w:szCs w:val="21"/>
                      <w:highlight w:val="none"/>
                    </w:rPr>
                    <w:t>省道102段～暖水河村段以梯形断面为主，设计河口宽18m，河底宽8m，主槽深3.0m。漫泗河村以南段，采用植草护坡，边坡系数1：2，该段长度约970m。漫泗河村至瓦村段，采用联锁式生态护坡，险工段采用浆砌片石护坡，边坡系数1：2，该段长约1.08km。</w:t>
                  </w:r>
                </w:p>
              </w:tc>
              <w:tc>
                <w:tcPr>
                  <w:tcW w:w="350" w:type="pct"/>
                  <w:noWrap/>
                  <w:tcMar>
                    <w:top w:w="8" w:type="dxa"/>
                    <w:left w:w="8" w:type="dxa"/>
                    <w:right w:w="8" w:type="dxa"/>
                  </w:tcMar>
                  <w:vAlign w:val="center"/>
                </w:tcPr>
                <w:p w14:paraId="0503A002">
                  <w:pPr>
                    <w:widowControl/>
                    <w:jc w:val="center"/>
                    <w:textAlignment w:val="center"/>
                    <w:rPr>
                      <w:bCs/>
                      <w:color w:val="auto"/>
                      <w:szCs w:val="21"/>
                      <w:highlight w:val="none"/>
                    </w:rPr>
                  </w:pPr>
                  <w:r>
                    <w:rPr>
                      <w:bCs/>
                      <w:color w:val="auto"/>
                      <w:szCs w:val="21"/>
                      <w:highlight w:val="none"/>
                    </w:rPr>
                    <w:t>/</w:t>
                  </w:r>
                </w:p>
              </w:tc>
            </w:tr>
            <w:tr w14:paraId="438B8F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5805D0BC">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7225B2E8">
                  <w:pPr>
                    <w:widowControl/>
                    <w:jc w:val="center"/>
                    <w:textAlignment w:val="center"/>
                    <w:rPr>
                      <w:color w:val="auto"/>
                      <w:szCs w:val="21"/>
                      <w:highlight w:val="none"/>
                    </w:rPr>
                  </w:pPr>
                  <w:r>
                    <w:rPr>
                      <w:color w:val="auto"/>
                      <w:szCs w:val="21"/>
                      <w:highlight w:val="none"/>
                    </w:rPr>
                    <w:t>瓦村～张罗路以北段</w:t>
                  </w:r>
                </w:p>
              </w:tc>
              <w:tc>
                <w:tcPr>
                  <w:tcW w:w="3251" w:type="pct"/>
                  <w:noWrap/>
                  <w:tcMar>
                    <w:top w:w="8" w:type="dxa"/>
                    <w:left w:w="8" w:type="dxa"/>
                    <w:right w:w="8" w:type="dxa"/>
                  </w:tcMar>
                  <w:vAlign w:val="center"/>
                </w:tcPr>
                <w:p w14:paraId="2B4D5CBA">
                  <w:pPr>
                    <w:widowControl/>
                    <w:jc w:val="center"/>
                    <w:textAlignment w:val="center"/>
                    <w:rPr>
                      <w:color w:val="auto"/>
                      <w:szCs w:val="21"/>
                      <w:highlight w:val="none"/>
                    </w:rPr>
                  </w:pPr>
                  <w:r>
                    <w:rPr>
                      <w:color w:val="auto"/>
                      <w:szCs w:val="21"/>
                      <w:highlight w:val="none"/>
                    </w:rPr>
                    <w:t>仅对河道进行清淤维护，对现状断面不足的桥涵拆除重建，共改造3座桥涵，改造后桥涵跨径为1×10～13m。该段河道长约1.05km。</w:t>
                  </w:r>
                </w:p>
              </w:tc>
              <w:tc>
                <w:tcPr>
                  <w:tcW w:w="350" w:type="pct"/>
                  <w:noWrap/>
                  <w:tcMar>
                    <w:top w:w="8" w:type="dxa"/>
                    <w:left w:w="8" w:type="dxa"/>
                    <w:right w:w="8" w:type="dxa"/>
                  </w:tcMar>
                  <w:vAlign w:val="center"/>
                </w:tcPr>
                <w:p w14:paraId="51EB1B85">
                  <w:pPr>
                    <w:widowControl/>
                    <w:jc w:val="center"/>
                    <w:textAlignment w:val="center"/>
                    <w:rPr>
                      <w:bCs/>
                      <w:color w:val="auto"/>
                      <w:szCs w:val="21"/>
                      <w:highlight w:val="none"/>
                    </w:rPr>
                  </w:pPr>
                  <w:r>
                    <w:rPr>
                      <w:bCs/>
                      <w:color w:val="auto"/>
                      <w:szCs w:val="21"/>
                      <w:highlight w:val="none"/>
                    </w:rPr>
                    <w:t>/</w:t>
                  </w:r>
                </w:p>
              </w:tc>
            </w:tr>
            <w:tr w14:paraId="74363B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5C1BD7BF">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tcMar>
                    <w:top w:w="8" w:type="dxa"/>
                    <w:left w:w="8" w:type="dxa"/>
                    <w:right w:w="8" w:type="dxa"/>
                  </w:tcMar>
                  <w:vAlign w:val="center"/>
                </w:tcPr>
                <w:p w14:paraId="3330A3E3">
                  <w:pPr>
                    <w:widowControl/>
                    <w:jc w:val="center"/>
                    <w:textAlignment w:val="center"/>
                    <w:rPr>
                      <w:color w:val="auto"/>
                      <w:szCs w:val="21"/>
                      <w:highlight w:val="none"/>
                    </w:rPr>
                  </w:pPr>
                  <w:r>
                    <w:rPr>
                      <w:color w:val="auto"/>
                      <w:szCs w:val="21"/>
                      <w:highlight w:val="none"/>
                    </w:rPr>
                    <w:t>张罗路至漫泗河段</w:t>
                  </w:r>
                </w:p>
              </w:tc>
              <w:tc>
                <w:tcPr>
                  <w:tcW w:w="3251" w:type="pct"/>
                  <w:noWrap/>
                  <w:tcMar>
                    <w:top w:w="8" w:type="dxa"/>
                    <w:left w:w="8" w:type="dxa"/>
                    <w:right w:w="8" w:type="dxa"/>
                  </w:tcMar>
                  <w:vAlign w:val="center"/>
                </w:tcPr>
                <w:p w14:paraId="252A3390">
                  <w:pPr>
                    <w:widowControl/>
                    <w:jc w:val="center"/>
                    <w:textAlignment w:val="center"/>
                    <w:rPr>
                      <w:color w:val="auto"/>
                      <w:szCs w:val="21"/>
                      <w:highlight w:val="none"/>
                    </w:rPr>
                  </w:pPr>
                  <w:r>
                    <w:rPr>
                      <w:color w:val="auto"/>
                      <w:szCs w:val="21"/>
                      <w:highlight w:val="none"/>
                    </w:rPr>
                    <w:t>以梯形断面为主，设计河口宽16～20m，河底宽10～13m，主槽深3.0m，坡比 1：1.5，联锁式生态护坡，险工段采用浆砌片石护坡。局部断面不足段，下部采用矩形砌石断面，上部为梯形土质断面。该段长约1.18km。过村庄段同步修建防汛路，道路宽度为7m，长度为700m。</w:t>
                  </w:r>
                </w:p>
              </w:tc>
              <w:tc>
                <w:tcPr>
                  <w:tcW w:w="350" w:type="pct"/>
                  <w:noWrap/>
                  <w:tcMar>
                    <w:top w:w="8" w:type="dxa"/>
                    <w:left w:w="8" w:type="dxa"/>
                    <w:right w:w="8" w:type="dxa"/>
                  </w:tcMar>
                  <w:vAlign w:val="center"/>
                </w:tcPr>
                <w:p w14:paraId="5F08EB42">
                  <w:pPr>
                    <w:widowControl/>
                    <w:jc w:val="center"/>
                    <w:textAlignment w:val="center"/>
                    <w:rPr>
                      <w:bCs/>
                      <w:color w:val="auto"/>
                      <w:szCs w:val="21"/>
                      <w:highlight w:val="none"/>
                    </w:rPr>
                  </w:pPr>
                  <w:r>
                    <w:rPr>
                      <w:bCs/>
                      <w:color w:val="auto"/>
                      <w:szCs w:val="21"/>
                      <w:highlight w:val="none"/>
                    </w:rPr>
                    <w:t>/</w:t>
                  </w:r>
                </w:p>
              </w:tc>
            </w:tr>
            <w:tr w14:paraId="0E5F00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5FA539ED">
                  <w:pPr>
                    <w:widowControl/>
                    <w:jc w:val="center"/>
                    <w:textAlignment w:val="center"/>
                    <w:rPr>
                      <w:color w:val="auto"/>
                      <w:szCs w:val="21"/>
                      <w:highlight w:val="none"/>
                    </w:rPr>
                  </w:pPr>
                  <w:r>
                    <w:rPr>
                      <w:color w:val="auto"/>
                      <w:szCs w:val="21"/>
                      <w:highlight w:val="none"/>
                    </w:rPr>
                    <w:t>（七）</w:t>
                  </w:r>
                </w:p>
              </w:tc>
              <w:tc>
                <w:tcPr>
                  <w:tcW w:w="824" w:type="pct"/>
                  <w:gridSpan w:val="2"/>
                  <w:tcMar>
                    <w:top w:w="8" w:type="dxa"/>
                    <w:left w:w="8" w:type="dxa"/>
                    <w:right w:w="8" w:type="dxa"/>
                  </w:tcMar>
                  <w:vAlign w:val="center"/>
                </w:tcPr>
                <w:p w14:paraId="60AC22AC">
                  <w:pPr>
                    <w:widowControl/>
                    <w:jc w:val="center"/>
                    <w:textAlignment w:val="center"/>
                    <w:rPr>
                      <w:color w:val="auto"/>
                      <w:szCs w:val="21"/>
                      <w:highlight w:val="none"/>
                    </w:rPr>
                  </w:pPr>
                  <w:r>
                    <w:rPr>
                      <w:color w:val="auto"/>
                      <w:szCs w:val="21"/>
                      <w:highlight w:val="none"/>
                    </w:rPr>
                    <w:t>焕然河治理工程</w:t>
                  </w:r>
                </w:p>
              </w:tc>
              <w:tc>
                <w:tcPr>
                  <w:tcW w:w="3251" w:type="pct"/>
                  <w:noWrap/>
                  <w:tcMar>
                    <w:top w:w="8" w:type="dxa"/>
                    <w:left w:w="8" w:type="dxa"/>
                    <w:right w:w="8" w:type="dxa"/>
                  </w:tcMar>
                  <w:vAlign w:val="center"/>
                </w:tcPr>
                <w:p w14:paraId="0DBD785B">
                  <w:pPr>
                    <w:widowControl/>
                    <w:jc w:val="center"/>
                    <w:textAlignment w:val="center"/>
                    <w:rPr>
                      <w:color w:val="auto"/>
                      <w:szCs w:val="21"/>
                      <w:highlight w:val="none"/>
                    </w:rPr>
                  </w:pPr>
                  <w:r>
                    <w:rPr>
                      <w:color w:val="auto"/>
                      <w:szCs w:val="21"/>
                      <w:highlight w:val="none"/>
                    </w:rPr>
                    <w:t>经开区范围长度为2.2km，对河道全线清淤，对断面缩小段河道按规划断面进行扩挖，清淤扩挖后河道上口宽约20～25m，下口宽约8～13m，深约3.5～4.5m。拆除终点处拦河坝。</w:t>
                  </w:r>
                </w:p>
              </w:tc>
              <w:tc>
                <w:tcPr>
                  <w:tcW w:w="350" w:type="pct"/>
                  <w:noWrap/>
                  <w:tcMar>
                    <w:top w:w="8" w:type="dxa"/>
                    <w:left w:w="8" w:type="dxa"/>
                    <w:right w:w="8" w:type="dxa"/>
                  </w:tcMar>
                  <w:vAlign w:val="center"/>
                </w:tcPr>
                <w:p w14:paraId="38BEE4DF">
                  <w:pPr>
                    <w:widowControl/>
                    <w:jc w:val="center"/>
                    <w:textAlignment w:val="center"/>
                    <w:rPr>
                      <w:bCs/>
                      <w:color w:val="auto"/>
                      <w:szCs w:val="21"/>
                      <w:highlight w:val="none"/>
                    </w:rPr>
                  </w:pPr>
                  <w:r>
                    <w:rPr>
                      <w:bCs/>
                      <w:color w:val="auto"/>
                      <w:szCs w:val="21"/>
                      <w:highlight w:val="none"/>
                    </w:rPr>
                    <w:t>/</w:t>
                  </w:r>
                </w:p>
              </w:tc>
            </w:tr>
            <w:tr w14:paraId="5A4919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6D949F8B">
                  <w:pPr>
                    <w:widowControl/>
                    <w:jc w:val="center"/>
                    <w:textAlignment w:val="center"/>
                    <w:rPr>
                      <w:bCs/>
                      <w:color w:val="auto"/>
                      <w:kern w:val="0"/>
                      <w:szCs w:val="21"/>
                      <w:highlight w:val="none"/>
                      <w:lang w:bidi="ar"/>
                    </w:rPr>
                  </w:pPr>
                  <w:r>
                    <w:rPr>
                      <w:bCs/>
                      <w:color w:val="auto"/>
                      <w:kern w:val="0"/>
                      <w:szCs w:val="21"/>
                      <w:highlight w:val="none"/>
                      <w:lang w:bidi="ar"/>
                    </w:rPr>
                    <w:t>（八）</w:t>
                  </w:r>
                </w:p>
              </w:tc>
              <w:tc>
                <w:tcPr>
                  <w:tcW w:w="824" w:type="pct"/>
                  <w:gridSpan w:val="2"/>
                  <w:tcMar>
                    <w:top w:w="8" w:type="dxa"/>
                    <w:left w:w="8" w:type="dxa"/>
                    <w:right w:w="8" w:type="dxa"/>
                  </w:tcMar>
                  <w:vAlign w:val="center"/>
                </w:tcPr>
                <w:p w14:paraId="79B9821E">
                  <w:pPr>
                    <w:widowControl/>
                    <w:jc w:val="center"/>
                    <w:textAlignment w:val="center"/>
                    <w:rPr>
                      <w:bCs/>
                      <w:color w:val="auto"/>
                      <w:kern w:val="0"/>
                      <w:szCs w:val="21"/>
                      <w:highlight w:val="none"/>
                      <w:lang w:bidi="ar"/>
                    </w:rPr>
                  </w:pPr>
                  <w:r>
                    <w:rPr>
                      <w:bCs/>
                      <w:color w:val="auto"/>
                      <w:kern w:val="0"/>
                      <w:szCs w:val="21"/>
                      <w:highlight w:val="none"/>
                      <w:lang w:bidi="ar"/>
                    </w:rPr>
                    <w:t>三泉沟治理工程</w:t>
                  </w:r>
                </w:p>
              </w:tc>
              <w:tc>
                <w:tcPr>
                  <w:tcW w:w="3251" w:type="pct"/>
                  <w:noWrap/>
                  <w:tcMar>
                    <w:top w:w="8" w:type="dxa"/>
                    <w:left w:w="8" w:type="dxa"/>
                    <w:right w:w="8" w:type="dxa"/>
                  </w:tcMar>
                  <w:vAlign w:val="center"/>
                </w:tcPr>
                <w:p w14:paraId="5CC1A505">
                  <w:pPr>
                    <w:widowControl/>
                    <w:jc w:val="center"/>
                    <w:textAlignment w:val="center"/>
                    <w:rPr>
                      <w:bCs/>
                      <w:color w:val="auto"/>
                      <w:kern w:val="0"/>
                      <w:szCs w:val="21"/>
                      <w:highlight w:val="none"/>
                      <w:lang w:bidi="ar"/>
                    </w:rPr>
                  </w:pPr>
                  <w:r>
                    <w:rPr>
                      <w:bCs/>
                      <w:color w:val="auto"/>
                      <w:szCs w:val="21"/>
                      <w:highlight w:val="none"/>
                    </w:rPr>
                    <w:t>河道治理总长4000m</w:t>
                  </w:r>
                  <w:r>
                    <w:rPr>
                      <w:color w:val="auto"/>
                      <w:szCs w:val="21"/>
                      <w:highlight w:val="none"/>
                    </w:rPr>
                    <w:t>。</w:t>
                  </w:r>
                </w:p>
              </w:tc>
              <w:tc>
                <w:tcPr>
                  <w:tcW w:w="350" w:type="pct"/>
                  <w:noWrap/>
                  <w:tcMar>
                    <w:top w:w="8" w:type="dxa"/>
                    <w:left w:w="8" w:type="dxa"/>
                    <w:right w:w="8" w:type="dxa"/>
                  </w:tcMar>
                  <w:vAlign w:val="center"/>
                </w:tcPr>
                <w:p w14:paraId="0BE48EDB">
                  <w:pPr>
                    <w:widowControl/>
                    <w:jc w:val="center"/>
                    <w:textAlignment w:val="center"/>
                    <w:rPr>
                      <w:bCs/>
                      <w:color w:val="auto"/>
                      <w:szCs w:val="21"/>
                      <w:highlight w:val="none"/>
                    </w:rPr>
                  </w:pPr>
                  <w:r>
                    <w:rPr>
                      <w:bCs/>
                      <w:color w:val="auto"/>
                      <w:szCs w:val="21"/>
                      <w:highlight w:val="none"/>
                    </w:rPr>
                    <w:t>/</w:t>
                  </w:r>
                </w:p>
              </w:tc>
            </w:tr>
            <w:tr w14:paraId="5BA1FB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1629CA8">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tcMar>
                    <w:top w:w="8" w:type="dxa"/>
                    <w:left w:w="8" w:type="dxa"/>
                    <w:right w:w="8" w:type="dxa"/>
                  </w:tcMar>
                  <w:vAlign w:val="center"/>
                </w:tcPr>
                <w:p w14:paraId="7F20BC3C">
                  <w:pPr>
                    <w:widowControl/>
                    <w:jc w:val="center"/>
                    <w:textAlignment w:val="center"/>
                    <w:rPr>
                      <w:bCs/>
                      <w:color w:val="auto"/>
                      <w:kern w:val="0"/>
                      <w:szCs w:val="21"/>
                      <w:highlight w:val="none"/>
                      <w:lang w:bidi="ar"/>
                    </w:rPr>
                  </w:pPr>
                  <w:r>
                    <w:rPr>
                      <w:color w:val="auto"/>
                      <w:szCs w:val="21"/>
                      <w:highlight w:val="none"/>
                    </w:rPr>
                    <w:t>矿机路段</w:t>
                  </w:r>
                </w:p>
              </w:tc>
              <w:tc>
                <w:tcPr>
                  <w:tcW w:w="3251" w:type="pct"/>
                  <w:noWrap/>
                  <w:tcMar>
                    <w:top w:w="8" w:type="dxa"/>
                    <w:left w:w="8" w:type="dxa"/>
                    <w:right w:w="8" w:type="dxa"/>
                  </w:tcMar>
                  <w:vAlign w:val="center"/>
                </w:tcPr>
                <w:p w14:paraId="25E23685">
                  <w:pPr>
                    <w:widowControl/>
                    <w:jc w:val="center"/>
                    <w:textAlignment w:val="center"/>
                    <w:rPr>
                      <w:bCs/>
                      <w:color w:val="auto"/>
                      <w:kern w:val="0"/>
                      <w:szCs w:val="21"/>
                      <w:highlight w:val="none"/>
                      <w:lang w:bidi="ar"/>
                    </w:rPr>
                  </w:pPr>
                  <w:r>
                    <w:rPr>
                      <w:color w:val="auto"/>
                      <w:szCs w:val="21"/>
                      <w:highlight w:val="none"/>
                    </w:rPr>
                    <w:t>改造范围为柳泉路至车站街，三泉沟改造的排涝标准为30年一遇，改造后断面为矩形断面，净宽为3～4米，净高为2～3米，改造长度约1270米。</w:t>
                  </w:r>
                </w:p>
              </w:tc>
              <w:tc>
                <w:tcPr>
                  <w:tcW w:w="350" w:type="pct"/>
                  <w:noWrap/>
                  <w:tcMar>
                    <w:top w:w="8" w:type="dxa"/>
                    <w:left w:w="8" w:type="dxa"/>
                    <w:right w:w="8" w:type="dxa"/>
                  </w:tcMar>
                  <w:vAlign w:val="center"/>
                </w:tcPr>
                <w:p w14:paraId="7252555E">
                  <w:pPr>
                    <w:widowControl/>
                    <w:jc w:val="center"/>
                    <w:textAlignment w:val="center"/>
                    <w:rPr>
                      <w:bCs/>
                      <w:color w:val="auto"/>
                      <w:szCs w:val="21"/>
                      <w:highlight w:val="none"/>
                    </w:rPr>
                  </w:pPr>
                  <w:r>
                    <w:rPr>
                      <w:bCs/>
                      <w:color w:val="auto"/>
                      <w:szCs w:val="21"/>
                      <w:highlight w:val="none"/>
                    </w:rPr>
                    <w:t>/</w:t>
                  </w:r>
                </w:p>
              </w:tc>
            </w:tr>
            <w:tr w14:paraId="734DE2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702DA2EB">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21D00CB5">
                  <w:pPr>
                    <w:widowControl/>
                    <w:jc w:val="center"/>
                    <w:textAlignment w:val="center"/>
                    <w:rPr>
                      <w:bCs/>
                      <w:color w:val="auto"/>
                      <w:kern w:val="0"/>
                      <w:szCs w:val="21"/>
                      <w:highlight w:val="none"/>
                      <w:lang w:bidi="ar"/>
                    </w:rPr>
                  </w:pPr>
                  <w:r>
                    <w:rPr>
                      <w:color w:val="auto"/>
                      <w:szCs w:val="21"/>
                      <w:highlight w:val="none"/>
                    </w:rPr>
                    <w:t>矿机路至淄河大道段</w:t>
                  </w:r>
                </w:p>
              </w:tc>
              <w:tc>
                <w:tcPr>
                  <w:tcW w:w="3251" w:type="pct"/>
                  <w:noWrap/>
                  <w:tcMar>
                    <w:top w:w="8" w:type="dxa"/>
                    <w:left w:w="8" w:type="dxa"/>
                    <w:right w:w="8" w:type="dxa"/>
                  </w:tcMar>
                  <w:vAlign w:val="center"/>
                </w:tcPr>
                <w:p w14:paraId="45842EA1">
                  <w:pPr>
                    <w:widowControl/>
                    <w:tabs>
                      <w:tab w:val="left" w:pos="2730"/>
                    </w:tabs>
                    <w:jc w:val="center"/>
                    <w:textAlignment w:val="center"/>
                    <w:rPr>
                      <w:bCs/>
                      <w:color w:val="auto"/>
                      <w:kern w:val="0"/>
                      <w:szCs w:val="21"/>
                      <w:highlight w:val="none"/>
                      <w:lang w:bidi="ar"/>
                    </w:rPr>
                  </w:pPr>
                  <w:r>
                    <w:rPr>
                      <w:color w:val="auto"/>
                      <w:szCs w:val="21"/>
                      <w:highlight w:val="none"/>
                    </w:rPr>
                    <w:t>河道厂约2270m，仅对河道进行清淤维护，不进行扩建</w:t>
                  </w:r>
                  <w:r>
                    <w:rPr>
                      <w:bCs/>
                      <w:color w:val="auto"/>
                      <w:kern w:val="0"/>
                      <w:szCs w:val="21"/>
                      <w:highlight w:val="none"/>
                      <w:lang w:bidi="ar"/>
                    </w:rPr>
                    <w:t>。</w:t>
                  </w:r>
                </w:p>
              </w:tc>
              <w:tc>
                <w:tcPr>
                  <w:tcW w:w="350" w:type="pct"/>
                  <w:noWrap/>
                  <w:tcMar>
                    <w:top w:w="8" w:type="dxa"/>
                    <w:left w:w="8" w:type="dxa"/>
                    <w:right w:w="8" w:type="dxa"/>
                  </w:tcMar>
                  <w:vAlign w:val="center"/>
                </w:tcPr>
                <w:p w14:paraId="7AFDBD23">
                  <w:pPr>
                    <w:widowControl/>
                    <w:jc w:val="center"/>
                    <w:textAlignment w:val="center"/>
                    <w:rPr>
                      <w:bCs/>
                      <w:color w:val="auto"/>
                      <w:szCs w:val="21"/>
                      <w:highlight w:val="none"/>
                    </w:rPr>
                  </w:pPr>
                  <w:r>
                    <w:rPr>
                      <w:bCs/>
                      <w:color w:val="auto"/>
                      <w:szCs w:val="21"/>
                      <w:highlight w:val="none"/>
                    </w:rPr>
                    <w:t>/</w:t>
                  </w:r>
                </w:p>
              </w:tc>
            </w:tr>
            <w:tr w14:paraId="1A4B02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DE6BE35">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tcMar>
                    <w:top w:w="8" w:type="dxa"/>
                    <w:left w:w="8" w:type="dxa"/>
                    <w:right w:w="8" w:type="dxa"/>
                  </w:tcMar>
                  <w:vAlign w:val="center"/>
                </w:tcPr>
                <w:p w14:paraId="681BBFDB">
                  <w:pPr>
                    <w:widowControl/>
                    <w:jc w:val="center"/>
                    <w:textAlignment w:val="center"/>
                    <w:rPr>
                      <w:color w:val="auto"/>
                      <w:szCs w:val="21"/>
                      <w:highlight w:val="none"/>
                    </w:rPr>
                  </w:pPr>
                  <w:r>
                    <w:rPr>
                      <w:color w:val="auto"/>
                      <w:szCs w:val="21"/>
                      <w:highlight w:val="none"/>
                    </w:rPr>
                    <w:t>淄河大道以南段</w:t>
                  </w:r>
                </w:p>
              </w:tc>
              <w:tc>
                <w:tcPr>
                  <w:tcW w:w="3251" w:type="pct"/>
                  <w:noWrap/>
                  <w:tcMar>
                    <w:top w:w="8" w:type="dxa"/>
                    <w:left w:w="8" w:type="dxa"/>
                    <w:right w:w="8" w:type="dxa"/>
                  </w:tcMar>
                  <w:vAlign w:val="center"/>
                </w:tcPr>
                <w:p w14:paraId="0B9C3524">
                  <w:pPr>
                    <w:widowControl/>
                    <w:jc w:val="center"/>
                    <w:textAlignment w:val="center"/>
                    <w:rPr>
                      <w:color w:val="auto"/>
                      <w:szCs w:val="21"/>
                      <w:highlight w:val="none"/>
                    </w:rPr>
                  </w:pPr>
                  <w:r>
                    <w:rPr>
                      <w:color w:val="auto"/>
                      <w:szCs w:val="21"/>
                      <w:highlight w:val="none"/>
                    </w:rPr>
                    <w:t>对河道进行清淤扩挖，扩挖后为梯形断面，下口宽约2米，上口宽约7米，深约2～3米，改造河道长约460米。其中采用联锁式生态护坡河岸长约410米，混凝土护岸长约50米。对断面不足排水涵进行拆除重建，改造后排水断面为4000×2500米，改造长度为50米。</w:t>
                  </w:r>
                </w:p>
              </w:tc>
              <w:tc>
                <w:tcPr>
                  <w:tcW w:w="350" w:type="pct"/>
                  <w:noWrap/>
                  <w:tcMar>
                    <w:top w:w="8" w:type="dxa"/>
                    <w:left w:w="8" w:type="dxa"/>
                    <w:right w:w="8" w:type="dxa"/>
                  </w:tcMar>
                  <w:vAlign w:val="center"/>
                </w:tcPr>
                <w:p w14:paraId="02AF4DDE">
                  <w:pPr>
                    <w:widowControl/>
                    <w:jc w:val="center"/>
                    <w:textAlignment w:val="center"/>
                    <w:rPr>
                      <w:bCs/>
                      <w:color w:val="auto"/>
                      <w:szCs w:val="21"/>
                      <w:highlight w:val="none"/>
                    </w:rPr>
                  </w:pPr>
                  <w:r>
                    <w:rPr>
                      <w:bCs/>
                      <w:color w:val="auto"/>
                      <w:szCs w:val="21"/>
                      <w:highlight w:val="none"/>
                    </w:rPr>
                    <w:t>/</w:t>
                  </w:r>
                </w:p>
              </w:tc>
            </w:tr>
            <w:tr w14:paraId="0A5B3D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AA92C6D">
                  <w:pPr>
                    <w:widowControl/>
                    <w:jc w:val="center"/>
                    <w:textAlignment w:val="center"/>
                    <w:rPr>
                      <w:bCs/>
                      <w:color w:val="auto"/>
                      <w:kern w:val="0"/>
                      <w:szCs w:val="21"/>
                      <w:highlight w:val="none"/>
                      <w:lang w:bidi="ar"/>
                    </w:rPr>
                  </w:pPr>
                  <w:r>
                    <w:rPr>
                      <w:bCs/>
                      <w:color w:val="auto"/>
                      <w:kern w:val="0"/>
                      <w:szCs w:val="21"/>
                      <w:highlight w:val="none"/>
                      <w:lang w:bidi="ar"/>
                    </w:rPr>
                    <w:t>（九）</w:t>
                  </w:r>
                </w:p>
              </w:tc>
              <w:tc>
                <w:tcPr>
                  <w:tcW w:w="824" w:type="pct"/>
                  <w:gridSpan w:val="2"/>
                  <w:tcMar>
                    <w:top w:w="8" w:type="dxa"/>
                    <w:left w:w="8" w:type="dxa"/>
                    <w:right w:w="8" w:type="dxa"/>
                  </w:tcMar>
                  <w:vAlign w:val="center"/>
                </w:tcPr>
                <w:p w14:paraId="571A22BE">
                  <w:pPr>
                    <w:widowControl/>
                    <w:jc w:val="center"/>
                    <w:textAlignment w:val="center"/>
                    <w:rPr>
                      <w:color w:val="auto"/>
                      <w:szCs w:val="21"/>
                      <w:highlight w:val="none"/>
                    </w:rPr>
                  </w:pPr>
                  <w:r>
                    <w:rPr>
                      <w:color w:val="auto"/>
                      <w:szCs w:val="21"/>
                      <w:highlight w:val="none"/>
                    </w:rPr>
                    <w:t>白蛇沟治理工程</w:t>
                  </w:r>
                </w:p>
              </w:tc>
              <w:tc>
                <w:tcPr>
                  <w:tcW w:w="3251" w:type="pct"/>
                  <w:noWrap/>
                  <w:tcMar>
                    <w:top w:w="8" w:type="dxa"/>
                    <w:left w:w="8" w:type="dxa"/>
                    <w:right w:w="8" w:type="dxa"/>
                  </w:tcMar>
                  <w:vAlign w:val="center"/>
                </w:tcPr>
                <w:p w14:paraId="20B3C85D">
                  <w:pPr>
                    <w:widowControl/>
                    <w:jc w:val="center"/>
                    <w:textAlignment w:val="center"/>
                    <w:rPr>
                      <w:color w:val="auto"/>
                      <w:szCs w:val="21"/>
                      <w:highlight w:val="none"/>
                    </w:rPr>
                  </w:pPr>
                  <w:r>
                    <w:rPr>
                      <w:color w:val="auto"/>
                      <w:szCs w:val="21"/>
                      <w:highlight w:val="none"/>
                    </w:rPr>
                    <w:t>河道治理总长1.51km</w:t>
                  </w:r>
                </w:p>
              </w:tc>
              <w:tc>
                <w:tcPr>
                  <w:tcW w:w="350" w:type="pct"/>
                  <w:noWrap/>
                  <w:tcMar>
                    <w:top w:w="8" w:type="dxa"/>
                    <w:left w:w="8" w:type="dxa"/>
                    <w:right w:w="8" w:type="dxa"/>
                  </w:tcMar>
                  <w:vAlign w:val="center"/>
                </w:tcPr>
                <w:p w14:paraId="2C1A5C7F">
                  <w:pPr>
                    <w:widowControl/>
                    <w:jc w:val="center"/>
                    <w:textAlignment w:val="center"/>
                    <w:rPr>
                      <w:bCs/>
                      <w:color w:val="auto"/>
                      <w:szCs w:val="21"/>
                      <w:highlight w:val="none"/>
                    </w:rPr>
                  </w:pPr>
                  <w:r>
                    <w:rPr>
                      <w:bCs/>
                      <w:color w:val="auto"/>
                      <w:szCs w:val="21"/>
                      <w:highlight w:val="none"/>
                    </w:rPr>
                    <w:t>/</w:t>
                  </w:r>
                </w:p>
              </w:tc>
            </w:tr>
            <w:tr w14:paraId="61E763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694A3E54">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tcMar>
                    <w:top w:w="8" w:type="dxa"/>
                    <w:left w:w="8" w:type="dxa"/>
                    <w:right w:w="8" w:type="dxa"/>
                  </w:tcMar>
                  <w:vAlign w:val="center"/>
                </w:tcPr>
                <w:p w14:paraId="60461A8B">
                  <w:pPr>
                    <w:widowControl/>
                    <w:jc w:val="center"/>
                    <w:textAlignment w:val="center"/>
                    <w:rPr>
                      <w:color w:val="auto"/>
                      <w:szCs w:val="21"/>
                      <w:highlight w:val="none"/>
                    </w:rPr>
                  </w:pPr>
                  <w:r>
                    <w:rPr>
                      <w:color w:val="auto"/>
                      <w:szCs w:val="21"/>
                      <w:highlight w:val="none"/>
                    </w:rPr>
                    <w:t>区界-李家村上游土沟段</w:t>
                  </w:r>
                </w:p>
              </w:tc>
              <w:tc>
                <w:tcPr>
                  <w:tcW w:w="3251" w:type="pct"/>
                  <w:noWrap/>
                  <w:tcMar>
                    <w:top w:w="8" w:type="dxa"/>
                    <w:left w:w="8" w:type="dxa"/>
                    <w:right w:w="8" w:type="dxa"/>
                  </w:tcMar>
                  <w:vAlign w:val="center"/>
                </w:tcPr>
                <w:p w14:paraId="3762F284">
                  <w:pPr>
                    <w:widowControl/>
                    <w:jc w:val="center"/>
                    <w:textAlignment w:val="center"/>
                    <w:rPr>
                      <w:color w:val="auto"/>
                      <w:szCs w:val="21"/>
                      <w:highlight w:val="none"/>
                    </w:rPr>
                  </w:pPr>
                  <w:r>
                    <w:rPr>
                      <w:color w:val="auto"/>
                      <w:szCs w:val="21"/>
                      <w:highlight w:val="none"/>
                    </w:rPr>
                    <w:t>对河道扩挖，采用连锁块对河道边坡进行护砌，险工段采用仰斜式挡墙进行护砌。扩挖后河道上口宽约5~8米，下口宽约2～2.5米，深约2～2.5米。该段改造河道总长约2850米，其中仰斜式挡墙护砌段410米，连锁块护砌段河道2440米。沿线预制板危桥及管涵改造为（5～6m）X3m排水涵洞，共改造10处，涵洞总长51米。</w:t>
                  </w:r>
                </w:p>
              </w:tc>
              <w:tc>
                <w:tcPr>
                  <w:tcW w:w="350" w:type="pct"/>
                  <w:noWrap/>
                  <w:tcMar>
                    <w:top w:w="8" w:type="dxa"/>
                    <w:left w:w="8" w:type="dxa"/>
                    <w:right w:w="8" w:type="dxa"/>
                  </w:tcMar>
                  <w:vAlign w:val="center"/>
                </w:tcPr>
                <w:p w14:paraId="69FE7550">
                  <w:pPr>
                    <w:widowControl/>
                    <w:jc w:val="center"/>
                    <w:textAlignment w:val="center"/>
                    <w:rPr>
                      <w:bCs/>
                      <w:color w:val="auto"/>
                      <w:szCs w:val="21"/>
                      <w:highlight w:val="none"/>
                    </w:rPr>
                  </w:pPr>
                  <w:r>
                    <w:rPr>
                      <w:bCs/>
                      <w:color w:val="auto"/>
                      <w:szCs w:val="21"/>
                      <w:highlight w:val="none"/>
                    </w:rPr>
                    <w:t>/</w:t>
                  </w:r>
                </w:p>
              </w:tc>
            </w:tr>
            <w:tr w14:paraId="7F6970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4D61711">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243F91BD">
                  <w:pPr>
                    <w:widowControl/>
                    <w:jc w:val="center"/>
                    <w:textAlignment w:val="center"/>
                    <w:rPr>
                      <w:color w:val="auto"/>
                      <w:szCs w:val="21"/>
                      <w:highlight w:val="none"/>
                    </w:rPr>
                  </w:pPr>
                  <w:r>
                    <w:rPr>
                      <w:color w:val="auto"/>
                      <w:szCs w:val="21"/>
                      <w:highlight w:val="none"/>
                    </w:rPr>
                    <w:t>李家村护砌段及李家村下游棚河段</w:t>
                  </w:r>
                </w:p>
              </w:tc>
              <w:tc>
                <w:tcPr>
                  <w:tcW w:w="3251" w:type="pct"/>
                  <w:noWrap/>
                  <w:tcMar>
                    <w:top w:w="8" w:type="dxa"/>
                    <w:left w:w="8" w:type="dxa"/>
                    <w:right w:w="8" w:type="dxa"/>
                  </w:tcMar>
                  <w:vAlign w:val="center"/>
                </w:tcPr>
                <w:p w14:paraId="35C6B9BB">
                  <w:pPr>
                    <w:widowControl/>
                    <w:jc w:val="center"/>
                    <w:textAlignment w:val="center"/>
                    <w:rPr>
                      <w:color w:val="auto"/>
                      <w:szCs w:val="21"/>
                      <w:highlight w:val="none"/>
                    </w:rPr>
                  </w:pPr>
                  <w:r>
                    <w:rPr>
                      <w:color w:val="auto"/>
                      <w:szCs w:val="21"/>
                      <w:highlight w:val="none"/>
                    </w:rPr>
                    <w:t>现状全部清淤利用，长度850m，清淤深度0.3m。</w:t>
                  </w:r>
                </w:p>
              </w:tc>
              <w:tc>
                <w:tcPr>
                  <w:tcW w:w="350" w:type="pct"/>
                  <w:noWrap/>
                  <w:tcMar>
                    <w:top w:w="8" w:type="dxa"/>
                    <w:left w:w="8" w:type="dxa"/>
                    <w:right w:w="8" w:type="dxa"/>
                  </w:tcMar>
                  <w:vAlign w:val="center"/>
                </w:tcPr>
                <w:p w14:paraId="23D00C02">
                  <w:pPr>
                    <w:widowControl/>
                    <w:jc w:val="center"/>
                    <w:textAlignment w:val="center"/>
                    <w:rPr>
                      <w:bCs/>
                      <w:color w:val="auto"/>
                      <w:szCs w:val="21"/>
                      <w:highlight w:val="none"/>
                    </w:rPr>
                  </w:pPr>
                  <w:r>
                    <w:rPr>
                      <w:bCs/>
                      <w:color w:val="auto"/>
                      <w:szCs w:val="21"/>
                      <w:highlight w:val="none"/>
                    </w:rPr>
                    <w:t>/</w:t>
                  </w:r>
                </w:p>
              </w:tc>
            </w:tr>
            <w:tr w14:paraId="1C687F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B16A521">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tcMar>
                    <w:top w:w="8" w:type="dxa"/>
                    <w:left w:w="8" w:type="dxa"/>
                    <w:right w:w="8" w:type="dxa"/>
                  </w:tcMar>
                  <w:vAlign w:val="center"/>
                </w:tcPr>
                <w:p w14:paraId="7EC9ABBD">
                  <w:pPr>
                    <w:widowControl/>
                    <w:jc w:val="center"/>
                    <w:textAlignment w:val="center"/>
                    <w:rPr>
                      <w:color w:val="auto"/>
                      <w:szCs w:val="21"/>
                      <w:highlight w:val="none"/>
                    </w:rPr>
                  </w:pPr>
                  <w:r>
                    <w:rPr>
                      <w:color w:val="auto"/>
                      <w:szCs w:val="21"/>
                      <w:highlight w:val="none"/>
                    </w:rPr>
                    <w:t>李家村下游-区界土沟段</w:t>
                  </w:r>
                </w:p>
                <w:p w14:paraId="19CE802D">
                  <w:pPr>
                    <w:widowControl/>
                    <w:jc w:val="center"/>
                    <w:textAlignment w:val="center"/>
                    <w:rPr>
                      <w:color w:val="auto"/>
                      <w:szCs w:val="21"/>
                      <w:highlight w:val="none"/>
                    </w:rPr>
                  </w:pPr>
                </w:p>
              </w:tc>
              <w:tc>
                <w:tcPr>
                  <w:tcW w:w="3251" w:type="pct"/>
                  <w:noWrap/>
                  <w:tcMar>
                    <w:top w:w="8" w:type="dxa"/>
                    <w:left w:w="8" w:type="dxa"/>
                    <w:right w:w="8" w:type="dxa"/>
                  </w:tcMar>
                  <w:vAlign w:val="center"/>
                </w:tcPr>
                <w:p w14:paraId="0E6DDD41">
                  <w:pPr>
                    <w:widowControl/>
                    <w:jc w:val="center"/>
                    <w:textAlignment w:val="center"/>
                    <w:rPr>
                      <w:color w:val="auto"/>
                      <w:szCs w:val="21"/>
                      <w:highlight w:val="none"/>
                    </w:rPr>
                  </w:pPr>
                  <w:r>
                    <w:rPr>
                      <w:color w:val="auto"/>
                      <w:szCs w:val="21"/>
                      <w:highlight w:val="none"/>
                    </w:rPr>
                    <w:t>对河道扩挖，采用连锁块对河道边坡进行护砌，险工段采用仰斜式挡墙进行护砌。扩挖后河道上口宽约8~11米，下口宽约3~5米，深约2.5~3.0米。该段改造河道总长约1710米，其中仰斜式挡墙护砌段274米，连锁块护砌段河道1436米。</w:t>
                  </w:r>
                </w:p>
              </w:tc>
              <w:tc>
                <w:tcPr>
                  <w:tcW w:w="350" w:type="pct"/>
                  <w:noWrap/>
                  <w:tcMar>
                    <w:top w:w="8" w:type="dxa"/>
                    <w:left w:w="8" w:type="dxa"/>
                    <w:right w:w="8" w:type="dxa"/>
                  </w:tcMar>
                  <w:vAlign w:val="center"/>
                </w:tcPr>
                <w:p w14:paraId="27CDC76E">
                  <w:pPr>
                    <w:widowControl/>
                    <w:jc w:val="center"/>
                    <w:textAlignment w:val="center"/>
                    <w:rPr>
                      <w:bCs/>
                      <w:color w:val="auto"/>
                      <w:szCs w:val="21"/>
                      <w:highlight w:val="none"/>
                    </w:rPr>
                  </w:pPr>
                  <w:r>
                    <w:rPr>
                      <w:bCs/>
                      <w:color w:val="auto"/>
                      <w:szCs w:val="21"/>
                      <w:highlight w:val="none"/>
                    </w:rPr>
                    <w:t>/</w:t>
                  </w:r>
                </w:p>
              </w:tc>
            </w:tr>
            <w:tr w14:paraId="290A53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6FDD4478">
                  <w:pPr>
                    <w:widowControl/>
                    <w:jc w:val="center"/>
                    <w:textAlignment w:val="center"/>
                    <w:rPr>
                      <w:bCs/>
                      <w:color w:val="auto"/>
                      <w:kern w:val="0"/>
                      <w:szCs w:val="21"/>
                      <w:highlight w:val="none"/>
                      <w:lang w:bidi="ar"/>
                    </w:rPr>
                  </w:pPr>
                  <w:r>
                    <w:rPr>
                      <w:bCs/>
                      <w:color w:val="auto"/>
                      <w:kern w:val="0"/>
                      <w:szCs w:val="21"/>
                      <w:highlight w:val="none"/>
                      <w:lang w:bidi="ar"/>
                    </w:rPr>
                    <w:t>（十）</w:t>
                  </w:r>
                </w:p>
              </w:tc>
              <w:tc>
                <w:tcPr>
                  <w:tcW w:w="824" w:type="pct"/>
                  <w:gridSpan w:val="2"/>
                  <w:tcMar>
                    <w:top w:w="8" w:type="dxa"/>
                    <w:left w:w="8" w:type="dxa"/>
                    <w:right w:w="8" w:type="dxa"/>
                  </w:tcMar>
                  <w:vAlign w:val="center"/>
                </w:tcPr>
                <w:p w14:paraId="16989A25">
                  <w:pPr>
                    <w:widowControl/>
                    <w:jc w:val="center"/>
                    <w:textAlignment w:val="center"/>
                    <w:rPr>
                      <w:bCs/>
                      <w:color w:val="auto"/>
                      <w:kern w:val="0"/>
                      <w:szCs w:val="21"/>
                      <w:highlight w:val="none"/>
                      <w:lang w:bidi="ar"/>
                    </w:rPr>
                  </w:pPr>
                  <w:r>
                    <w:rPr>
                      <w:bCs/>
                      <w:color w:val="auto"/>
                      <w:kern w:val="0"/>
                      <w:szCs w:val="21"/>
                      <w:highlight w:val="none"/>
                      <w:lang w:bidi="ar"/>
                    </w:rPr>
                    <w:t>袁家河治理工程</w:t>
                  </w:r>
                </w:p>
              </w:tc>
              <w:tc>
                <w:tcPr>
                  <w:tcW w:w="3251" w:type="pct"/>
                  <w:noWrap/>
                  <w:tcMar>
                    <w:top w:w="8" w:type="dxa"/>
                    <w:left w:w="8" w:type="dxa"/>
                    <w:right w:w="8" w:type="dxa"/>
                  </w:tcMar>
                  <w:vAlign w:val="center"/>
                </w:tcPr>
                <w:p w14:paraId="775E3C4E">
                  <w:pPr>
                    <w:widowControl/>
                    <w:jc w:val="center"/>
                    <w:textAlignment w:val="center"/>
                    <w:rPr>
                      <w:bCs/>
                      <w:color w:val="auto"/>
                      <w:szCs w:val="21"/>
                      <w:highlight w:val="none"/>
                    </w:rPr>
                  </w:pPr>
                  <w:r>
                    <w:rPr>
                      <w:color w:val="auto"/>
                      <w:szCs w:val="21"/>
                      <w:highlight w:val="none"/>
                    </w:rPr>
                    <w:t>改造范围为</w:t>
                  </w:r>
                  <w:r>
                    <w:rPr>
                      <w:rFonts w:hint="eastAsia"/>
                      <w:color w:val="auto"/>
                      <w:szCs w:val="21"/>
                      <w:highlight w:val="none"/>
                      <w:lang w:eastAsia="zh-CN"/>
                    </w:rPr>
                    <w:t>梁</w:t>
                  </w:r>
                  <w:r>
                    <w:rPr>
                      <w:color w:val="auto"/>
                      <w:szCs w:val="21"/>
                      <w:highlight w:val="none"/>
                    </w:rPr>
                    <w:t>牛路至雅迪路，总长约3760米</w:t>
                  </w:r>
                </w:p>
              </w:tc>
              <w:tc>
                <w:tcPr>
                  <w:tcW w:w="350" w:type="pct"/>
                  <w:noWrap/>
                  <w:tcMar>
                    <w:top w:w="8" w:type="dxa"/>
                    <w:left w:w="8" w:type="dxa"/>
                    <w:right w:w="8" w:type="dxa"/>
                  </w:tcMar>
                  <w:vAlign w:val="center"/>
                </w:tcPr>
                <w:p w14:paraId="753C6562">
                  <w:pPr>
                    <w:widowControl/>
                    <w:jc w:val="center"/>
                    <w:textAlignment w:val="center"/>
                    <w:rPr>
                      <w:bCs/>
                      <w:color w:val="auto"/>
                      <w:szCs w:val="21"/>
                      <w:highlight w:val="none"/>
                    </w:rPr>
                  </w:pPr>
                  <w:r>
                    <w:rPr>
                      <w:bCs/>
                      <w:color w:val="auto"/>
                      <w:szCs w:val="21"/>
                      <w:highlight w:val="none"/>
                    </w:rPr>
                    <w:t>/</w:t>
                  </w:r>
                </w:p>
              </w:tc>
            </w:tr>
            <w:tr w14:paraId="76FEBF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C4226D5">
                  <w:pPr>
                    <w:widowControl/>
                    <w:jc w:val="center"/>
                    <w:textAlignment w:val="center"/>
                    <w:rPr>
                      <w:color w:val="auto"/>
                      <w:szCs w:val="21"/>
                      <w:highlight w:val="none"/>
                    </w:rPr>
                  </w:pPr>
                  <w:r>
                    <w:rPr>
                      <w:color w:val="auto"/>
                      <w:szCs w:val="21"/>
                      <w:highlight w:val="none"/>
                    </w:rPr>
                    <w:t>1</w:t>
                  </w:r>
                </w:p>
              </w:tc>
              <w:tc>
                <w:tcPr>
                  <w:tcW w:w="824" w:type="pct"/>
                  <w:gridSpan w:val="2"/>
                  <w:tcMar>
                    <w:top w:w="8" w:type="dxa"/>
                    <w:left w:w="8" w:type="dxa"/>
                    <w:right w:w="8" w:type="dxa"/>
                  </w:tcMar>
                  <w:vAlign w:val="center"/>
                </w:tcPr>
                <w:p w14:paraId="60D85F4A">
                  <w:pPr>
                    <w:widowControl/>
                    <w:jc w:val="center"/>
                    <w:textAlignment w:val="center"/>
                    <w:rPr>
                      <w:color w:val="auto"/>
                      <w:szCs w:val="21"/>
                      <w:highlight w:val="none"/>
                    </w:rPr>
                  </w:pPr>
                  <w:r>
                    <w:rPr>
                      <w:color w:val="auto"/>
                      <w:szCs w:val="21"/>
                      <w:highlight w:val="none"/>
                    </w:rPr>
                    <w:t>双圣路至</w:t>
                  </w:r>
                  <w:r>
                    <w:rPr>
                      <w:rFonts w:hint="eastAsia"/>
                      <w:color w:val="auto"/>
                      <w:szCs w:val="21"/>
                      <w:highlight w:val="none"/>
                      <w:lang w:eastAsia="zh-CN"/>
                    </w:rPr>
                    <w:t>梁</w:t>
                  </w:r>
                  <w:r>
                    <w:rPr>
                      <w:color w:val="auto"/>
                      <w:szCs w:val="21"/>
                      <w:highlight w:val="none"/>
                    </w:rPr>
                    <w:t>牛路段</w:t>
                  </w:r>
                </w:p>
              </w:tc>
              <w:tc>
                <w:tcPr>
                  <w:tcW w:w="3251" w:type="pct"/>
                  <w:noWrap/>
                  <w:tcMar>
                    <w:top w:w="8" w:type="dxa"/>
                    <w:left w:w="8" w:type="dxa"/>
                    <w:right w:w="8" w:type="dxa"/>
                  </w:tcMar>
                  <w:vAlign w:val="center"/>
                </w:tcPr>
                <w:p w14:paraId="67CC96A3">
                  <w:pPr>
                    <w:widowControl/>
                    <w:jc w:val="center"/>
                    <w:textAlignment w:val="center"/>
                    <w:rPr>
                      <w:color w:val="auto"/>
                      <w:szCs w:val="21"/>
                      <w:highlight w:val="none"/>
                    </w:rPr>
                  </w:pPr>
                  <w:r>
                    <w:rPr>
                      <w:color w:val="auto"/>
                      <w:szCs w:val="21"/>
                      <w:highlight w:val="none"/>
                    </w:rPr>
                    <w:t>双圣路至梁牛路段河道进行扩挖改造，扩挖后断面为梯形断面，上口宽约6～10米，下口宽约2～3米，深约2～3米。河岸用互锁砖护砌，放坡系数为1：1.5～1：2，河底素土夯实。改造河道总长约1000米。</w:t>
                  </w:r>
                </w:p>
              </w:tc>
              <w:tc>
                <w:tcPr>
                  <w:tcW w:w="350" w:type="pct"/>
                  <w:noWrap/>
                  <w:tcMar>
                    <w:top w:w="8" w:type="dxa"/>
                    <w:left w:w="8" w:type="dxa"/>
                    <w:right w:w="8" w:type="dxa"/>
                  </w:tcMar>
                  <w:vAlign w:val="center"/>
                </w:tcPr>
                <w:p w14:paraId="2EBBD59D">
                  <w:pPr>
                    <w:widowControl/>
                    <w:jc w:val="center"/>
                    <w:textAlignment w:val="center"/>
                    <w:rPr>
                      <w:bCs/>
                      <w:color w:val="auto"/>
                      <w:szCs w:val="21"/>
                      <w:highlight w:val="none"/>
                    </w:rPr>
                  </w:pPr>
                  <w:r>
                    <w:rPr>
                      <w:bCs/>
                      <w:color w:val="auto"/>
                      <w:szCs w:val="21"/>
                      <w:highlight w:val="none"/>
                    </w:rPr>
                    <w:t>/</w:t>
                  </w:r>
                </w:p>
              </w:tc>
            </w:tr>
            <w:tr w14:paraId="1C0D29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25F904B4">
                  <w:pPr>
                    <w:widowControl/>
                    <w:jc w:val="center"/>
                    <w:textAlignment w:val="center"/>
                    <w:rPr>
                      <w:color w:val="auto"/>
                      <w:szCs w:val="21"/>
                      <w:highlight w:val="none"/>
                    </w:rPr>
                  </w:pPr>
                  <w:r>
                    <w:rPr>
                      <w:color w:val="auto"/>
                      <w:szCs w:val="21"/>
                      <w:highlight w:val="none"/>
                    </w:rPr>
                    <w:t>2</w:t>
                  </w:r>
                </w:p>
              </w:tc>
              <w:tc>
                <w:tcPr>
                  <w:tcW w:w="824" w:type="pct"/>
                  <w:gridSpan w:val="2"/>
                  <w:tcMar>
                    <w:top w:w="8" w:type="dxa"/>
                    <w:left w:w="8" w:type="dxa"/>
                    <w:right w:w="8" w:type="dxa"/>
                  </w:tcMar>
                  <w:vAlign w:val="center"/>
                </w:tcPr>
                <w:p w14:paraId="5D3641D5">
                  <w:pPr>
                    <w:widowControl/>
                    <w:jc w:val="center"/>
                    <w:textAlignment w:val="center"/>
                    <w:rPr>
                      <w:color w:val="auto"/>
                      <w:szCs w:val="21"/>
                      <w:highlight w:val="none"/>
                    </w:rPr>
                  </w:pPr>
                  <w:r>
                    <w:rPr>
                      <w:color w:val="auto"/>
                      <w:szCs w:val="21"/>
                      <w:highlight w:val="none"/>
                    </w:rPr>
                    <w:t>双圣路以南段</w:t>
                  </w:r>
                </w:p>
              </w:tc>
              <w:tc>
                <w:tcPr>
                  <w:tcW w:w="3251" w:type="pct"/>
                  <w:noWrap/>
                  <w:tcMar>
                    <w:top w:w="8" w:type="dxa"/>
                    <w:left w:w="8" w:type="dxa"/>
                    <w:right w:w="8" w:type="dxa"/>
                  </w:tcMar>
                  <w:vAlign w:val="center"/>
                </w:tcPr>
                <w:p w14:paraId="05887D6C">
                  <w:pPr>
                    <w:widowControl/>
                    <w:jc w:val="center"/>
                    <w:textAlignment w:val="center"/>
                    <w:rPr>
                      <w:color w:val="auto"/>
                      <w:szCs w:val="21"/>
                      <w:highlight w:val="none"/>
                    </w:rPr>
                  </w:pPr>
                  <w:r>
                    <w:rPr>
                      <w:color w:val="auto"/>
                      <w:szCs w:val="21"/>
                      <w:highlight w:val="none"/>
                    </w:rPr>
                    <w:t>该段河道进行清淤，清淤后断面为土质梯形断面，上口宽约4～8米，下口宽约1～2米，深约2～3米。清淤河道总长约2760米。河岸为土质护坡，放坡系数为1：2。</w:t>
                  </w:r>
                </w:p>
              </w:tc>
              <w:tc>
                <w:tcPr>
                  <w:tcW w:w="350" w:type="pct"/>
                  <w:noWrap/>
                  <w:tcMar>
                    <w:top w:w="8" w:type="dxa"/>
                    <w:left w:w="8" w:type="dxa"/>
                    <w:right w:w="8" w:type="dxa"/>
                  </w:tcMar>
                  <w:vAlign w:val="center"/>
                </w:tcPr>
                <w:p w14:paraId="60404112">
                  <w:pPr>
                    <w:widowControl/>
                    <w:jc w:val="center"/>
                    <w:textAlignment w:val="center"/>
                    <w:rPr>
                      <w:bCs/>
                      <w:color w:val="auto"/>
                      <w:szCs w:val="21"/>
                      <w:highlight w:val="none"/>
                    </w:rPr>
                  </w:pPr>
                  <w:r>
                    <w:rPr>
                      <w:bCs/>
                      <w:color w:val="auto"/>
                      <w:szCs w:val="21"/>
                      <w:highlight w:val="none"/>
                    </w:rPr>
                    <w:t>/</w:t>
                  </w:r>
                </w:p>
              </w:tc>
            </w:tr>
            <w:tr w14:paraId="67A9B7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3FF0A04C">
                  <w:pPr>
                    <w:widowControl/>
                    <w:jc w:val="center"/>
                    <w:textAlignment w:val="center"/>
                    <w:rPr>
                      <w:color w:val="auto"/>
                      <w:szCs w:val="21"/>
                      <w:highlight w:val="none"/>
                    </w:rPr>
                  </w:pPr>
                  <w:r>
                    <w:rPr>
                      <w:color w:val="auto"/>
                      <w:szCs w:val="21"/>
                      <w:highlight w:val="none"/>
                    </w:rPr>
                    <w:t>3</w:t>
                  </w:r>
                </w:p>
              </w:tc>
              <w:tc>
                <w:tcPr>
                  <w:tcW w:w="824" w:type="pct"/>
                  <w:gridSpan w:val="2"/>
                  <w:tcMar>
                    <w:top w:w="8" w:type="dxa"/>
                    <w:left w:w="8" w:type="dxa"/>
                    <w:right w:w="8" w:type="dxa"/>
                  </w:tcMar>
                  <w:vAlign w:val="center"/>
                </w:tcPr>
                <w:p w14:paraId="0D42695E">
                  <w:pPr>
                    <w:widowControl/>
                    <w:jc w:val="center"/>
                    <w:textAlignment w:val="center"/>
                    <w:rPr>
                      <w:color w:val="auto"/>
                      <w:szCs w:val="21"/>
                      <w:highlight w:val="none"/>
                    </w:rPr>
                  </w:pPr>
                  <w:r>
                    <w:rPr>
                      <w:color w:val="auto"/>
                      <w:szCs w:val="21"/>
                      <w:highlight w:val="none"/>
                    </w:rPr>
                    <w:t>改建过路桥涵</w:t>
                  </w:r>
                </w:p>
              </w:tc>
              <w:tc>
                <w:tcPr>
                  <w:tcW w:w="3251" w:type="pct"/>
                  <w:noWrap/>
                  <w:tcMar>
                    <w:top w:w="8" w:type="dxa"/>
                    <w:left w:w="8" w:type="dxa"/>
                    <w:right w:w="8" w:type="dxa"/>
                  </w:tcMar>
                  <w:vAlign w:val="center"/>
                </w:tcPr>
                <w:p w14:paraId="47D0E1E3">
                  <w:pPr>
                    <w:widowControl/>
                    <w:jc w:val="center"/>
                    <w:textAlignment w:val="center"/>
                    <w:rPr>
                      <w:color w:val="auto"/>
                      <w:szCs w:val="21"/>
                      <w:highlight w:val="none"/>
                    </w:rPr>
                  </w:pPr>
                  <w:r>
                    <w:rPr>
                      <w:color w:val="auto"/>
                      <w:szCs w:val="21"/>
                      <w:highlight w:val="none"/>
                    </w:rPr>
                    <w:t>改建袁家河过梁牛路桥，跨径为1×10m，桥宽15米。其它支路处新建2座排水涵洞，涵洞断面尺寸为5000×2500，涵洞总长约30米。</w:t>
                  </w:r>
                </w:p>
              </w:tc>
              <w:tc>
                <w:tcPr>
                  <w:tcW w:w="350" w:type="pct"/>
                  <w:noWrap/>
                  <w:tcMar>
                    <w:top w:w="8" w:type="dxa"/>
                    <w:left w:w="8" w:type="dxa"/>
                    <w:right w:w="8" w:type="dxa"/>
                  </w:tcMar>
                  <w:vAlign w:val="center"/>
                </w:tcPr>
                <w:p w14:paraId="337697C9">
                  <w:pPr>
                    <w:widowControl/>
                    <w:jc w:val="center"/>
                    <w:textAlignment w:val="center"/>
                    <w:rPr>
                      <w:bCs/>
                      <w:color w:val="auto"/>
                      <w:szCs w:val="21"/>
                      <w:highlight w:val="none"/>
                    </w:rPr>
                  </w:pPr>
                  <w:r>
                    <w:rPr>
                      <w:bCs/>
                      <w:color w:val="auto"/>
                      <w:szCs w:val="21"/>
                      <w:highlight w:val="none"/>
                    </w:rPr>
                    <w:t>/</w:t>
                  </w:r>
                </w:p>
              </w:tc>
            </w:tr>
            <w:tr w14:paraId="3B7FD1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5C5CE759">
                  <w:pPr>
                    <w:widowControl/>
                    <w:jc w:val="center"/>
                    <w:textAlignment w:val="center"/>
                    <w:rPr>
                      <w:bCs/>
                      <w:color w:val="auto"/>
                      <w:kern w:val="0"/>
                      <w:szCs w:val="21"/>
                      <w:highlight w:val="none"/>
                      <w:lang w:bidi="ar"/>
                    </w:rPr>
                  </w:pPr>
                  <w:r>
                    <w:rPr>
                      <w:bCs/>
                      <w:color w:val="auto"/>
                      <w:kern w:val="0"/>
                      <w:szCs w:val="21"/>
                      <w:highlight w:val="none"/>
                      <w:lang w:bidi="ar"/>
                    </w:rPr>
                    <w:t>（十一）</w:t>
                  </w:r>
                </w:p>
              </w:tc>
              <w:tc>
                <w:tcPr>
                  <w:tcW w:w="824" w:type="pct"/>
                  <w:gridSpan w:val="2"/>
                  <w:tcMar>
                    <w:top w:w="8" w:type="dxa"/>
                    <w:left w:w="8" w:type="dxa"/>
                    <w:right w:w="8" w:type="dxa"/>
                  </w:tcMar>
                  <w:vAlign w:val="center"/>
                </w:tcPr>
                <w:p w14:paraId="73243252">
                  <w:pPr>
                    <w:widowControl/>
                    <w:jc w:val="center"/>
                    <w:textAlignment w:val="center"/>
                    <w:rPr>
                      <w:bCs/>
                      <w:color w:val="auto"/>
                      <w:kern w:val="0"/>
                      <w:szCs w:val="21"/>
                      <w:highlight w:val="none"/>
                      <w:lang w:bidi="ar"/>
                    </w:rPr>
                  </w:pPr>
                  <w:r>
                    <w:rPr>
                      <w:bCs/>
                      <w:color w:val="auto"/>
                      <w:kern w:val="0"/>
                      <w:szCs w:val="21"/>
                      <w:highlight w:val="none"/>
                      <w:lang w:bidi="ar"/>
                    </w:rPr>
                    <w:t>天津路排涝沟治理工程</w:t>
                  </w:r>
                </w:p>
              </w:tc>
              <w:tc>
                <w:tcPr>
                  <w:tcW w:w="3251" w:type="pct"/>
                  <w:noWrap/>
                  <w:tcMar>
                    <w:top w:w="8" w:type="dxa"/>
                    <w:left w:w="8" w:type="dxa"/>
                    <w:right w:w="8" w:type="dxa"/>
                  </w:tcMar>
                  <w:vAlign w:val="center"/>
                </w:tcPr>
                <w:p w14:paraId="4EAB70B2">
                  <w:pPr>
                    <w:widowControl/>
                    <w:jc w:val="center"/>
                    <w:textAlignment w:val="center"/>
                    <w:rPr>
                      <w:bCs/>
                      <w:color w:val="auto"/>
                      <w:szCs w:val="21"/>
                      <w:highlight w:val="none"/>
                    </w:rPr>
                  </w:pPr>
                  <w:r>
                    <w:rPr>
                      <w:color w:val="auto"/>
                      <w:szCs w:val="21"/>
                      <w:highlight w:val="none"/>
                    </w:rPr>
                    <w:t>现状起点为S102，终点为袁家河，总长约4.8km。</w:t>
                  </w:r>
                </w:p>
              </w:tc>
              <w:tc>
                <w:tcPr>
                  <w:tcW w:w="350" w:type="pct"/>
                  <w:noWrap/>
                  <w:tcMar>
                    <w:top w:w="8" w:type="dxa"/>
                    <w:left w:w="8" w:type="dxa"/>
                    <w:right w:w="8" w:type="dxa"/>
                  </w:tcMar>
                  <w:vAlign w:val="center"/>
                </w:tcPr>
                <w:p w14:paraId="220F2EB6">
                  <w:pPr>
                    <w:widowControl/>
                    <w:jc w:val="center"/>
                    <w:textAlignment w:val="center"/>
                    <w:rPr>
                      <w:bCs/>
                      <w:color w:val="auto"/>
                      <w:szCs w:val="21"/>
                      <w:highlight w:val="none"/>
                    </w:rPr>
                  </w:pPr>
                  <w:r>
                    <w:rPr>
                      <w:bCs/>
                      <w:color w:val="auto"/>
                      <w:szCs w:val="21"/>
                      <w:highlight w:val="none"/>
                    </w:rPr>
                    <w:t>/</w:t>
                  </w:r>
                </w:p>
              </w:tc>
            </w:tr>
            <w:tr w14:paraId="782F1A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31A79088">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tcMar>
                    <w:top w:w="8" w:type="dxa"/>
                    <w:left w:w="8" w:type="dxa"/>
                    <w:right w:w="8" w:type="dxa"/>
                  </w:tcMar>
                  <w:vAlign w:val="center"/>
                </w:tcPr>
                <w:p w14:paraId="04607F09">
                  <w:pPr>
                    <w:widowControl/>
                    <w:jc w:val="center"/>
                    <w:textAlignment w:val="center"/>
                    <w:rPr>
                      <w:bCs/>
                      <w:color w:val="auto"/>
                      <w:kern w:val="0"/>
                      <w:szCs w:val="21"/>
                      <w:highlight w:val="none"/>
                      <w:lang w:bidi="ar"/>
                    </w:rPr>
                  </w:pPr>
                  <w:r>
                    <w:rPr>
                      <w:color w:val="auto"/>
                      <w:szCs w:val="21"/>
                      <w:highlight w:val="none"/>
                    </w:rPr>
                    <w:t>淄河大道段</w:t>
                  </w:r>
                </w:p>
              </w:tc>
              <w:tc>
                <w:tcPr>
                  <w:tcW w:w="3251" w:type="pct"/>
                  <w:noWrap/>
                  <w:tcMar>
                    <w:top w:w="8" w:type="dxa"/>
                    <w:left w:w="8" w:type="dxa"/>
                    <w:right w:w="8" w:type="dxa"/>
                  </w:tcMar>
                  <w:vAlign w:val="center"/>
                </w:tcPr>
                <w:p w14:paraId="04F636A5">
                  <w:pPr>
                    <w:widowControl/>
                    <w:jc w:val="center"/>
                    <w:textAlignment w:val="center"/>
                    <w:rPr>
                      <w:bCs/>
                      <w:color w:val="auto"/>
                      <w:szCs w:val="21"/>
                      <w:highlight w:val="none"/>
                    </w:rPr>
                  </w:pPr>
                  <w:r>
                    <w:rPr>
                      <w:color w:val="auto"/>
                      <w:szCs w:val="21"/>
                      <w:highlight w:val="none"/>
                    </w:rPr>
                    <w:t>沿淄河大道南侧辅道下新建雨水方沟，方沟断面为3000×2000，长约800米。方沟排水量11.8m</w:t>
                  </w:r>
                  <w:r>
                    <w:rPr>
                      <w:color w:val="auto"/>
                      <w:szCs w:val="21"/>
                      <w:highlight w:val="none"/>
                      <w:vertAlign w:val="superscript"/>
                    </w:rPr>
                    <w:t>3</w:t>
                  </w:r>
                  <w:r>
                    <w:rPr>
                      <w:color w:val="auto"/>
                      <w:szCs w:val="21"/>
                      <w:highlight w:val="none"/>
                    </w:rPr>
                    <w:t>/s，与现状d1500、d1800雨水管道共同排放天津路排涝沟雨水。雨水管渠施工后，需对道路进行恢复，恢复面积约5000m</w:t>
                  </w:r>
                  <w:r>
                    <w:rPr>
                      <w:color w:val="auto"/>
                      <w:szCs w:val="21"/>
                      <w:highlight w:val="none"/>
                      <w:vertAlign w:val="superscript"/>
                    </w:rPr>
                    <w:t>2</w:t>
                  </w:r>
                  <w:r>
                    <w:rPr>
                      <w:color w:val="auto"/>
                      <w:szCs w:val="21"/>
                      <w:highlight w:val="none"/>
                    </w:rPr>
                    <w:t>。</w:t>
                  </w:r>
                </w:p>
              </w:tc>
              <w:tc>
                <w:tcPr>
                  <w:tcW w:w="350" w:type="pct"/>
                  <w:noWrap/>
                  <w:tcMar>
                    <w:top w:w="8" w:type="dxa"/>
                    <w:left w:w="8" w:type="dxa"/>
                    <w:right w:w="8" w:type="dxa"/>
                  </w:tcMar>
                  <w:vAlign w:val="center"/>
                </w:tcPr>
                <w:p w14:paraId="749AF828">
                  <w:pPr>
                    <w:widowControl/>
                    <w:jc w:val="center"/>
                    <w:textAlignment w:val="center"/>
                    <w:rPr>
                      <w:bCs/>
                      <w:color w:val="auto"/>
                      <w:szCs w:val="21"/>
                      <w:highlight w:val="none"/>
                    </w:rPr>
                  </w:pPr>
                  <w:r>
                    <w:rPr>
                      <w:bCs/>
                      <w:color w:val="auto"/>
                      <w:szCs w:val="21"/>
                      <w:highlight w:val="none"/>
                    </w:rPr>
                    <w:t>/</w:t>
                  </w:r>
                </w:p>
              </w:tc>
            </w:tr>
            <w:tr w14:paraId="53EF96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4223350F">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tcMar>
                    <w:top w:w="8" w:type="dxa"/>
                    <w:left w:w="8" w:type="dxa"/>
                    <w:right w:w="8" w:type="dxa"/>
                  </w:tcMar>
                  <w:vAlign w:val="center"/>
                </w:tcPr>
                <w:p w14:paraId="5BB76886">
                  <w:pPr>
                    <w:widowControl/>
                    <w:jc w:val="center"/>
                    <w:textAlignment w:val="center"/>
                    <w:rPr>
                      <w:color w:val="auto"/>
                      <w:szCs w:val="21"/>
                      <w:highlight w:val="none"/>
                    </w:rPr>
                  </w:pPr>
                  <w:r>
                    <w:rPr>
                      <w:color w:val="auto"/>
                      <w:szCs w:val="21"/>
                      <w:highlight w:val="none"/>
                    </w:rPr>
                    <w:t>天津路段</w:t>
                  </w:r>
                </w:p>
              </w:tc>
              <w:tc>
                <w:tcPr>
                  <w:tcW w:w="3251" w:type="pct"/>
                  <w:noWrap/>
                  <w:tcMar>
                    <w:top w:w="8" w:type="dxa"/>
                    <w:left w:w="8" w:type="dxa"/>
                    <w:right w:w="8" w:type="dxa"/>
                  </w:tcMar>
                  <w:vAlign w:val="center"/>
                </w:tcPr>
                <w:p w14:paraId="2631C1FC">
                  <w:pPr>
                    <w:widowControl/>
                    <w:jc w:val="center"/>
                    <w:textAlignment w:val="center"/>
                    <w:rPr>
                      <w:color w:val="auto"/>
                      <w:szCs w:val="21"/>
                      <w:highlight w:val="none"/>
                    </w:rPr>
                  </w:pPr>
                  <w:r>
                    <w:rPr>
                      <w:color w:val="auto"/>
                      <w:szCs w:val="21"/>
                      <w:highlight w:val="none"/>
                    </w:rPr>
                    <w:t>（1）梁牛路以南段河道清淤，清淤后河道上口宽为8～10米，下口宽约2～3米，深约1.5～2米。河岸为土质护坡，放坡系数为1：2。该段河道长约1160米</w:t>
                  </w:r>
                </w:p>
                <w:p w14:paraId="5DEBAA33">
                  <w:pPr>
                    <w:widowControl/>
                    <w:jc w:val="center"/>
                    <w:textAlignment w:val="center"/>
                    <w:rPr>
                      <w:color w:val="auto"/>
                      <w:szCs w:val="21"/>
                      <w:highlight w:val="none"/>
                    </w:rPr>
                  </w:pPr>
                  <w:r>
                    <w:rPr>
                      <w:color w:val="auto"/>
                      <w:szCs w:val="21"/>
                      <w:highlight w:val="none"/>
                    </w:rPr>
                    <w:t>（2）</w:t>
                  </w:r>
                  <w:r>
                    <w:rPr>
                      <w:rFonts w:hint="eastAsia"/>
                      <w:color w:val="auto"/>
                      <w:szCs w:val="21"/>
                      <w:highlight w:val="none"/>
                      <w:lang w:eastAsia="zh-CN"/>
                    </w:rPr>
                    <w:t>梁</w:t>
                  </w:r>
                  <w:r>
                    <w:rPr>
                      <w:color w:val="auto"/>
                      <w:szCs w:val="21"/>
                      <w:highlight w:val="none"/>
                    </w:rPr>
                    <w:t>牛路至淄河大道段，现状河道保留利用，仅对河道进行清淤维护。该段河道总长约2410米。</w:t>
                  </w:r>
                </w:p>
                <w:p w14:paraId="0FF8A339">
                  <w:pPr>
                    <w:widowControl/>
                    <w:jc w:val="center"/>
                    <w:textAlignment w:val="center"/>
                    <w:rPr>
                      <w:color w:val="auto"/>
                      <w:szCs w:val="21"/>
                      <w:highlight w:val="none"/>
                    </w:rPr>
                  </w:pPr>
                  <w:r>
                    <w:rPr>
                      <w:color w:val="auto"/>
                      <w:szCs w:val="21"/>
                      <w:highlight w:val="none"/>
                    </w:rPr>
                    <w:t>（3）将天津路排涝沟过路管道改建为矩形涵洞，扩建后涵洞断面为5000×3000。共扩建11处，涵洞总长约322米。</w:t>
                  </w:r>
                </w:p>
              </w:tc>
              <w:tc>
                <w:tcPr>
                  <w:tcW w:w="350" w:type="pct"/>
                  <w:noWrap/>
                  <w:tcMar>
                    <w:top w:w="8" w:type="dxa"/>
                    <w:left w:w="8" w:type="dxa"/>
                    <w:right w:w="8" w:type="dxa"/>
                  </w:tcMar>
                  <w:vAlign w:val="center"/>
                </w:tcPr>
                <w:p w14:paraId="509A8BBC">
                  <w:pPr>
                    <w:widowControl/>
                    <w:jc w:val="center"/>
                    <w:textAlignment w:val="center"/>
                    <w:rPr>
                      <w:bCs/>
                      <w:color w:val="auto"/>
                      <w:szCs w:val="21"/>
                      <w:highlight w:val="none"/>
                    </w:rPr>
                  </w:pPr>
                  <w:r>
                    <w:rPr>
                      <w:bCs/>
                      <w:color w:val="auto"/>
                      <w:szCs w:val="21"/>
                      <w:highlight w:val="none"/>
                    </w:rPr>
                    <w:t>/</w:t>
                  </w:r>
                </w:p>
              </w:tc>
            </w:tr>
            <w:tr w14:paraId="16EF9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2979C2DE">
                  <w:pPr>
                    <w:widowControl/>
                    <w:jc w:val="center"/>
                    <w:textAlignment w:val="center"/>
                    <w:rPr>
                      <w:color w:val="auto"/>
                      <w:szCs w:val="21"/>
                      <w:highlight w:val="none"/>
                    </w:rPr>
                  </w:pPr>
                  <w:r>
                    <w:rPr>
                      <w:color w:val="auto"/>
                      <w:szCs w:val="21"/>
                      <w:highlight w:val="none"/>
                    </w:rPr>
                    <w:t>（十二）</w:t>
                  </w:r>
                </w:p>
              </w:tc>
              <w:tc>
                <w:tcPr>
                  <w:tcW w:w="824" w:type="pct"/>
                  <w:gridSpan w:val="2"/>
                  <w:tcMar>
                    <w:top w:w="8" w:type="dxa"/>
                    <w:left w:w="8" w:type="dxa"/>
                    <w:right w:w="8" w:type="dxa"/>
                  </w:tcMar>
                  <w:vAlign w:val="center"/>
                </w:tcPr>
                <w:p w14:paraId="3F358A8D">
                  <w:pPr>
                    <w:widowControl/>
                    <w:jc w:val="center"/>
                    <w:textAlignment w:val="center"/>
                    <w:rPr>
                      <w:color w:val="auto"/>
                      <w:szCs w:val="21"/>
                      <w:highlight w:val="none"/>
                    </w:rPr>
                  </w:pPr>
                  <w:r>
                    <w:rPr>
                      <w:color w:val="auto"/>
                      <w:szCs w:val="21"/>
                      <w:highlight w:val="none"/>
                    </w:rPr>
                    <w:t>小旦村排涝沟</w:t>
                  </w:r>
                </w:p>
              </w:tc>
              <w:tc>
                <w:tcPr>
                  <w:tcW w:w="3251" w:type="pct"/>
                  <w:noWrap/>
                  <w:tcMar>
                    <w:top w:w="8" w:type="dxa"/>
                    <w:left w:w="8" w:type="dxa"/>
                    <w:right w:w="8" w:type="dxa"/>
                  </w:tcMar>
                  <w:vAlign w:val="center"/>
                </w:tcPr>
                <w:p w14:paraId="04111D24">
                  <w:pPr>
                    <w:widowControl/>
                    <w:jc w:val="center"/>
                    <w:textAlignment w:val="center"/>
                    <w:rPr>
                      <w:color w:val="auto"/>
                      <w:szCs w:val="21"/>
                      <w:highlight w:val="none"/>
                    </w:rPr>
                  </w:pPr>
                  <w:r>
                    <w:rPr>
                      <w:color w:val="auto"/>
                      <w:szCs w:val="21"/>
                      <w:highlight w:val="none"/>
                    </w:rPr>
                    <w:t>建设小旦村西南侧排涝沟渠，解决农田涝水出路问题。沿南北向道路新建雨水沟，向北排至漫泗河。新建雨水沟断面为1200×1000，总长约1000米。受道路两侧建筑影响，排水沟敷设于车行道下，车行道拆除及恢复面积约5000m</w:t>
                  </w:r>
                  <w:r>
                    <w:rPr>
                      <w:color w:val="auto"/>
                      <w:szCs w:val="21"/>
                      <w:highlight w:val="none"/>
                      <w:vertAlign w:val="superscript"/>
                    </w:rPr>
                    <w:t>2</w:t>
                  </w:r>
                  <w:r>
                    <w:rPr>
                      <w:color w:val="auto"/>
                      <w:szCs w:val="21"/>
                      <w:highlight w:val="none"/>
                    </w:rPr>
                    <w:t>。</w:t>
                  </w:r>
                </w:p>
              </w:tc>
              <w:tc>
                <w:tcPr>
                  <w:tcW w:w="350" w:type="pct"/>
                  <w:noWrap/>
                  <w:tcMar>
                    <w:top w:w="8" w:type="dxa"/>
                    <w:left w:w="8" w:type="dxa"/>
                    <w:right w:w="8" w:type="dxa"/>
                  </w:tcMar>
                  <w:vAlign w:val="center"/>
                </w:tcPr>
                <w:p w14:paraId="1F97A05B">
                  <w:pPr>
                    <w:widowControl/>
                    <w:jc w:val="center"/>
                    <w:textAlignment w:val="center"/>
                    <w:rPr>
                      <w:bCs/>
                      <w:color w:val="auto"/>
                      <w:szCs w:val="21"/>
                      <w:highlight w:val="none"/>
                    </w:rPr>
                  </w:pPr>
                  <w:r>
                    <w:rPr>
                      <w:bCs/>
                      <w:color w:val="auto"/>
                      <w:szCs w:val="21"/>
                      <w:highlight w:val="none"/>
                    </w:rPr>
                    <w:t>新建</w:t>
                  </w:r>
                </w:p>
              </w:tc>
            </w:tr>
            <w:tr w14:paraId="5C183A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tcMar>
                    <w:top w:w="8" w:type="dxa"/>
                    <w:left w:w="8" w:type="dxa"/>
                    <w:right w:w="8" w:type="dxa"/>
                  </w:tcMar>
                  <w:vAlign w:val="center"/>
                </w:tcPr>
                <w:p w14:paraId="00B39D1F">
                  <w:pPr>
                    <w:widowControl/>
                    <w:jc w:val="center"/>
                    <w:textAlignment w:val="center"/>
                    <w:rPr>
                      <w:color w:val="auto"/>
                      <w:szCs w:val="21"/>
                      <w:highlight w:val="none"/>
                    </w:rPr>
                  </w:pPr>
                  <w:r>
                    <w:rPr>
                      <w:color w:val="auto"/>
                      <w:szCs w:val="21"/>
                      <w:highlight w:val="none"/>
                    </w:rPr>
                    <w:t>（十三）</w:t>
                  </w:r>
                </w:p>
              </w:tc>
              <w:tc>
                <w:tcPr>
                  <w:tcW w:w="824" w:type="pct"/>
                  <w:gridSpan w:val="2"/>
                  <w:tcMar>
                    <w:top w:w="8" w:type="dxa"/>
                    <w:left w:w="8" w:type="dxa"/>
                    <w:right w:w="8" w:type="dxa"/>
                  </w:tcMar>
                  <w:vAlign w:val="center"/>
                </w:tcPr>
                <w:p w14:paraId="059F5022">
                  <w:pPr>
                    <w:widowControl/>
                    <w:jc w:val="center"/>
                    <w:textAlignment w:val="center"/>
                    <w:rPr>
                      <w:color w:val="auto"/>
                      <w:szCs w:val="21"/>
                      <w:highlight w:val="none"/>
                    </w:rPr>
                  </w:pPr>
                  <w:r>
                    <w:rPr>
                      <w:color w:val="auto"/>
                      <w:szCs w:val="21"/>
                      <w:highlight w:val="none"/>
                    </w:rPr>
                    <w:t>大高村排涝沟</w:t>
                  </w:r>
                </w:p>
              </w:tc>
              <w:tc>
                <w:tcPr>
                  <w:tcW w:w="3251" w:type="pct"/>
                  <w:noWrap/>
                  <w:tcMar>
                    <w:top w:w="8" w:type="dxa"/>
                    <w:left w:w="8" w:type="dxa"/>
                    <w:right w:w="8" w:type="dxa"/>
                  </w:tcMar>
                  <w:vAlign w:val="center"/>
                </w:tcPr>
                <w:p w14:paraId="4BD1DFB9">
                  <w:pPr>
                    <w:widowControl/>
                    <w:jc w:val="center"/>
                    <w:textAlignment w:val="center"/>
                    <w:rPr>
                      <w:rFonts w:hint="eastAsia" w:eastAsia="宋体"/>
                      <w:color w:val="auto"/>
                      <w:szCs w:val="21"/>
                      <w:highlight w:val="none"/>
                      <w:lang w:eastAsia="zh-CN"/>
                    </w:rPr>
                  </w:pPr>
                  <w:r>
                    <w:rPr>
                      <w:color w:val="auto"/>
                      <w:szCs w:val="21"/>
                      <w:highlight w:val="none"/>
                    </w:rPr>
                    <w:t>沿大高村西侧南北向路，建设雨水沟渠，自南向北排至炒米村排涝沟。新建沟渠断面为1200×1000，总长约600米</w:t>
                  </w:r>
                  <w:r>
                    <w:rPr>
                      <w:rFonts w:hint="eastAsia"/>
                      <w:color w:val="auto"/>
                      <w:szCs w:val="21"/>
                      <w:highlight w:val="none"/>
                      <w:lang w:eastAsia="zh-CN"/>
                    </w:rPr>
                    <w:t>。</w:t>
                  </w:r>
                </w:p>
              </w:tc>
              <w:tc>
                <w:tcPr>
                  <w:tcW w:w="350" w:type="pct"/>
                  <w:noWrap/>
                  <w:tcMar>
                    <w:top w:w="8" w:type="dxa"/>
                    <w:left w:w="8" w:type="dxa"/>
                    <w:right w:w="8" w:type="dxa"/>
                  </w:tcMar>
                  <w:vAlign w:val="center"/>
                </w:tcPr>
                <w:p w14:paraId="4D80AA75">
                  <w:pPr>
                    <w:widowControl/>
                    <w:jc w:val="center"/>
                    <w:textAlignment w:val="center"/>
                    <w:rPr>
                      <w:bCs/>
                      <w:color w:val="auto"/>
                      <w:szCs w:val="21"/>
                      <w:highlight w:val="none"/>
                    </w:rPr>
                  </w:pPr>
                  <w:r>
                    <w:rPr>
                      <w:bCs/>
                      <w:color w:val="auto"/>
                      <w:szCs w:val="21"/>
                      <w:highlight w:val="none"/>
                    </w:rPr>
                    <w:t>新建</w:t>
                  </w:r>
                </w:p>
              </w:tc>
            </w:tr>
            <w:tr w14:paraId="7100AE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noWrap/>
                  <w:tcMar>
                    <w:top w:w="8" w:type="dxa"/>
                    <w:left w:w="8" w:type="dxa"/>
                    <w:right w:w="8" w:type="dxa"/>
                  </w:tcMar>
                  <w:vAlign w:val="center"/>
                </w:tcPr>
                <w:p w14:paraId="28956ED8">
                  <w:pPr>
                    <w:widowControl/>
                    <w:jc w:val="center"/>
                    <w:textAlignment w:val="center"/>
                    <w:rPr>
                      <w:b/>
                      <w:color w:val="auto"/>
                      <w:kern w:val="0"/>
                      <w:szCs w:val="21"/>
                      <w:highlight w:val="none"/>
                      <w:lang w:bidi="ar"/>
                    </w:rPr>
                  </w:pPr>
                  <w:r>
                    <w:rPr>
                      <w:b/>
                      <w:color w:val="auto"/>
                      <w:kern w:val="0"/>
                      <w:szCs w:val="21"/>
                      <w:highlight w:val="none"/>
                      <w:lang w:bidi="ar"/>
                    </w:rPr>
                    <w:t>二</w:t>
                  </w:r>
                </w:p>
              </w:tc>
              <w:tc>
                <w:tcPr>
                  <w:tcW w:w="4426" w:type="pct"/>
                  <w:gridSpan w:val="4"/>
                  <w:tcMar>
                    <w:top w:w="8" w:type="dxa"/>
                    <w:left w:w="8" w:type="dxa"/>
                    <w:right w:w="8" w:type="dxa"/>
                  </w:tcMar>
                  <w:vAlign w:val="center"/>
                </w:tcPr>
                <w:p w14:paraId="07CA252C">
                  <w:pPr>
                    <w:jc w:val="center"/>
                    <w:rPr>
                      <w:b/>
                      <w:color w:val="auto"/>
                      <w:szCs w:val="21"/>
                      <w:highlight w:val="none"/>
                    </w:rPr>
                  </w:pPr>
                  <w:r>
                    <w:rPr>
                      <w:b/>
                      <w:color w:val="auto"/>
                      <w:kern w:val="0"/>
                      <w:szCs w:val="21"/>
                      <w:highlight w:val="none"/>
                      <w:lang w:bidi="ar"/>
                    </w:rPr>
                    <w:t>公用工程</w:t>
                  </w:r>
                </w:p>
              </w:tc>
            </w:tr>
            <w:tr w14:paraId="12A57B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noWrap/>
                  <w:tcMar>
                    <w:top w:w="8" w:type="dxa"/>
                    <w:left w:w="8" w:type="dxa"/>
                    <w:right w:w="8" w:type="dxa"/>
                  </w:tcMar>
                  <w:vAlign w:val="center"/>
                </w:tcPr>
                <w:p w14:paraId="4225C53E">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noWrap/>
                  <w:tcMar>
                    <w:top w:w="8" w:type="dxa"/>
                    <w:left w:w="8" w:type="dxa"/>
                    <w:right w:w="8" w:type="dxa"/>
                  </w:tcMar>
                  <w:vAlign w:val="center"/>
                </w:tcPr>
                <w:p w14:paraId="3E0CA27B">
                  <w:pPr>
                    <w:widowControl/>
                    <w:jc w:val="center"/>
                    <w:textAlignment w:val="center"/>
                    <w:rPr>
                      <w:bCs/>
                      <w:color w:val="auto"/>
                      <w:kern w:val="0"/>
                      <w:szCs w:val="21"/>
                      <w:highlight w:val="none"/>
                      <w:lang w:bidi="ar"/>
                    </w:rPr>
                  </w:pPr>
                  <w:r>
                    <w:rPr>
                      <w:bCs/>
                      <w:color w:val="auto"/>
                      <w:kern w:val="0"/>
                      <w:szCs w:val="21"/>
                      <w:highlight w:val="none"/>
                      <w:lang w:bidi="ar"/>
                    </w:rPr>
                    <w:t>施工供水</w:t>
                  </w:r>
                </w:p>
              </w:tc>
              <w:tc>
                <w:tcPr>
                  <w:tcW w:w="3251" w:type="pct"/>
                  <w:noWrap/>
                  <w:tcMar>
                    <w:top w:w="8" w:type="dxa"/>
                    <w:left w:w="8" w:type="dxa"/>
                    <w:right w:w="8" w:type="dxa"/>
                  </w:tcMar>
                  <w:vAlign w:val="center"/>
                </w:tcPr>
                <w:p w14:paraId="05C2230D">
                  <w:pPr>
                    <w:widowControl/>
                    <w:jc w:val="center"/>
                    <w:textAlignment w:val="center"/>
                    <w:rPr>
                      <w:bCs/>
                      <w:color w:val="auto"/>
                      <w:kern w:val="0"/>
                      <w:szCs w:val="21"/>
                      <w:highlight w:val="none"/>
                      <w:lang w:bidi="ar"/>
                    </w:rPr>
                  </w:pPr>
                  <w:r>
                    <w:rPr>
                      <w:bCs/>
                      <w:color w:val="auto"/>
                      <w:kern w:val="0"/>
                      <w:szCs w:val="21"/>
                      <w:highlight w:val="none"/>
                      <w:lang w:bidi="ar"/>
                    </w:rPr>
                    <w:t>本工程施工供水及生活用水以附近村庄、工厂接运自来水水方式解决；项目运营期不配备工作人员，无需供水。</w:t>
                  </w:r>
                </w:p>
              </w:tc>
              <w:tc>
                <w:tcPr>
                  <w:tcW w:w="350" w:type="pct"/>
                  <w:noWrap/>
                  <w:tcMar>
                    <w:top w:w="8" w:type="dxa"/>
                    <w:left w:w="8" w:type="dxa"/>
                    <w:right w:w="8" w:type="dxa"/>
                  </w:tcMar>
                  <w:vAlign w:val="center"/>
                </w:tcPr>
                <w:p w14:paraId="03C75F73">
                  <w:pPr>
                    <w:widowControl/>
                    <w:jc w:val="center"/>
                    <w:textAlignment w:val="center"/>
                    <w:rPr>
                      <w:bCs/>
                      <w:color w:val="auto"/>
                      <w:szCs w:val="21"/>
                      <w:highlight w:val="none"/>
                    </w:rPr>
                  </w:pPr>
                </w:p>
              </w:tc>
            </w:tr>
            <w:tr w14:paraId="5E7EEA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noWrap/>
                  <w:tcMar>
                    <w:top w:w="8" w:type="dxa"/>
                    <w:left w:w="8" w:type="dxa"/>
                    <w:right w:w="8" w:type="dxa"/>
                  </w:tcMar>
                  <w:vAlign w:val="center"/>
                </w:tcPr>
                <w:p w14:paraId="7178C9A2">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noWrap/>
                  <w:tcMar>
                    <w:top w:w="8" w:type="dxa"/>
                    <w:left w:w="8" w:type="dxa"/>
                    <w:right w:w="8" w:type="dxa"/>
                  </w:tcMar>
                  <w:vAlign w:val="center"/>
                </w:tcPr>
                <w:p w14:paraId="41DC4BAE">
                  <w:pPr>
                    <w:widowControl/>
                    <w:jc w:val="center"/>
                    <w:textAlignment w:val="center"/>
                    <w:rPr>
                      <w:bCs/>
                      <w:color w:val="auto"/>
                      <w:kern w:val="0"/>
                      <w:szCs w:val="21"/>
                      <w:highlight w:val="none"/>
                      <w:lang w:bidi="ar"/>
                    </w:rPr>
                  </w:pPr>
                  <w:r>
                    <w:rPr>
                      <w:bCs/>
                      <w:color w:val="auto"/>
                      <w:kern w:val="0"/>
                      <w:szCs w:val="21"/>
                      <w:highlight w:val="none"/>
                      <w:lang w:bidi="ar"/>
                    </w:rPr>
                    <w:t>施工供电</w:t>
                  </w:r>
                </w:p>
              </w:tc>
              <w:tc>
                <w:tcPr>
                  <w:tcW w:w="3251" w:type="pct"/>
                  <w:noWrap/>
                  <w:tcMar>
                    <w:top w:w="8" w:type="dxa"/>
                    <w:left w:w="8" w:type="dxa"/>
                    <w:right w:w="8" w:type="dxa"/>
                  </w:tcMar>
                  <w:vAlign w:val="center"/>
                </w:tcPr>
                <w:p w14:paraId="3B50278E">
                  <w:pPr>
                    <w:widowControl/>
                    <w:jc w:val="center"/>
                    <w:textAlignment w:val="center"/>
                    <w:rPr>
                      <w:bCs/>
                      <w:color w:val="auto"/>
                      <w:kern w:val="0"/>
                      <w:szCs w:val="21"/>
                      <w:highlight w:val="none"/>
                      <w:lang w:bidi="ar"/>
                    </w:rPr>
                  </w:pPr>
                  <w:r>
                    <w:rPr>
                      <w:bCs/>
                      <w:color w:val="auto"/>
                      <w:kern w:val="0"/>
                      <w:szCs w:val="21"/>
                      <w:highlight w:val="none"/>
                      <w:lang w:bidi="ar"/>
                    </w:rPr>
                    <w:t>来源于市政电网供电，施工期临时用电由施工区域的市政电网供给。</w:t>
                  </w:r>
                </w:p>
              </w:tc>
              <w:tc>
                <w:tcPr>
                  <w:tcW w:w="350" w:type="pct"/>
                  <w:noWrap/>
                  <w:tcMar>
                    <w:top w:w="8" w:type="dxa"/>
                    <w:left w:w="8" w:type="dxa"/>
                    <w:right w:w="8" w:type="dxa"/>
                  </w:tcMar>
                  <w:vAlign w:val="center"/>
                </w:tcPr>
                <w:p w14:paraId="0D0A4828">
                  <w:pPr>
                    <w:jc w:val="center"/>
                    <w:rPr>
                      <w:bCs/>
                      <w:color w:val="auto"/>
                      <w:szCs w:val="21"/>
                      <w:highlight w:val="none"/>
                    </w:rPr>
                  </w:pPr>
                </w:p>
              </w:tc>
            </w:tr>
            <w:tr w14:paraId="6CCC9A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noWrap/>
                  <w:tcMar>
                    <w:top w:w="8" w:type="dxa"/>
                    <w:left w:w="8" w:type="dxa"/>
                    <w:right w:w="8" w:type="dxa"/>
                  </w:tcMar>
                  <w:vAlign w:val="center"/>
                </w:tcPr>
                <w:p w14:paraId="45FC73B0">
                  <w:pPr>
                    <w:widowControl/>
                    <w:jc w:val="center"/>
                    <w:textAlignment w:val="center"/>
                    <w:rPr>
                      <w:b/>
                      <w:color w:val="auto"/>
                      <w:kern w:val="0"/>
                      <w:szCs w:val="21"/>
                      <w:highlight w:val="none"/>
                      <w:lang w:bidi="ar"/>
                    </w:rPr>
                  </w:pPr>
                  <w:r>
                    <w:rPr>
                      <w:b/>
                      <w:color w:val="auto"/>
                      <w:kern w:val="0"/>
                      <w:szCs w:val="21"/>
                      <w:highlight w:val="none"/>
                      <w:lang w:bidi="ar"/>
                    </w:rPr>
                    <w:t>三</w:t>
                  </w:r>
                </w:p>
              </w:tc>
              <w:tc>
                <w:tcPr>
                  <w:tcW w:w="4426" w:type="pct"/>
                  <w:gridSpan w:val="4"/>
                  <w:noWrap/>
                  <w:tcMar>
                    <w:top w:w="8" w:type="dxa"/>
                    <w:left w:w="8" w:type="dxa"/>
                    <w:right w:w="8" w:type="dxa"/>
                  </w:tcMar>
                  <w:vAlign w:val="center"/>
                </w:tcPr>
                <w:p w14:paraId="00EF062D">
                  <w:pPr>
                    <w:jc w:val="center"/>
                    <w:rPr>
                      <w:bCs/>
                      <w:color w:val="auto"/>
                      <w:szCs w:val="21"/>
                      <w:highlight w:val="none"/>
                    </w:rPr>
                  </w:pPr>
                  <w:r>
                    <w:rPr>
                      <w:b/>
                      <w:color w:val="auto"/>
                      <w:kern w:val="0"/>
                      <w:szCs w:val="21"/>
                      <w:highlight w:val="none"/>
                      <w:lang w:bidi="ar"/>
                    </w:rPr>
                    <w:t>环保工程</w:t>
                  </w:r>
                </w:p>
              </w:tc>
            </w:tr>
            <w:tr w14:paraId="0E614D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90" w:hRule="atLeast"/>
                <w:jc w:val="center"/>
              </w:trPr>
              <w:tc>
                <w:tcPr>
                  <w:tcW w:w="573" w:type="pct"/>
                  <w:noWrap/>
                  <w:tcMar>
                    <w:top w:w="8" w:type="dxa"/>
                    <w:left w:w="8" w:type="dxa"/>
                    <w:right w:w="8" w:type="dxa"/>
                  </w:tcMar>
                  <w:vAlign w:val="center"/>
                </w:tcPr>
                <w:p w14:paraId="0055DC41">
                  <w:pPr>
                    <w:widowControl/>
                    <w:jc w:val="center"/>
                    <w:textAlignment w:val="center"/>
                    <w:rPr>
                      <w:bCs/>
                      <w:color w:val="auto"/>
                      <w:kern w:val="0"/>
                      <w:szCs w:val="21"/>
                      <w:highlight w:val="none"/>
                      <w:lang w:bidi="ar"/>
                    </w:rPr>
                  </w:pPr>
                  <w:r>
                    <w:rPr>
                      <w:bCs/>
                      <w:color w:val="auto"/>
                      <w:kern w:val="0"/>
                      <w:szCs w:val="21"/>
                      <w:highlight w:val="none"/>
                      <w:lang w:bidi="ar"/>
                    </w:rPr>
                    <w:t>1</w:t>
                  </w:r>
                </w:p>
              </w:tc>
              <w:tc>
                <w:tcPr>
                  <w:tcW w:w="824" w:type="pct"/>
                  <w:gridSpan w:val="2"/>
                  <w:noWrap/>
                  <w:tcMar>
                    <w:top w:w="8" w:type="dxa"/>
                    <w:left w:w="8" w:type="dxa"/>
                    <w:right w:w="8" w:type="dxa"/>
                  </w:tcMar>
                  <w:vAlign w:val="center"/>
                </w:tcPr>
                <w:p w14:paraId="78EF51B2">
                  <w:pPr>
                    <w:widowControl/>
                    <w:jc w:val="center"/>
                    <w:textAlignment w:val="center"/>
                    <w:rPr>
                      <w:bCs/>
                      <w:color w:val="auto"/>
                      <w:kern w:val="0"/>
                      <w:szCs w:val="21"/>
                      <w:highlight w:val="none"/>
                      <w:lang w:bidi="ar"/>
                    </w:rPr>
                  </w:pPr>
                  <w:r>
                    <w:rPr>
                      <w:bCs/>
                      <w:color w:val="auto"/>
                      <w:kern w:val="0"/>
                      <w:szCs w:val="21"/>
                      <w:highlight w:val="none"/>
                      <w:lang w:bidi="ar"/>
                    </w:rPr>
                    <w:t>废水处理</w:t>
                  </w:r>
                </w:p>
              </w:tc>
              <w:tc>
                <w:tcPr>
                  <w:tcW w:w="3251" w:type="pct"/>
                  <w:noWrap/>
                  <w:tcMar>
                    <w:top w:w="8" w:type="dxa"/>
                    <w:left w:w="8" w:type="dxa"/>
                    <w:right w:w="8" w:type="dxa"/>
                  </w:tcMar>
                  <w:vAlign w:val="center"/>
                </w:tcPr>
                <w:p w14:paraId="101E20B1">
                  <w:pPr>
                    <w:widowControl/>
                    <w:jc w:val="center"/>
                    <w:textAlignment w:val="center"/>
                    <w:rPr>
                      <w:bCs/>
                      <w:color w:val="auto"/>
                      <w:kern w:val="0"/>
                      <w:szCs w:val="21"/>
                      <w:highlight w:val="none"/>
                      <w:lang w:bidi="ar"/>
                    </w:rPr>
                  </w:pPr>
                  <w:r>
                    <w:rPr>
                      <w:bCs/>
                      <w:color w:val="auto"/>
                      <w:kern w:val="0"/>
                      <w:szCs w:val="21"/>
                      <w:highlight w:val="none"/>
                      <w:lang w:bidi="ar"/>
                    </w:rPr>
                    <w:t>生活污水定期由当地居民清运肥田；混凝土养护废水通过在混凝土浇筑量大的施工区</w:t>
                  </w:r>
                  <w:r>
                    <w:rPr>
                      <w:rFonts w:hint="eastAsia"/>
                      <w:bCs/>
                      <w:color w:val="auto"/>
                      <w:kern w:val="0"/>
                      <w:szCs w:val="21"/>
                      <w:highlight w:val="none"/>
                      <w:lang w:eastAsia="zh-CN" w:bidi="ar"/>
                    </w:rPr>
                    <w:t>，</w:t>
                  </w:r>
                  <w:r>
                    <w:rPr>
                      <w:rFonts w:hint="eastAsia"/>
                      <w:color w:val="auto"/>
                      <w:spacing w:val="1"/>
                      <w:szCs w:val="21"/>
                      <w:highlight w:val="none"/>
                      <w:lang w:eastAsia="zh-CN"/>
                    </w:rPr>
                    <w:t>每个施工区各设</w:t>
                  </w:r>
                  <w:r>
                    <w:rPr>
                      <w:rFonts w:hint="eastAsia"/>
                      <w:color w:val="auto"/>
                      <w:spacing w:val="1"/>
                      <w:szCs w:val="21"/>
                      <w:highlight w:val="none"/>
                      <w:lang w:val="en-US" w:eastAsia="zh-CN"/>
                    </w:rPr>
                    <w:t>2个，共</w:t>
                  </w:r>
                  <w:r>
                    <w:rPr>
                      <w:bCs/>
                      <w:color w:val="auto"/>
                      <w:kern w:val="0"/>
                      <w:szCs w:val="21"/>
                      <w:highlight w:val="none"/>
                      <w:lang w:bidi="ar"/>
                    </w:rPr>
                    <w:t>设置4个沉淀池处理，沉淀处理后进行回用于地面洒水降尘；机械车辆冲洗废水</w:t>
                  </w:r>
                  <w:r>
                    <w:rPr>
                      <w:rFonts w:hint="eastAsia" w:cs="Times New Roman"/>
                      <w:color w:val="auto"/>
                      <w:spacing w:val="7"/>
                      <w:szCs w:val="21"/>
                      <w:highlight w:val="none"/>
                      <w:lang w:eastAsia="zh-CN"/>
                    </w:rPr>
                    <w:t>每个施工区各设</w:t>
                  </w:r>
                  <w:r>
                    <w:rPr>
                      <w:rFonts w:hint="eastAsia" w:cs="Times New Roman"/>
                      <w:color w:val="auto"/>
                      <w:spacing w:val="7"/>
                      <w:szCs w:val="21"/>
                      <w:highlight w:val="none"/>
                      <w:lang w:val="en-US" w:eastAsia="zh-CN"/>
                    </w:rPr>
                    <w:t>2个隔油</w:t>
                  </w:r>
                  <w:r>
                    <w:rPr>
                      <w:rFonts w:hint="eastAsia" w:ascii="Times New Roman" w:hAnsi="Times New Roman" w:eastAsia="宋体" w:cs="Times New Roman"/>
                      <w:color w:val="auto"/>
                      <w:spacing w:val="7"/>
                      <w:szCs w:val="21"/>
                      <w:highlight w:val="none"/>
                      <w:lang w:val="en-US" w:eastAsia="zh-CN"/>
                    </w:rPr>
                    <w:t>沉淀池，</w:t>
                  </w:r>
                  <w:r>
                    <w:rPr>
                      <w:rFonts w:hint="eastAsia" w:cs="Times New Roman"/>
                      <w:color w:val="auto"/>
                      <w:spacing w:val="7"/>
                      <w:szCs w:val="21"/>
                      <w:highlight w:val="none"/>
                      <w:lang w:val="en-US" w:eastAsia="zh-CN"/>
                    </w:rPr>
                    <w:t>共计</w:t>
                  </w:r>
                  <w:r>
                    <w:rPr>
                      <w:bCs/>
                      <w:color w:val="auto"/>
                      <w:kern w:val="0"/>
                      <w:szCs w:val="21"/>
                      <w:highlight w:val="none"/>
                      <w:lang w:bidi="ar"/>
                    </w:rPr>
                    <w:t>4个隔油池处理，含油废水通过场内设置的集水沟进隔油池处理，处理后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bCs/>
                      <w:color w:val="auto"/>
                      <w:kern w:val="0"/>
                      <w:szCs w:val="21"/>
                      <w:highlight w:val="none"/>
                      <w:lang w:bidi="ar"/>
                    </w:rPr>
                    <w:t>。</w:t>
                  </w:r>
                </w:p>
              </w:tc>
              <w:tc>
                <w:tcPr>
                  <w:tcW w:w="350" w:type="pct"/>
                  <w:noWrap/>
                  <w:tcMar>
                    <w:top w:w="8" w:type="dxa"/>
                    <w:left w:w="8" w:type="dxa"/>
                    <w:right w:w="8" w:type="dxa"/>
                  </w:tcMar>
                  <w:vAlign w:val="center"/>
                </w:tcPr>
                <w:p w14:paraId="6ED8CDEF">
                  <w:pPr>
                    <w:jc w:val="center"/>
                    <w:rPr>
                      <w:bCs/>
                      <w:color w:val="auto"/>
                      <w:szCs w:val="21"/>
                      <w:highlight w:val="none"/>
                    </w:rPr>
                  </w:pPr>
                </w:p>
              </w:tc>
            </w:tr>
            <w:tr w14:paraId="718664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noWrap/>
                  <w:tcMar>
                    <w:top w:w="8" w:type="dxa"/>
                    <w:left w:w="8" w:type="dxa"/>
                    <w:right w:w="8" w:type="dxa"/>
                  </w:tcMar>
                  <w:vAlign w:val="center"/>
                </w:tcPr>
                <w:p w14:paraId="45E31A65">
                  <w:pPr>
                    <w:widowControl/>
                    <w:jc w:val="center"/>
                    <w:textAlignment w:val="center"/>
                    <w:rPr>
                      <w:bCs/>
                      <w:color w:val="auto"/>
                      <w:kern w:val="0"/>
                      <w:szCs w:val="21"/>
                      <w:highlight w:val="none"/>
                      <w:lang w:bidi="ar"/>
                    </w:rPr>
                  </w:pPr>
                  <w:r>
                    <w:rPr>
                      <w:bCs/>
                      <w:color w:val="auto"/>
                      <w:kern w:val="0"/>
                      <w:szCs w:val="21"/>
                      <w:highlight w:val="none"/>
                      <w:lang w:bidi="ar"/>
                    </w:rPr>
                    <w:t>2</w:t>
                  </w:r>
                </w:p>
              </w:tc>
              <w:tc>
                <w:tcPr>
                  <w:tcW w:w="824" w:type="pct"/>
                  <w:gridSpan w:val="2"/>
                  <w:noWrap/>
                  <w:tcMar>
                    <w:top w:w="8" w:type="dxa"/>
                    <w:left w:w="8" w:type="dxa"/>
                    <w:right w:w="8" w:type="dxa"/>
                  </w:tcMar>
                  <w:vAlign w:val="center"/>
                </w:tcPr>
                <w:p w14:paraId="34787473">
                  <w:pPr>
                    <w:widowControl/>
                    <w:jc w:val="center"/>
                    <w:textAlignment w:val="center"/>
                    <w:rPr>
                      <w:bCs/>
                      <w:color w:val="auto"/>
                      <w:kern w:val="0"/>
                      <w:szCs w:val="21"/>
                      <w:highlight w:val="none"/>
                      <w:lang w:bidi="ar"/>
                    </w:rPr>
                  </w:pPr>
                  <w:r>
                    <w:rPr>
                      <w:bCs/>
                      <w:color w:val="auto"/>
                      <w:kern w:val="0"/>
                      <w:szCs w:val="21"/>
                      <w:highlight w:val="none"/>
                      <w:lang w:bidi="ar"/>
                    </w:rPr>
                    <w:t>废气处理</w:t>
                  </w:r>
                </w:p>
              </w:tc>
              <w:tc>
                <w:tcPr>
                  <w:tcW w:w="3251" w:type="pct"/>
                  <w:noWrap/>
                  <w:tcMar>
                    <w:top w:w="8" w:type="dxa"/>
                    <w:left w:w="8" w:type="dxa"/>
                    <w:right w:w="8" w:type="dxa"/>
                  </w:tcMar>
                  <w:vAlign w:val="center"/>
                </w:tcPr>
                <w:p w14:paraId="0C183EDD">
                  <w:pPr>
                    <w:widowControl/>
                    <w:jc w:val="center"/>
                    <w:textAlignment w:val="center"/>
                    <w:rPr>
                      <w:bCs/>
                      <w:color w:val="auto"/>
                      <w:kern w:val="0"/>
                      <w:szCs w:val="21"/>
                      <w:highlight w:val="none"/>
                      <w:lang w:bidi="ar"/>
                    </w:rPr>
                  </w:pPr>
                  <w:r>
                    <w:rPr>
                      <w:bCs/>
                      <w:color w:val="auto"/>
                      <w:szCs w:val="21"/>
                      <w:highlight w:val="none"/>
                    </w:rPr>
                    <w:t>施工扬尘采取洒水、设置围挡等措施；燃油机械及车辆产生的废气无组织排放，大型车辆安装尾气净化器，加强对燃油机械设备的维护保养同时加强道路管理和养护等；</w:t>
                  </w:r>
                  <w:r>
                    <w:rPr>
                      <w:color w:val="auto"/>
                      <w:spacing w:val="-4"/>
                      <w:szCs w:val="21"/>
                      <w:highlight w:val="none"/>
                    </w:rPr>
                    <w:t>加工粉尘废气通过密闭车间，对地面沉降粉尘及时清理等措施；</w:t>
                  </w:r>
                  <w:r>
                    <w:rPr>
                      <w:color w:val="auto"/>
                      <w:szCs w:val="21"/>
                      <w:highlight w:val="none"/>
                    </w:rPr>
                    <w:t>清淤工程采用集中施工方式，尽量缩短清淤施工时间，降低恶臭废气对周围环境影响。</w:t>
                  </w:r>
                </w:p>
              </w:tc>
              <w:tc>
                <w:tcPr>
                  <w:tcW w:w="350" w:type="pct"/>
                  <w:noWrap/>
                  <w:tcMar>
                    <w:top w:w="8" w:type="dxa"/>
                    <w:left w:w="8" w:type="dxa"/>
                    <w:right w:w="8" w:type="dxa"/>
                  </w:tcMar>
                  <w:vAlign w:val="center"/>
                </w:tcPr>
                <w:p w14:paraId="19306B05">
                  <w:pPr>
                    <w:jc w:val="center"/>
                    <w:rPr>
                      <w:bCs/>
                      <w:color w:val="auto"/>
                      <w:szCs w:val="21"/>
                      <w:highlight w:val="none"/>
                    </w:rPr>
                  </w:pPr>
                </w:p>
              </w:tc>
            </w:tr>
            <w:tr w14:paraId="7B9692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1847" w:hRule="atLeast"/>
                <w:jc w:val="center"/>
              </w:trPr>
              <w:tc>
                <w:tcPr>
                  <w:tcW w:w="573" w:type="pct"/>
                  <w:noWrap/>
                  <w:tcMar>
                    <w:top w:w="8" w:type="dxa"/>
                    <w:left w:w="8" w:type="dxa"/>
                    <w:right w:w="8" w:type="dxa"/>
                  </w:tcMar>
                  <w:vAlign w:val="center"/>
                </w:tcPr>
                <w:p w14:paraId="4BC1B9E1">
                  <w:pPr>
                    <w:widowControl/>
                    <w:jc w:val="center"/>
                    <w:textAlignment w:val="center"/>
                    <w:rPr>
                      <w:bCs/>
                      <w:color w:val="auto"/>
                      <w:kern w:val="0"/>
                      <w:szCs w:val="21"/>
                      <w:highlight w:val="none"/>
                      <w:lang w:bidi="ar"/>
                    </w:rPr>
                  </w:pPr>
                  <w:r>
                    <w:rPr>
                      <w:bCs/>
                      <w:color w:val="auto"/>
                      <w:kern w:val="0"/>
                      <w:szCs w:val="21"/>
                      <w:highlight w:val="none"/>
                      <w:lang w:bidi="ar"/>
                    </w:rPr>
                    <w:t>3</w:t>
                  </w:r>
                </w:p>
              </w:tc>
              <w:tc>
                <w:tcPr>
                  <w:tcW w:w="824" w:type="pct"/>
                  <w:gridSpan w:val="2"/>
                  <w:noWrap/>
                  <w:tcMar>
                    <w:top w:w="8" w:type="dxa"/>
                    <w:left w:w="8" w:type="dxa"/>
                    <w:right w:w="8" w:type="dxa"/>
                  </w:tcMar>
                  <w:vAlign w:val="center"/>
                </w:tcPr>
                <w:p w14:paraId="6204CEAB">
                  <w:pPr>
                    <w:widowControl/>
                    <w:jc w:val="center"/>
                    <w:textAlignment w:val="center"/>
                    <w:rPr>
                      <w:bCs/>
                      <w:color w:val="auto"/>
                      <w:kern w:val="0"/>
                      <w:szCs w:val="21"/>
                      <w:highlight w:val="none"/>
                      <w:lang w:bidi="ar"/>
                    </w:rPr>
                  </w:pPr>
                  <w:r>
                    <w:rPr>
                      <w:bCs/>
                      <w:color w:val="auto"/>
                      <w:kern w:val="0"/>
                      <w:szCs w:val="21"/>
                      <w:highlight w:val="none"/>
                      <w:lang w:bidi="ar"/>
                    </w:rPr>
                    <w:t>固废处理</w:t>
                  </w:r>
                </w:p>
              </w:tc>
              <w:tc>
                <w:tcPr>
                  <w:tcW w:w="3251" w:type="pct"/>
                  <w:noWrap/>
                  <w:tcMar>
                    <w:top w:w="8" w:type="dxa"/>
                    <w:left w:w="8" w:type="dxa"/>
                    <w:right w:w="8" w:type="dxa"/>
                  </w:tcMar>
                  <w:vAlign w:val="center"/>
                </w:tcPr>
                <w:p w14:paraId="6D795F78">
                  <w:pPr>
                    <w:widowControl/>
                    <w:jc w:val="center"/>
                    <w:textAlignment w:val="center"/>
                    <w:rPr>
                      <w:bCs/>
                      <w:color w:val="auto"/>
                      <w:kern w:val="0"/>
                      <w:szCs w:val="21"/>
                      <w:highlight w:val="none"/>
                      <w:lang w:bidi="ar"/>
                    </w:rPr>
                  </w:pPr>
                  <w:r>
                    <w:rPr>
                      <w:bCs/>
                      <w:color w:val="auto"/>
                      <w:szCs w:val="21"/>
                      <w:highlight w:val="none"/>
                    </w:rPr>
                    <w:t>生活垃圾设置垃圾桶收集，定点存放，由环卫部门定期清运；</w:t>
                  </w:r>
                  <w:r>
                    <w:rPr>
                      <w:color w:val="auto"/>
                      <w:spacing w:val="9"/>
                      <w:szCs w:val="21"/>
                      <w:highlight w:val="none"/>
                    </w:rPr>
                    <w:t>建筑垃圾统一收集后，按照环卫部门的规定进行利用或者处置；</w:t>
                  </w:r>
                  <w:r>
                    <w:rPr>
                      <w:bCs/>
                      <w:color w:val="auto"/>
                      <w:szCs w:val="21"/>
                      <w:highlight w:val="none"/>
                    </w:rPr>
                    <w:t>河道垃圾统一收集后由环卫部门定期清运统一处置；隔油池产生的浮油经收集暂存于危废暂存间，待施工结束后交由有资质单位处置；</w:t>
                  </w:r>
                  <w:r>
                    <w:rPr>
                      <w:color w:val="auto"/>
                      <w:spacing w:val="-4"/>
                      <w:szCs w:val="21"/>
                      <w:highlight w:val="none"/>
                    </w:rPr>
                    <w:t>项目清挖产生的弃土方和淤泥</w:t>
                  </w:r>
                  <w:r>
                    <w:rPr>
                      <w:color w:val="auto"/>
                      <w:spacing w:val="9"/>
                      <w:szCs w:val="21"/>
                      <w:highlight w:val="none"/>
                    </w:rPr>
                    <w:t>按照环卫部门的规定进行利用或者处置</w:t>
                  </w:r>
                  <w:r>
                    <w:rPr>
                      <w:color w:val="auto"/>
                      <w:spacing w:val="-4"/>
                      <w:szCs w:val="21"/>
                      <w:highlight w:val="none"/>
                    </w:rPr>
                    <w:t>，</w:t>
                  </w:r>
                  <w:r>
                    <w:rPr>
                      <w:bCs/>
                      <w:color w:val="auto"/>
                      <w:szCs w:val="21"/>
                      <w:highlight w:val="none"/>
                    </w:rPr>
                    <w:t>固体废物100％委托处置。</w:t>
                  </w:r>
                </w:p>
              </w:tc>
              <w:tc>
                <w:tcPr>
                  <w:tcW w:w="350" w:type="pct"/>
                  <w:noWrap/>
                  <w:tcMar>
                    <w:top w:w="8" w:type="dxa"/>
                    <w:left w:w="8" w:type="dxa"/>
                    <w:right w:w="8" w:type="dxa"/>
                  </w:tcMar>
                  <w:vAlign w:val="center"/>
                </w:tcPr>
                <w:p w14:paraId="64506744">
                  <w:pPr>
                    <w:jc w:val="center"/>
                    <w:rPr>
                      <w:bCs/>
                      <w:color w:val="auto"/>
                      <w:szCs w:val="21"/>
                      <w:highlight w:val="none"/>
                    </w:rPr>
                  </w:pPr>
                </w:p>
              </w:tc>
            </w:tr>
            <w:tr w14:paraId="1FA3BC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1515" w:hRule="atLeast"/>
                <w:jc w:val="center"/>
              </w:trPr>
              <w:tc>
                <w:tcPr>
                  <w:tcW w:w="573" w:type="pct"/>
                  <w:noWrap/>
                  <w:tcMar>
                    <w:top w:w="8" w:type="dxa"/>
                    <w:left w:w="8" w:type="dxa"/>
                    <w:right w:w="8" w:type="dxa"/>
                  </w:tcMar>
                  <w:vAlign w:val="center"/>
                </w:tcPr>
                <w:p w14:paraId="5A7DB53F">
                  <w:pPr>
                    <w:widowControl/>
                    <w:jc w:val="center"/>
                    <w:textAlignment w:val="center"/>
                    <w:rPr>
                      <w:bCs/>
                      <w:color w:val="auto"/>
                      <w:kern w:val="0"/>
                      <w:szCs w:val="21"/>
                      <w:highlight w:val="none"/>
                      <w:lang w:bidi="ar"/>
                    </w:rPr>
                  </w:pPr>
                  <w:r>
                    <w:rPr>
                      <w:bCs/>
                      <w:color w:val="auto"/>
                      <w:kern w:val="0"/>
                      <w:szCs w:val="21"/>
                      <w:highlight w:val="none"/>
                      <w:lang w:bidi="ar"/>
                    </w:rPr>
                    <w:t>4</w:t>
                  </w:r>
                </w:p>
              </w:tc>
              <w:tc>
                <w:tcPr>
                  <w:tcW w:w="824" w:type="pct"/>
                  <w:gridSpan w:val="2"/>
                  <w:noWrap/>
                  <w:tcMar>
                    <w:top w:w="8" w:type="dxa"/>
                    <w:left w:w="8" w:type="dxa"/>
                    <w:right w:w="8" w:type="dxa"/>
                  </w:tcMar>
                  <w:vAlign w:val="center"/>
                </w:tcPr>
                <w:p w14:paraId="239F1FCF">
                  <w:pPr>
                    <w:widowControl/>
                    <w:jc w:val="center"/>
                    <w:textAlignment w:val="center"/>
                    <w:rPr>
                      <w:bCs/>
                      <w:color w:val="auto"/>
                      <w:kern w:val="0"/>
                      <w:szCs w:val="21"/>
                      <w:highlight w:val="none"/>
                      <w:lang w:bidi="ar"/>
                    </w:rPr>
                  </w:pPr>
                  <w:r>
                    <w:rPr>
                      <w:bCs/>
                      <w:color w:val="auto"/>
                      <w:kern w:val="0"/>
                      <w:szCs w:val="21"/>
                      <w:highlight w:val="none"/>
                      <w:lang w:bidi="ar"/>
                    </w:rPr>
                    <w:t>噪声</w:t>
                  </w:r>
                </w:p>
              </w:tc>
              <w:tc>
                <w:tcPr>
                  <w:tcW w:w="3251" w:type="pct"/>
                  <w:noWrap/>
                  <w:tcMar>
                    <w:top w:w="8" w:type="dxa"/>
                    <w:left w:w="8" w:type="dxa"/>
                    <w:right w:w="8" w:type="dxa"/>
                  </w:tcMar>
                  <w:vAlign w:val="center"/>
                </w:tcPr>
                <w:p w14:paraId="2A940D96">
                  <w:pPr>
                    <w:widowControl/>
                    <w:jc w:val="center"/>
                    <w:textAlignment w:val="center"/>
                    <w:rPr>
                      <w:bCs/>
                      <w:color w:val="auto"/>
                      <w:kern w:val="0"/>
                      <w:szCs w:val="21"/>
                      <w:highlight w:val="none"/>
                      <w:lang w:bidi="ar"/>
                    </w:rPr>
                  </w:pPr>
                  <w:r>
                    <w:rPr>
                      <w:bCs/>
                      <w:color w:val="auto"/>
                      <w:szCs w:val="21"/>
                      <w:highlight w:val="none"/>
                    </w:rPr>
                    <w:t>施工过程中要尽量选用低噪声设备，对机械设备精心养护，保持良好的运行工况，降低设备运行噪声；加强设备的维护和管理，以减少运行噪声。合理安排施工计划，最好避免同一地点集中使用大量机动设备。</w:t>
                  </w:r>
                </w:p>
              </w:tc>
              <w:tc>
                <w:tcPr>
                  <w:tcW w:w="350" w:type="pct"/>
                  <w:noWrap/>
                  <w:tcMar>
                    <w:top w:w="8" w:type="dxa"/>
                    <w:left w:w="8" w:type="dxa"/>
                    <w:right w:w="8" w:type="dxa"/>
                  </w:tcMar>
                  <w:vAlign w:val="center"/>
                </w:tcPr>
                <w:p w14:paraId="0CD9EE9D">
                  <w:pPr>
                    <w:jc w:val="center"/>
                    <w:rPr>
                      <w:bCs/>
                      <w:color w:val="auto"/>
                      <w:szCs w:val="21"/>
                      <w:highlight w:val="none"/>
                    </w:rPr>
                  </w:pPr>
                </w:p>
              </w:tc>
            </w:tr>
            <w:tr w14:paraId="7DE2D4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853" w:hRule="atLeast"/>
                <w:jc w:val="center"/>
              </w:trPr>
              <w:tc>
                <w:tcPr>
                  <w:tcW w:w="573" w:type="pct"/>
                  <w:vMerge w:val="restart"/>
                  <w:noWrap/>
                  <w:tcMar>
                    <w:top w:w="8" w:type="dxa"/>
                    <w:left w:w="8" w:type="dxa"/>
                    <w:right w:w="8" w:type="dxa"/>
                  </w:tcMar>
                  <w:vAlign w:val="center"/>
                </w:tcPr>
                <w:p w14:paraId="67862E70">
                  <w:pPr>
                    <w:widowControl/>
                    <w:jc w:val="center"/>
                    <w:textAlignment w:val="center"/>
                    <w:rPr>
                      <w:bCs/>
                      <w:color w:val="auto"/>
                      <w:kern w:val="0"/>
                      <w:szCs w:val="21"/>
                      <w:highlight w:val="none"/>
                      <w:lang w:bidi="ar"/>
                    </w:rPr>
                  </w:pPr>
                  <w:r>
                    <w:rPr>
                      <w:bCs/>
                      <w:color w:val="auto"/>
                      <w:kern w:val="0"/>
                      <w:szCs w:val="21"/>
                      <w:highlight w:val="none"/>
                      <w:lang w:bidi="ar"/>
                    </w:rPr>
                    <w:t>5</w:t>
                  </w:r>
                </w:p>
              </w:tc>
              <w:tc>
                <w:tcPr>
                  <w:tcW w:w="356" w:type="pct"/>
                  <w:vMerge w:val="restart"/>
                  <w:noWrap/>
                  <w:tcMar>
                    <w:top w:w="8" w:type="dxa"/>
                    <w:left w:w="8" w:type="dxa"/>
                    <w:right w:w="8" w:type="dxa"/>
                  </w:tcMar>
                  <w:vAlign w:val="center"/>
                </w:tcPr>
                <w:p w14:paraId="21B07321">
                  <w:pPr>
                    <w:widowControl/>
                    <w:jc w:val="center"/>
                    <w:textAlignment w:val="center"/>
                    <w:rPr>
                      <w:bCs/>
                      <w:color w:val="auto"/>
                      <w:kern w:val="0"/>
                      <w:szCs w:val="21"/>
                      <w:highlight w:val="none"/>
                      <w:lang w:bidi="ar"/>
                    </w:rPr>
                  </w:pPr>
                  <w:r>
                    <w:rPr>
                      <w:bCs/>
                      <w:color w:val="auto"/>
                      <w:kern w:val="0"/>
                      <w:szCs w:val="21"/>
                      <w:highlight w:val="none"/>
                      <w:lang w:bidi="ar"/>
                    </w:rPr>
                    <w:t>生态保护措施</w:t>
                  </w:r>
                </w:p>
              </w:tc>
              <w:tc>
                <w:tcPr>
                  <w:tcW w:w="467" w:type="pct"/>
                  <w:noWrap/>
                  <w:tcMar>
                    <w:top w:w="8" w:type="dxa"/>
                    <w:left w:w="8" w:type="dxa"/>
                    <w:right w:w="8" w:type="dxa"/>
                  </w:tcMar>
                  <w:vAlign w:val="center"/>
                </w:tcPr>
                <w:p w14:paraId="093D76CF">
                  <w:pPr>
                    <w:widowControl/>
                    <w:jc w:val="center"/>
                    <w:textAlignment w:val="center"/>
                    <w:rPr>
                      <w:bCs/>
                      <w:color w:val="auto"/>
                      <w:szCs w:val="21"/>
                      <w:highlight w:val="none"/>
                    </w:rPr>
                  </w:pPr>
                  <w:r>
                    <w:rPr>
                      <w:bCs/>
                      <w:color w:val="auto"/>
                      <w:szCs w:val="21"/>
                      <w:highlight w:val="none"/>
                    </w:rPr>
                    <w:t>施工期</w:t>
                  </w:r>
                </w:p>
              </w:tc>
              <w:tc>
                <w:tcPr>
                  <w:tcW w:w="3251" w:type="pct"/>
                  <w:noWrap/>
                  <w:tcMar>
                    <w:top w:w="8" w:type="dxa"/>
                    <w:left w:w="8" w:type="dxa"/>
                    <w:right w:w="8" w:type="dxa"/>
                  </w:tcMar>
                  <w:vAlign w:val="center"/>
                </w:tcPr>
                <w:p w14:paraId="1603910F">
                  <w:pPr>
                    <w:widowControl/>
                    <w:jc w:val="center"/>
                    <w:textAlignment w:val="center"/>
                    <w:rPr>
                      <w:bCs/>
                      <w:color w:val="auto"/>
                      <w:szCs w:val="21"/>
                      <w:highlight w:val="none"/>
                    </w:rPr>
                  </w:pPr>
                  <w:r>
                    <w:rPr>
                      <w:bCs/>
                      <w:color w:val="auto"/>
                      <w:szCs w:val="21"/>
                      <w:highlight w:val="none"/>
                    </w:rPr>
                    <w:t>（1）工程占地会使评价区内部分动植物资源遭受损失，因此在施工期间应加强对野生动植物资源的保护。</w:t>
                  </w:r>
                </w:p>
                <w:p w14:paraId="21E0A639">
                  <w:pPr>
                    <w:widowControl/>
                    <w:jc w:val="center"/>
                    <w:textAlignment w:val="center"/>
                    <w:rPr>
                      <w:bCs/>
                      <w:color w:val="auto"/>
                      <w:szCs w:val="21"/>
                      <w:highlight w:val="none"/>
                    </w:rPr>
                  </w:pPr>
                  <w:r>
                    <w:rPr>
                      <w:bCs/>
                      <w:color w:val="auto"/>
                      <w:szCs w:val="21"/>
                      <w:highlight w:val="none"/>
                    </w:rPr>
                    <w:t>（2）施工期间应加强对工程两岸基本农田的生态保护措施。</w:t>
                  </w:r>
                </w:p>
                <w:p w14:paraId="42558DE8">
                  <w:pPr>
                    <w:widowControl/>
                    <w:jc w:val="center"/>
                    <w:textAlignment w:val="center"/>
                    <w:rPr>
                      <w:bCs/>
                      <w:color w:val="auto"/>
                      <w:szCs w:val="21"/>
                      <w:highlight w:val="none"/>
                    </w:rPr>
                  </w:pPr>
                  <w:r>
                    <w:rPr>
                      <w:bCs/>
                      <w:color w:val="auto"/>
                      <w:szCs w:val="21"/>
                      <w:highlight w:val="none"/>
                    </w:rPr>
                    <w:t>（3）施工期间应加强对治理河道水生态保护措施。</w:t>
                  </w:r>
                </w:p>
              </w:tc>
              <w:tc>
                <w:tcPr>
                  <w:tcW w:w="350" w:type="pct"/>
                  <w:noWrap/>
                  <w:tcMar>
                    <w:top w:w="8" w:type="dxa"/>
                    <w:left w:w="8" w:type="dxa"/>
                    <w:right w:w="8" w:type="dxa"/>
                  </w:tcMar>
                  <w:vAlign w:val="center"/>
                </w:tcPr>
                <w:p w14:paraId="6731D5C5">
                  <w:pPr>
                    <w:jc w:val="center"/>
                    <w:rPr>
                      <w:bCs/>
                      <w:color w:val="auto"/>
                      <w:szCs w:val="21"/>
                      <w:highlight w:val="none"/>
                    </w:rPr>
                  </w:pPr>
                </w:p>
              </w:tc>
            </w:tr>
            <w:tr w14:paraId="36E10F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573" w:type="pct"/>
                  <w:vMerge w:val="continue"/>
                  <w:noWrap/>
                  <w:tcMar>
                    <w:top w:w="8" w:type="dxa"/>
                    <w:left w:w="8" w:type="dxa"/>
                    <w:right w:w="8" w:type="dxa"/>
                  </w:tcMar>
                  <w:vAlign w:val="center"/>
                </w:tcPr>
                <w:p w14:paraId="01F5E530">
                  <w:pPr>
                    <w:widowControl/>
                    <w:jc w:val="center"/>
                    <w:textAlignment w:val="center"/>
                    <w:rPr>
                      <w:bCs/>
                      <w:color w:val="auto"/>
                      <w:kern w:val="0"/>
                      <w:szCs w:val="21"/>
                      <w:highlight w:val="none"/>
                      <w:lang w:bidi="ar"/>
                    </w:rPr>
                  </w:pPr>
                </w:p>
              </w:tc>
              <w:tc>
                <w:tcPr>
                  <w:tcW w:w="356" w:type="pct"/>
                  <w:vMerge w:val="continue"/>
                  <w:noWrap/>
                  <w:tcMar>
                    <w:top w:w="8" w:type="dxa"/>
                    <w:left w:w="8" w:type="dxa"/>
                    <w:right w:w="8" w:type="dxa"/>
                  </w:tcMar>
                  <w:vAlign w:val="center"/>
                </w:tcPr>
                <w:p w14:paraId="516603A1">
                  <w:pPr>
                    <w:widowControl/>
                    <w:jc w:val="center"/>
                    <w:textAlignment w:val="center"/>
                    <w:rPr>
                      <w:bCs/>
                      <w:color w:val="auto"/>
                      <w:kern w:val="0"/>
                      <w:szCs w:val="21"/>
                      <w:highlight w:val="none"/>
                      <w:lang w:bidi="ar"/>
                    </w:rPr>
                  </w:pPr>
                </w:p>
              </w:tc>
              <w:tc>
                <w:tcPr>
                  <w:tcW w:w="467" w:type="pct"/>
                  <w:noWrap/>
                  <w:tcMar>
                    <w:top w:w="8" w:type="dxa"/>
                    <w:left w:w="8" w:type="dxa"/>
                    <w:right w:w="8" w:type="dxa"/>
                  </w:tcMar>
                  <w:vAlign w:val="center"/>
                </w:tcPr>
                <w:p w14:paraId="51A6233D">
                  <w:pPr>
                    <w:widowControl/>
                    <w:jc w:val="center"/>
                    <w:textAlignment w:val="center"/>
                    <w:rPr>
                      <w:bCs/>
                      <w:color w:val="auto"/>
                      <w:kern w:val="0"/>
                      <w:szCs w:val="21"/>
                      <w:highlight w:val="none"/>
                      <w:lang w:bidi="ar"/>
                    </w:rPr>
                  </w:pPr>
                  <w:r>
                    <w:rPr>
                      <w:bCs/>
                      <w:color w:val="auto"/>
                      <w:kern w:val="0"/>
                      <w:szCs w:val="21"/>
                      <w:highlight w:val="none"/>
                      <w:lang w:bidi="ar"/>
                    </w:rPr>
                    <w:t>运营期</w:t>
                  </w:r>
                </w:p>
              </w:tc>
              <w:tc>
                <w:tcPr>
                  <w:tcW w:w="3251" w:type="pct"/>
                  <w:noWrap/>
                  <w:tcMar>
                    <w:top w:w="8" w:type="dxa"/>
                    <w:left w:w="8" w:type="dxa"/>
                    <w:right w:w="8" w:type="dxa"/>
                  </w:tcMar>
                  <w:vAlign w:val="center"/>
                </w:tcPr>
                <w:p w14:paraId="6DA2AD47">
                  <w:pPr>
                    <w:tabs>
                      <w:tab w:val="left" w:pos="1040"/>
                    </w:tabs>
                    <w:jc w:val="center"/>
                    <w:rPr>
                      <w:bCs/>
                      <w:color w:val="auto"/>
                      <w:kern w:val="0"/>
                      <w:szCs w:val="21"/>
                      <w:highlight w:val="none"/>
                      <w:lang w:bidi="ar"/>
                    </w:rPr>
                  </w:pPr>
                  <w:r>
                    <w:rPr>
                      <w:bCs/>
                      <w:color w:val="auto"/>
                      <w:szCs w:val="21"/>
                      <w:highlight w:val="none"/>
                    </w:rPr>
                    <w:t>本工程是一项河道清淤工程</w:t>
                  </w:r>
                  <w:r>
                    <w:rPr>
                      <w:rFonts w:hint="eastAsia"/>
                      <w:bCs/>
                      <w:color w:val="auto"/>
                      <w:szCs w:val="21"/>
                      <w:highlight w:val="none"/>
                      <w:lang w:eastAsia="zh-CN"/>
                    </w:rPr>
                    <w:t>及城镇雨污管线工程</w:t>
                  </w:r>
                  <w:r>
                    <w:rPr>
                      <w:bCs/>
                      <w:color w:val="auto"/>
                      <w:szCs w:val="21"/>
                      <w:highlight w:val="none"/>
                    </w:rPr>
                    <w:t>，工程对环境的不利影响主要发生在施工期，并随着施工的结束而结束。工程运行期将提高项目区抵御洪涝灾害的能力，同时对河道的水文情势影响较小，</w:t>
                  </w:r>
                  <w:r>
                    <w:rPr>
                      <w:color w:val="auto"/>
                      <w:spacing w:val="7"/>
                      <w:szCs w:val="21"/>
                      <w:highlight w:val="none"/>
                    </w:rPr>
                    <w:t>运行期环境保护主要为保</w:t>
                  </w:r>
                  <w:r>
                    <w:rPr>
                      <w:color w:val="auto"/>
                      <w:spacing w:val="10"/>
                      <w:szCs w:val="21"/>
                      <w:highlight w:val="none"/>
                    </w:rPr>
                    <w:t>障</w:t>
                  </w:r>
                  <w:r>
                    <w:rPr>
                      <w:color w:val="auto"/>
                      <w:spacing w:val="6"/>
                      <w:szCs w:val="21"/>
                      <w:highlight w:val="none"/>
                    </w:rPr>
                    <w:t>河道水质，</w:t>
                  </w:r>
                  <w:r>
                    <w:rPr>
                      <w:bCs/>
                      <w:color w:val="auto"/>
                      <w:szCs w:val="21"/>
                      <w:highlight w:val="none"/>
                    </w:rPr>
                    <w:t>对环境主要为有利影响。</w:t>
                  </w:r>
                </w:p>
              </w:tc>
              <w:tc>
                <w:tcPr>
                  <w:tcW w:w="350" w:type="pct"/>
                  <w:noWrap/>
                  <w:tcMar>
                    <w:top w:w="8" w:type="dxa"/>
                    <w:left w:w="8" w:type="dxa"/>
                    <w:right w:w="8" w:type="dxa"/>
                  </w:tcMar>
                  <w:vAlign w:val="center"/>
                </w:tcPr>
                <w:p w14:paraId="14DE7FFF">
                  <w:pPr>
                    <w:jc w:val="center"/>
                    <w:rPr>
                      <w:bCs/>
                      <w:color w:val="auto"/>
                      <w:szCs w:val="21"/>
                      <w:highlight w:val="none"/>
                    </w:rPr>
                  </w:pPr>
                </w:p>
              </w:tc>
            </w:tr>
          </w:tbl>
          <w:p w14:paraId="73115F95">
            <w:pPr>
              <w:widowControl/>
              <w:spacing w:before="120" w:beforeLines="50" w:line="360" w:lineRule="auto"/>
              <w:ind w:firstLine="482" w:firstLineChars="200"/>
              <w:rPr>
                <w:b/>
                <w:bCs/>
                <w:color w:val="auto"/>
                <w:kern w:val="0"/>
                <w:sz w:val="24"/>
                <w:highlight w:val="none"/>
                <w:lang w:bidi="ar"/>
              </w:rPr>
            </w:pPr>
            <w:r>
              <w:rPr>
                <w:b/>
                <w:bCs/>
                <w:color w:val="auto"/>
                <w:kern w:val="0"/>
                <w:sz w:val="24"/>
                <w:highlight w:val="none"/>
                <w:lang w:bidi="ar"/>
              </w:rPr>
              <w:t>五、主要施工设备</w:t>
            </w:r>
          </w:p>
          <w:p w14:paraId="7C8CD694">
            <w:pPr>
              <w:widowControl/>
              <w:spacing w:line="360" w:lineRule="auto"/>
              <w:ind w:firstLine="480" w:firstLineChars="200"/>
              <w:rPr>
                <w:b/>
                <w:bCs/>
                <w:color w:val="auto"/>
                <w:kern w:val="0"/>
                <w:szCs w:val="21"/>
                <w:highlight w:val="none"/>
                <w:lang w:bidi="ar"/>
              </w:rPr>
            </w:pPr>
            <w:r>
              <w:rPr>
                <w:color w:val="auto"/>
                <w:kern w:val="0"/>
                <w:sz w:val="24"/>
                <w:highlight w:val="none"/>
                <w:lang w:bidi="ar"/>
              </w:rPr>
              <w:t>根据施工现场的情况，其采用的主要机械施工设备见表2-2。</w:t>
            </w:r>
          </w:p>
          <w:p w14:paraId="4210EAEB">
            <w:pPr>
              <w:widowControl/>
              <w:ind w:firstLine="422" w:firstLineChars="200"/>
              <w:jc w:val="center"/>
              <w:rPr>
                <w:b/>
                <w:bCs/>
                <w:color w:val="auto"/>
                <w:kern w:val="0"/>
                <w:szCs w:val="21"/>
                <w:highlight w:val="none"/>
                <w:lang w:bidi="ar"/>
              </w:rPr>
            </w:pPr>
            <w:r>
              <w:rPr>
                <w:b/>
                <w:bCs/>
                <w:color w:val="auto"/>
                <w:kern w:val="0"/>
                <w:szCs w:val="21"/>
                <w:highlight w:val="none"/>
                <w:lang w:bidi="ar"/>
              </w:rPr>
              <w:t>表2-2  主要施工设备一览表</w:t>
            </w:r>
          </w:p>
          <w:tbl>
            <w:tblPr>
              <w:tblStyle w:val="20"/>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7"/>
              <w:gridCol w:w="2530"/>
              <w:gridCol w:w="2130"/>
              <w:gridCol w:w="1433"/>
              <w:gridCol w:w="1450"/>
            </w:tblGrid>
            <w:tr w14:paraId="244F54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541" w:type="pct"/>
                  <w:shd w:val="clear" w:color="auto" w:fill="auto"/>
                  <w:vAlign w:val="center"/>
                </w:tcPr>
                <w:p w14:paraId="1E111CA7">
                  <w:pPr>
                    <w:pStyle w:val="53"/>
                    <w:spacing w:beforeLines="0" w:afterLines="0"/>
                    <w:jc w:val="center"/>
                    <w:rPr>
                      <w:rFonts w:hint="default" w:ascii="Times New Roman" w:hAnsi="Times New Roman" w:eastAsia="宋体" w:cs="Times New Roman"/>
                      <w:b/>
                      <w:color w:val="auto"/>
                      <w:kern w:val="2"/>
                      <w:sz w:val="21"/>
                      <w:szCs w:val="21"/>
                      <w:highlight w:val="none"/>
                      <w:lang w:val="en-US" w:eastAsia="en-US" w:bidi="ar-SA"/>
                    </w:rPr>
                  </w:pPr>
                  <w:r>
                    <w:rPr>
                      <w:rFonts w:hint="eastAsia" w:ascii="Times New Roman" w:hAnsi="Times New Roman" w:cs="Times New Roman"/>
                      <w:b/>
                      <w:color w:val="auto"/>
                      <w:spacing w:val="-2"/>
                      <w:sz w:val="21"/>
                      <w:szCs w:val="21"/>
                      <w:highlight w:val="none"/>
                    </w:rPr>
                    <w:t>序号</w:t>
                  </w:r>
                </w:p>
              </w:tc>
              <w:tc>
                <w:tcPr>
                  <w:tcW w:w="1495" w:type="pct"/>
                  <w:shd w:val="clear" w:color="auto" w:fill="auto"/>
                  <w:vAlign w:val="center"/>
                </w:tcPr>
                <w:p w14:paraId="1184FFFF">
                  <w:pPr>
                    <w:pStyle w:val="53"/>
                    <w:spacing w:beforeLines="0" w:afterLines="0"/>
                    <w:jc w:val="center"/>
                    <w:rPr>
                      <w:rFonts w:hint="default" w:ascii="Times New Roman" w:hAnsi="Times New Roman" w:eastAsia="宋体" w:cs="Times New Roman"/>
                      <w:b/>
                      <w:color w:val="auto"/>
                      <w:kern w:val="2"/>
                      <w:sz w:val="21"/>
                      <w:szCs w:val="21"/>
                      <w:highlight w:val="none"/>
                      <w:lang w:val="en-US" w:eastAsia="en-US" w:bidi="ar-SA"/>
                    </w:rPr>
                  </w:pPr>
                  <w:r>
                    <w:rPr>
                      <w:rFonts w:hint="eastAsia" w:ascii="Times New Roman" w:hAnsi="Times New Roman" w:cs="Times New Roman"/>
                      <w:b/>
                      <w:color w:val="auto"/>
                      <w:spacing w:val="-3"/>
                      <w:sz w:val="21"/>
                      <w:szCs w:val="21"/>
                      <w:highlight w:val="none"/>
                    </w:rPr>
                    <w:t>名称</w:t>
                  </w:r>
                </w:p>
              </w:tc>
              <w:tc>
                <w:tcPr>
                  <w:tcW w:w="1258" w:type="pct"/>
                  <w:shd w:val="clear" w:color="auto" w:fill="auto"/>
                  <w:vAlign w:val="center"/>
                </w:tcPr>
                <w:p w14:paraId="365D9E7F">
                  <w:pPr>
                    <w:pStyle w:val="53"/>
                    <w:spacing w:beforeLines="0" w:afterLines="0"/>
                    <w:jc w:val="center"/>
                    <w:rPr>
                      <w:rFonts w:hint="default" w:ascii="Times New Roman" w:hAnsi="Times New Roman" w:eastAsia="宋体" w:cs="Times New Roman"/>
                      <w:b/>
                      <w:color w:val="auto"/>
                      <w:spacing w:val="-3"/>
                      <w:kern w:val="2"/>
                      <w:sz w:val="21"/>
                      <w:szCs w:val="21"/>
                      <w:highlight w:val="none"/>
                      <w:lang w:val="en-US" w:eastAsia="zh-CN" w:bidi="ar-SA"/>
                    </w:rPr>
                  </w:pPr>
                  <w:r>
                    <w:rPr>
                      <w:rFonts w:hint="eastAsia" w:ascii="Times New Roman" w:hAnsi="Times New Roman" w:cs="Times New Roman"/>
                      <w:b/>
                      <w:color w:val="auto"/>
                      <w:spacing w:val="-3"/>
                      <w:sz w:val="21"/>
                      <w:szCs w:val="21"/>
                      <w:highlight w:val="none"/>
                      <w:lang w:eastAsia="zh-CN"/>
                    </w:rPr>
                    <w:t>规格</w:t>
                  </w:r>
                </w:p>
              </w:tc>
              <w:tc>
                <w:tcPr>
                  <w:tcW w:w="846" w:type="pct"/>
                  <w:shd w:val="clear" w:color="auto" w:fill="auto"/>
                  <w:vAlign w:val="center"/>
                </w:tcPr>
                <w:p w14:paraId="40964534">
                  <w:pPr>
                    <w:pStyle w:val="53"/>
                    <w:spacing w:beforeLines="0" w:afterLines="0"/>
                    <w:jc w:val="center"/>
                    <w:rPr>
                      <w:rFonts w:hint="default" w:ascii="Times New Roman" w:hAnsi="Times New Roman" w:eastAsia="宋体" w:cs="Times New Roman"/>
                      <w:b/>
                      <w:color w:val="auto"/>
                      <w:kern w:val="2"/>
                      <w:sz w:val="21"/>
                      <w:szCs w:val="21"/>
                      <w:highlight w:val="none"/>
                      <w:lang w:val="en-US" w:eastAsia="en-US" w:bidi="ar-SA"/>
                    </w:rPr>
                  </w:pPr>
                  <w:r>
                    <w:rPr>
                      <w:rFonts w:hint="eastAsia" w:ascii="Times New Roman" w:hAnsi="Times New Roman" w:cs="Times New Roman"/>
                      <w:b/>
                      <w:color w:val="auto"/>
                      <w:spacing w:val="-3"/>
                      <w:sz w:val="21"/>
                      <w:szCs w:val="21"/>
                      <w:highlight w:val="none"/>
                    </w:rPr>
                    <w:t>单位</w:t>
                  </w:r>
                </w:p>
              </w:tc>
              <w:tc>
                <w:tcPr>
                  <w:tcW w:w="856" w:type="pct"/>
                  <w:shd w:val="clear" w:color="auto" w:fill="auto"/>
                  <w:vAlign w:val="center"/>
                </w:tcPr>
                <w:p w14:paraId="5FE9B847">
                  <w:pPr>
                    <w:pStyle w:val="53"/>
                    <w:spacing w:beforeLines="0" w:afterLines="0"/>
                    <w:jc w:val="center"/>
                    <w:rPr>
                      <w:rFonts w:hint="default" w:ascii="Times New Roman" w:hAnsi="Times New Roman" w:eastAsia="宋体" w:cs="Times New Roman"/>
                      <w:b/>
                      <w:color w:val="auto"/>
                      <w:kern w:val="2"/>
                      <w:sz w:val="21"/>
                      <w:szCs w:val="21"/>
                      <w:highlight w:val="none"/>
                      <w:lang w:val="en-US" w:eastAsia="en-US" w:bidi="ar-SA"/>
                    </w:rPr>
                  </w:pPr>
                  <w:r>
                    <w:rPr>
                      <w:rFonts w:hint="eastAsia" w:ascii="Times New Roman" w:hAnsi="Times New Roman" w:cs="Times New Roman"/>
                      <w:b/>
                      <w:color w:val="auto"/>
                      <w:spacing w:val="-3"/>
                      <w:sz w:val="21"/>
                      <w:szCs w:val="21"/>
                      <w:highlight w:val="none"/>
                    </w:rPr>
                    <w:t>数量</w:t>
                  </w:r>
                </w:p>
              </w:tc>
            </w:tr>
            <w:tr w14:paraId="722728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5000" w:type="pct"/>
                  <w:gridSpan w:val="5"/>
                  <w:shd w:val="clear" w:color="auto" w:fill="auto"/>
                  <w:vAlign w:val="center"/>
                </w:tcPr>
                <w:p w14:paraId="4A00BAF0">
                  <w:pPr>
                    <w:pStyle w:val="53"/>
                    <w:spacing w:beforeLines="0" w:afterLines="0"/>
                    <w:jc w:val="center"/>
                    <w:rPr>
                      <w:rFonts w:hint="eastAsia" w:ascii="Times New Roman" w:hAnsi="Times New Roman" w:eastAsia="宋体" w:cs="Times New Roman"/>
                      <w:b/>
                      <w:color w:val="auto"/>
                      <w:spacing w:val="-3"/>
                      <w:sz w:val="21"/>
                      <w:szCs w:val="21"/>
                      <w:highlight w:val="none"/>
                      <w:lang w:eastAsia="zh-CN"/>
                    </w:rPr>
                  </w:pPr>
                  <w:r>
                    <w:rPr>
                      <w:rFonts w:hint="eastAsia" w:ascii="Times New Roman" w:hAnsi="Times New Roman" w:cs="Times New Roman"/>
                      <w:b/>
                      <w:color w:val="auto"/>
                      <w:spacing w:val="-3"/>
                      <w:sz w:val="21"/>
                      <w:szCs w:val="21"/>
                      <w:highlight w:val="none"/>
                      <w:lang w:eastAsia="zh-CN"/>
                    </w:rPr>
                    <w:t>机械设备</w:t>
                  </w:r>
                </w:p>
              </w:tc>
            </w:tr>
            <w:tr w14:paraId="1FC5C2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541" w:type="pct"/>
                  <w:shd w:val="clear" w:color="auto" w:fill="auto"/>
                  <w:vAlign w:val="center"/>
                </w:tcPr>
                <w:p w14:paraId="125E5BFC">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w:t>
                  </w:r>
                </w:p>
              </w:tc>
              <w:tc>
                <w:tcPr>
                  <w:tcW w:w="1495" w:type="pct"/>
                  <w:shd w:val="clear" w:color="auto" w:fill="auto"/>
                  <w:vAlign w:val="center"/>
                </w:tcPr>
                <w:p w14:paraId="48FB8725">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挖掘机</w:t>
                  </w:r>
                </w:p>
              </w:tc>
              <w:tc>
                <w:tcPr>
                  <w:tcW w:w="1258" w:type="pct"/>
                  <w:shd w:val="clear" w:color="auto" w:fill="auto"/>
                  <w:vAlign w:val="center"/>
                </w:tcPr>
                <w:p w14:paraId="747C83E9">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kern w:val="0"/>
                      <w:szCs w:val="21"/>
                      <w:highlight w:val="none"/>
                      <w:lang w:bidi="ar"/>
                    </w:rPr>
                    <w:t>1m</w:t>
                  </w:r>
                  <w:r>
                    <w:rPr>
                      <w:color w:val="auto"/>
                      <w:kern w:val="0"/>
                      <w:szCs w:val="21"/>
                      <w:highlight w:val="none"/>
                      <w:vertAlign w:val="superscript"/>
                      <w:lang w:bidi="ar"/>
                    </w:rPr>
                    <w:t>3</w:t>
                  </w:r>
                </w:p>
              </w:tc>
              <w:tc>
                <w:tcPr>
                  <w:tcW w:w="846" w:type="pct"/>
                  <w:shd w:val="clear" w:color="auto" w:fill="auto"/>
                  <w:vAlign w:val="center"/>
                </w:tcPr>
                <w:p w14:paraId="67DD69F1">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34363CC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15</w:t>
                  </w:r>
                </w:p>
              </w:tc>
            </w:tr>
            <w:tr w14:paraId="1DAC75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541" w:type="pct"/>
                  <w:shd w:val="clear" w:color="auto" w:fill="auto"/>
                  <w:vAlign w:val="center"/>
                </w:tcPr>
                <w:p w14:paraId="00B55C29">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w:t>
                  </w:r>
                </w:p>
              </w:tc>
              <w:tc>
                <w:tcPr>
                  <w:tcW w:w="1495" w:type="pct"/>
                  <w:shd w:val="clear" w:color="auto" w:fill="auto"/>
                  <w:vAlign w:val="center"/>
                </w:tcPr>
                <w:p w14:paraId="489D4126">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挖掘机</w:t>
                  </w:r>
                </w:p>
              </w:tc>
              <w:tc>
                <w:tcPr>
                  <w:tcW w:w="1258" w:type="pct"/>
                  <w:shd w:val="clear" w:color="auto" w:fill="auto"/>
                  <w:vAlign w:val="center"/>
                </w:tcPr>
                <w:p w14:paraId="53D927BF">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0.6</w:t>
                  </w:r>
                  <w:r>
                    <w:rPr>
                      <w:color w:val="auto"/>
                      <w:kern w:val="0"/>
                      <w:szCs w:val="21"/>
                      <w:highlight w:val="none"/>
                      <w:lang w:bidi="ar"/>
                    </w:rPr>
                    <w:t>m</w:t>
                  </w:r>
                  <w:r>
                    <w:rPr>
                      <w:color w:val="auto"/>
                      <w:kern w:val="0"/>
                      <w:szCs w:val="21"/>
                      <w:highlight w:val="none"/>
                      <w:vertAlign w:val="superscript"/>
                      <w:lang w:bidi="ar"/>
                    </w:rPr>
                    <w:t>3</w:t>
                  </w:r>
                </w:p>
              </w:tc>
              <w:tc>
                <w:tcPr>
                  <w:tcW w:w="846" w:type="pct"/>
                  <w:shd w:val="clear" w:color="auto" w:fill="auto"/>
                  <w:vAlign w:val="center"/>
                </w:tcPr>
                <w:p w14:paraId="4CD6A0A1">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60DD1CF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1"/>
                      <w:szCs w:val="21"/>
                      <w:highlight w:val="none"/>
                      <w:lang w:val="en-US" w:eastAsia="zh-CN"/>
                    </w:rPr>
                    <w:t>15</w:t>
                  </w:r>
                </w:p>
              </w:tc>
            </w:tr>
            <w:tr w14:paraId="6BA436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7C2AB6FF">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3</w:t>
                  </w:r>
                </w:p>
              </w:tc>
              <w:tc>
                <w:tcPr>
                  <w:tcW w:w="1495" w:type="pct"/>
                  <w:shd w:val="clear" w:color="auto" w:fill="auto"/>
                  <w:vAlign w:val="center"/>
                </w:tcPr>
                <w:p w14:paraId="0DBB5657">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自卸汽车</w:t>
                  </w:r>
                </w:p>
              </w:tc>
              <w:tc>
                <w:tcPr>
                  <w:tcW w:w="1258" w:type="pct"/>
                  <w:shd w:val="clear" w:color="auto" w:fill="auto"/>
                  <w:vAlign w:val="center"/>
                </w:tcPr>
                <w:p w14:paraId="66EC0B43">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8t</w:t>
                  </w:r>
                </w:p>
              </w:tc>
              <w:tc>
                <w:tcPr>
                  <w:tcW w:w="846" w:type="pct"/>
                  <w:shd w:val="clear" w:color="auto" w:fill="auto"/>
                  <w:vAlign w:val="center"/>
                </w:tcPr>
                <w:p w14:paraId="08790A5F">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辆</w:t>
                  </w:r>
                </w:p>
              </w:tc>
              <w:tc>
                <w:tcPr>
                  <w:tcW w:w="856" w:type="pct"/>
                  <w:shd w:val="clear" w:color="auto" w:fill="auto"/>
                  <w:vAlign w:val="center"/>
                </w:tcPr>
                <w:p w14:paraId="268F89BF">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30</w:t>
                  </w:r>
                </w:p>
              </w:tc>
            </w:tr>
            <w:tr w14:paraId="1B2BA3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15D7758C">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4</w:t>
                  </w:r>
                </w:p>
              </w:tc>
              <w:tc>
                <w:tcPr>
                  <w:tcW w:w="1495" w:type="pct"/>
                  <w:shd w:val="clear" w:color="auto" w:fill="auto"/>
                  <w:vAlign w:val="center"/>
                </w:tcPr>
                <w:p w14:paraId="05C54751">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kern w:val="0"/>
                      <w:szCs w:val="21"/>
                      <w:highlight w:val="none"/>
                      <w:lang w:bidi="ar"/>
                    </w:rPr>
                    <w:t>推土机</w:t>
                  </w:r>
                </w:p>
              </w:tc>
              <w:tc>
                <w:tcPr>
                  <w:tcW w:w="1258" w:type="pct"/>
                  <w:shd w:val="clear" w:color="auto" w:fill="auto"/>
                  <w:vAlign w:val="center"/>
                </w:tcPr>
                <w:p w14:paraId="7C4D9E87">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color w:val="auto"/>
                      <w:kern w:val="0"/>
                      <w:szCs w:val="21"/>
                      <w:highlight w:val="none"/>
                      <w:lang w:bidi="ar"/>
                    </w:rPr>
                    <w:t>74k</w:t>
                  </w:r>
                  <w:r>
                    <w:rPr>
                      <w:rFonts w:hint="eastAsia"/>
                      <w:color w:val="auto"/>
                      <w:kern w:val="0"/>
                      <w:szCs w:val="21"/>
                      <w:highlight w:val="none"/>
                      <w:lang w:bidi="ar"/>
                    </w:rPr>
                    <w:t>W</w:t>
                  </w:r>
                </w:p>
              </w:tc>
              <w:tc>
                <w:tcPr>
                  <w:tcW w:w="846" w:type="pct"/>
                  <w:shd w:val="clear" w:color="auto" w:fill="auto"/>
                  <w:vAlign w:val="center"/>
                </w:tcPr>
                <w:p w14:paraId="48C79269">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2B48993E">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20</w:t>
                  </w:r>
                </w:p>
              </w:tc>
            </w:tr>
            <w:tr w14:paraId="3BA330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7439FB92">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5</w:t>
                  </w:r>
                </w:p>
              </w:tc>
              <w:tc>
                <w:tcPr>
                  <w:tcW w:w="1495" w:type="pct"/>
                  <w:shd w:val="clear" w:color="auto" w:fill="auto"/>
                  <w:vAlign w:val="center"/>
                </w:tcPr>
                <w:p w14:paraId="6F750945">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蛙式打夯机</w:t>
                  </w:r>
                </w:p>
              </w:tc>
              <w:tc>
                <w:tcPr>
                  <w:tcW w:w="1258" w:type="pct"/>
                  <w:shd w:val="clear" w:color="auto" w:fill="auto"/>
                  <w:vAlign w:val="center"/>
                </w:tcPr>
                <w:p w14:paraId="77F1985F">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2.8kW</w:t>
                  </w:r>
                </w:p>
              </w:tc>
              <w:tc>
                <w:tcPr>
                  <w:tcW w:w="846" w:type="pct"/>
                  <w:shd w:val="clear" w:color="auto" w:fill="auto"/>
                  <w:vAlign w:val="center"/>
                </w:tcPr>
                <w:p w14:paraId="0A6F5B8B">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6D178DAE">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15</w:t>
                  </w:r>
                </w:p>
              </w:tc>
            </w:tr>
            <w:tr w14:paraId="2DC3CA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7E7BA115">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6</w:t>
                  </w:r>
                </w:p>
              </w:tc>
              <w:tc>
                <w:tcPr>
                  <w:tcW w:w="1495" w:type="pct"/>
                  <w:shd w:val="clear" w:color="auto" w:fill="auto"/>
                  <w:vAlign w:val="center"/>
                </w:tcPr>
                <w:p w14:paraId="67DF9D0F">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装载机</w:t>
                  </w:r>
                </w:p>
              </w:tc>
              <w:tc>
                <w:tcPr>
                  <w:tcW w:w="1258" w:type="pct"/>
                  <w:shd w:val="clear" w:color="auto" w:fill="auto"/>
                  <w:vAlign w:val="center"/>
                </w:tcPr>
                <w:p w14:paraId="0899412A">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color w:val="auto"/>
                      <w:kern w:val="0"/>
                      <w:szCs w:val="21"/>
                      <w:highlight w:val="none"/>
                      <w:lang w:bidi="ar"/>
                    </w:rPr>
                    <w:t>1m</w:t>
                  </w:r>
                  <w:r>
                    <w:rPr>
                      <w:color w:val="auto"/>
                      <w:kern w:val="0"/>
                      <w:szCs w:val="21"/>
                      <w:highlight w:val="none"/>
                      <w:vertAlign w:val="superscript"/>
                      <w:lang w:bidi="ar"/>
                    </w:rPr>
                    <w:t>3</w:t>
                  </w:r>
                </w:p>
              </w:tc>
              <w:tc>
                <w:tcPr>
                  <w:tcW w:w="846" w:type="pct"/>
                  <w:shd w:val="clear" w:color="auto" w:fill="auto"/>
                  <w:vAlign w:val="center"/>
                </w:tcPr>
                <w:p w14:paraId="7A658D45">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24E985EE">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pacing w:val="-6"/>
                      <w:szCs w:val="21"/>
                      <w:highlight w:val="none"/>
                    </w:rPr>
                    <w:t>12</w:t>
                  </w:r>
                </w:p>
              </w:tc>
            </w:tr>
            <w:tr w14:paraId="28BFD6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4B428F02">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7</w:t>
                  </w:r>
                </w:p>
              </w:tc>
              <w:tc>
                <w:tcPr>
                  <w:tcW w:w="1495" w:type="pct"/>
                  <w:shd w:val="clear" w:color="auto" w:fill="auto"/>
                  <w:vAlign w:val="center"/>
                </w:tcPr>
                <w:p w14:paraId="537522DB">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移动式空压机</w:t>
                  </w:r>
                </w:p>
              </w:tc>
              <w:tc>
                <w:tcPr>
                  <w:tcW w:w="1258" w:type="pct"/>
                  <w:shd w:val="clear" w:color="auto" w:fill="auto"/>
                  <w:vAlign w:val="center"/>
                </w:tcPr>
                <w:p w14:paraId="4FC71150">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9</w:t>
                  </w:r>
                  <w:r>
                    <w:rPr>
                      <w:color w:val="auto"/>
                      <w:kern w:val="0"/>
                      <w:szCs w:val="21"/>
                      <w:highlight w:val="none"/>
                      <w:lang w:bidi="ar"/>
                    </w:rPr>
                    <w:t>m</w:t>
                  </w:r>
                  <w:r>
                    <w:rPr>
                      <w:color w:val="auto"/>
                      <w:kern w:val="0"/>
                      <w:szCs w:val="21"/>
                      <w:highlight w:val="none"/>
                      <w:vertAlign w:val="superscript"/>
                      <w:lang w:bidi="ar"/>
                    </w:rPr>
                    <w:t>3</w:t>
                  </w:r>
                </w:p>
              </w:tc>
              <w:tc>
                <w:tcPr>
                  <w:tcW w:w="846" w:type="pct"/>
                  <w:shd w:val="clear" w:color="auto" w:fill="auto"/>
                  <w:vAlign w:val="center"/>
                </w:tcPr>
                <w:p w14:paraId="22EFF72A">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6AE9DC93">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pacing w:val="-1"/>
                      <w:szCs w:val="21"/>
                      <w:highlight w:val="none"/>
                    </w:rPr>
                    <w:t>8</w:t>
                  </w:r>
                </w:p>
              </w:tc>
            </w:tr>
            <w:tr w14:paraId="594CCA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541" w:type="pct"/>
                  <w:shd w:val="clear" w:color="auto" w:fill="auto"/>
                  <w:vAlign w:val="center"/>
                </w:tcPr>
                <w:p w14:paraId="62A184B7">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8</w:t>
                  </w:r>
                </w:p>
              </w:tc>
              <w:tc>
                <w:tcPr>
                  <w:tcW w:w="1495" w:type="pct"/>
                  <w:shd w:val="clear" w:color="auto" w:fill="auto"/>
                  <w:vAlign w:val="center"/>
                </w:tcPr>
                <w:p w14:paraId="696D4A6D">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插入式振捣器</w:t>
                  </w:r>
                </w:p>
              </w:tc>
              <w:tc>
                <w:tcPr>
                  <w:tcW w:w="1258" w:type="pct"/>
                  <w:shd w:val="clear" w:color="auto" w:fill="auto"/>
                  <w:vAlign w:val="center"/>
                </w:tcPr>
                <w:p w14:paraId="20CD31A8">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2.2kW</w:t>
                  </w:r>
                </w:p>
              </w:tc>
              <w:tc>
                <w:tcPr>
                  <w:tcW w:w="846" w:type="pct"/>
                  <w:shd w:val="clear" w:color="auto" w:fill="auto"/>
                  <w:vAlign w:val="center"/>
                </w:tcPr>
                <w:p w14:paraId="7AF6CFBF">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台</w:t>
                  </w:r>
                </w:p>
              </w:tc>
              <w:tc>
                <w:tcPr>
                  <w:tcW w:w="856" w:type="pct"/>
                  <w:shd w:val="clear" w:color="auto" w:fill="auto"/>
                  <w:vAlign w:val="center"/>
                </w:tcPr>
                <w:p w14:paraId="698CCACB">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pacing w:val="-1"/>
                      <w:szCs w:val="21"/>
                      <w:highlight w:val="none"/>
                    </w:rPr>
                    <w:t>80</w:t>
                  </w:r>
                </w:p>
              </w:tc>
            </w:tr>
            <w:tr w14:paraId="71FCD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41" w:type="pct"/>
                  <w:shd w:val="clear" w:color="auto" w:fill="auto"/>
                  <w:vAlign w:val="center"/>
                </w:tcPr>
                <w:p w14:paraId="71F03BAC">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9</w:t>
                  </w:r>
                </w:p>
              </w:tc>
              <w:tc>
                <w:tcPr>
                  <w:tcW w:w="1495" w:type="pct"/>
                  <w:shd w:val="clear" w:color="auto" w:fill="auto"/>
                  <w:vAlign w:val="center"/>
                </w:tcPr>
                <w:p w14:paraId="282E255B">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混凝土搅拌车</w:t>
                  </w:r>
                </w:p>
              </w:tc>
              <w:tc>
                <w:tcPr>
                  <w:tcW w:w="1258" w:type="pct"/>
                  <w:shd w:val="clear" w:color="auto" w:fill="auto"/>
                  <w:vAlign w:val="center"/>
                </w:tcPr>
                <w:p w14:paraId="0D5BCEE1">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3</w:t>
                  </w:r>
                  <w:r>
                    <w:rPr>
                      <w:color w:val="auto"/>
                      <w:kern w:val="0"/>
                      <w:szCs w:val="21"/>
                      <w:highlight w:val="none"/>
                      <w:lang w:bidi="ar"/>
                    </w:rPr>
                    <w:t>m</w:t>
                  </w:r>
                  <w:r>
                    <w:rPr>
                      <w:color w:val="auto"/>
                      <w:kern w:val="0"/>
                      <w:szCs w:val="21"/>
                      <w:highlight w:val="none"/>
                      <w:vertAlign w:val="superscript"/>
                      <w:lang w:bidi="ar"/>
                    </w:rPr>
                    <w:t>3</w:t>
                  </w:r>
                </w:p>
              </w:tc>
              <w:tc>
                <w:tcPr>
                  <w:tcW w:w="846" w:type="pct"/>
                  <w:shd w:val="clear" w:color="auto" w:fill="auto"/>
                  <w:vAlign w:val="center"/>
                </w:tcPr>
                <w:p w14:paraId="161C57C5">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辆</w:t>
                  </w:r>
                </w:p>
              </w:tc>
              <w:tc>
                <w:tcPr>
                  <w:tcW w:w="856" w:type="pct"/>
                  <w:shd w:val="clear" w:color="auto" w:fill="auto"/>
                  <w:vAlign w:val="center"/>
                </w:tcPr>
                <w:p w14:paraId="585FE5B9">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pacing w:val="-7"/>
                      <w:szCs w:val="21"/>
                      <w:highlight w:val="none"/>
                    </w:rPr>
                    <w:t>20</w:t>
                  </w:r>
                </w:p>
              </w:tc>
            </w:tr>
            <w:tr w14:paraId="2DD046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541" w:type="pct"/>
                  <w:shd w:val="clear" w:color="auto" w:fill="auto"/>
                  <w:vAlign w:val="center"/>
                </w:tcPr>
                <w:p w14:paraId="0CBCC6B6">
                  <w:pPr>
                    <w:jc w:val="center"/>
                    <w:rPr>
                      <w:rFonts w:ascii="Times New Roman" w:hAnsi="Times New Roman" w:eastAsia="宋体" w:cs="Times New Roman"/>
                      <w:color w:val="auto"/>
                      <w:kern w:val="2"/>
                      <w:sz w:val="21"/>
                      <w:szCs w:val="21"/>
                      <w:highlight w:val="none"/>
                      <w:lang w:val="en-US" w:eastAsia="zh-CN" w:bidi="ar-SA"/>
                    </w:rPr>
                  </w:pPr>
                  <w:r>
                    <w:rPr>
                      <w:color w:val="auto"/>
                      <w:spacing w:val="-7"/>
                      <w:szCs w:val="21"/>
                      <w:highlight w:val="none"/>
                    </w:rPr>
                    <w:t>10</w:t>
                  </w:r>
                </w:p>
              </w:tc>
              <w:tc>
                <w:tcPr>
                  <w:tcW w:w="1495" w:type="pct"/>
                  <w:shd w:val="clear" w:color="auto" w:fill="auto"/>
                  <w:vAlign w:val="center"/>
                </w:tcPr>
                <w:p w14:paraId="411FE7BE">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混凝土输送泵</w:t>
                  </w:r>
                </w:p>
              </w:tc>
              <w:tc>
                <w:tcPr>
                  <w:tcW w:w="1258" w:type="pct"/>
                  <w:shd w:val="clear" w:color="auto" w:fill="auto"/>
                  <w:vAlign w:val="center"/>
                </w:tcPr>
                <w:p w14:paraId="000A43A3">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30</w:t>
                  </w:r>
                  <w:r>
                    <w:rPr>
                      <w:color w:val="auto"/>
                      <w:kern w:val="0"/>
                      <w:szCs w:val="21"/>
                      <w:highlight w:val="none"/>
                      <w:lang w:bidi="ar"/>
                    </w:rPr>
                    <w:t>m</w:t>
                  </w:r>
                  <w:r>
                    <w:rPr>
                      <w:color w:val="auto"/>
                      <w:kern w:val="0"/>
                      <w:szCs w:val="21"/>
                      <w:highlight w:val="none"/>
                      <w:vertAlign w:val="superscript"/>
                      <w:lang w:bidi="ar"/>
                    </w:rPr>
                    <w:t>3</w:t>
                  </w:r>
                  <w:r>
                    <w:rPr>
                      <w:rFonts w:hint="eastAsia"/>
                      <w:color w:val="auto"/>
                      <w:kern w:val="0"/>
                      <w:szCs w:val="21"/>
                      <w:highlight w:val="none"/>
                      <w:lang w:bidi="ar"/>
                    </w:rPr>
                    <w:t>/h</w:t>
                  </w:r>
                </w:p>
              </w:tc>
              <w:tc>
                <w:tcPr>
                  <w:tcW w:w="846" w:type="pct"/>
                  <w:shd w:val="clear" w:color="auto" w:fill="auto"/>
                  <w:vAlign w:val="center"/>
                </w:tcPr>
                <w:p w14:paraId="24D16F00">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台</w:t>
                  </w:r>
                </w:p>
              </w:tc>
              <w:tc>
                <w:tcPr>
                  <w:tcW w:w="856" w:type="pct"/>
                  <w:shd w:val="clear" w:color="auto" w:fill="auto"/>
                  <w:vAlign w:val="center"/>
                </w:tcPr>
                <w:p w14:paraId="119C21FB">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6</w:t>
                  </w:r>
                </w:p>
              </w:tc>
            </w:tr>
            <w:tr w14:paraId="0039F0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541" w:type="pct"/>
                  <w:shd w:val="clear" w:color="auto" w:fill="auto"/>
                  <w:vAlign w:val="center"/>
                </w:tcPr>
                <w:p w14:paraId="033C3C9D">
                  <w:pPr>
                    <w:jc w:val="center"/>
                    <w:rPr>
                      <w:rFonts w:ascii="Times New Roman" w:hAnsi="Times New Roman" w:eastAsia="宋体" w:cs="Times New Roman"/>
                      <w:color w:val="auto"/>
                      <w:kern w:val="2"/>
                      <w:sz w:val="21"/>
                      <w:szCs w:val="21"/>
                      <w:highlight w:val="none"/>
                      <w:lang w:val="en-US" w:eastAsia="zh-CN" w:bidi="ar-SA"/>
                    </w:rPr>
                  </w:pPr>
                  <w:r>
                    <w:rPr>
                      <w:color w:val="auto"/>
                      <w:spacing w:val="-7"/>
                      <w:szCs w:val="21"/>
                      <w:highlight w:val="none"/>
                    </w:rPr>
                    <w:t>11</w:t>
                  </w:r>
                </w:p>
              </w:tc>
              <w:tc>
                <w:tcPr>
                  <w:tcW w:w="1495" w:type="pct"/>
                  <w:shd w:val="clear" w:color="auto" w:fill="auto"/>
                  <w:vAlign w:val="center"/>
                </w:tcPr>
                <w:p w14:paraId="71F96B46">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塔吊</w:t>
                  </w:r>
                </w:p>
              </w:tc>
              <w:tc>
                <w:tcPr>
                  <w:tcW w:w="1258" w:type="pct"/>
                  <w:shd w:val="clear" w:color="auto" w:fill="auto"/>
                  <w:vAlign w:val="center"/>
                </w:tcPr>
                <w:p w14:paraId="20E8F766">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15t</w:t>
                  </w:r>
                </w:p>
              </w:tc>
              <w:tc>
                <w:tcPr>
                  <w:tcW w:w="846" w:type="pct"/>
                  <w:shd w:val="clear" w:color="auto" w:fill="auto"/>
                  <w:vAlign w:val="center"/>
                </w:tcPr>
                <w:p w14:paraId="33A96004">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台</w:t>
                  </w:r>
                </w:p>
              </w:tc>
              <w:tc>
                <w:tcPr>
                  <w:tcW w:w="856" w:type="pct"/>
                  <w:shd w:val="clear" w:color="auto" w:fill="auto"/>
                  <w:vAlign w:val="center"/>
                </w:tcPr>
                <w:p w14:paraId="5B14B58E">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6</w:t>
                  </w:r>
                </w:p>
              </w:tc>
            </w:tr>
            <w:tr w14:paraId="6F76CB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541" w:type="pct"/>
                  <w:shd w:val="clear" w:color="auto" w:fill="auto"/>
                  <w:vAlign w:val="center"/>
                </w:tcPr>
                <w:p w14:paraId="05DD8522">
                  <w:pPr>
                    <w:jc w:val="center"/>
                    <w:rPr>
                      <w:rFonts w:ascii="Times New Roman" w:hAnsi="Times New Roman" w:eastAsia="宋体" w:cs="Times New Roman"/>
                      <w:color w:val="auto"/>
                      <w:kern w:val="2"/>
                      <w:sz w:val="21"/>
                      <w:szCs w:val="21"/>
                      <w:highlight w:val="none"/>
                      <w:lang w:val="en-US" w:eastAsia="zh-CN" w:bidi="ar-SA"/>
                    </w:rPr>
                  </w:pPr>
                  <w:r>
                    <w:rPr>
                      <w:color w:val="auto"/>
                      <w:spacing w:val="-7"/>
                      <w:szCs w:val="21"/>
                      <w:highlight w:val="none"/>
                    </w:rPr>
                    <w:t>12</w:t>
                  </w:r>
                </w:p>
              </w:tc>
              <w:tc>
                <w:tcPr>
                  <w:tcW w:w="1495" w:type="pct"/>
                  <w:shd w:val="clear" w:color="auto" w:fill="auto"/>
                  <w:vAlign w:val="center"/>
                </w:tcPr>
                <w:p w14:paraId="15B4B3B7">
                  <w:pPr>
                    <w:widowControl/>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汽车吊</w:t>
                  </w:r>
                </w:p>
              </w:tc>
              <w:tc>
                <w:tcPr>
                  <w:tcW w:w="1258" w:type="pct"/>
                  <w:shd w:val="clear" w:color="auto" w:fill="auto"/>
                  <w:vAlign w:val="center"/>
                </w:tcPr>
                <w:p w14:paraId="3FEF67EF">
                  <w:pPr>
                    <w:widowControl/>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color w:val="auto"/>
                      <w:kern w:val="0"/>
                      <w:szCs w:val="21"/>
                      <w:highlight w:val="none"/>
                      <w:lang w:bidi="ar"/>
                    </w:rPr>
                    <w:t>20t</w:t>
                  </w:r>
                </w:p>
              </w:tc>
              <w:tc>
                <w:tcPr>
                  <w:tcW w:w="846" w:type="pct"/>
                  <w:shd w:val="clear" w:color="auto" w:fill="auto"/>
                  <w:vAlign w:val="center"/>
                </w:tcPr>
                <w:p w14:paraId="2A896A54">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0"/>
                      <w:szCs w:val="21"/>
                      <w:highlight w:val="none"/>
                      <w:lang w:bidi="ar"/>
                    </w:rPr>
                    <w:t>台</w:t>
                  </w:r>
                </w:p>
              </w:tc>
              <w:tc>
                <w:tcPr>
                  <w:tcW w:w="856" w:type="pct"/>
                  <w:shd w:val="clear" w:color="auto" w:fill="auto"/>
                  <w:vAlign w:val="center"/>
                </w:tcPr>
                <w:p w14:paraId="3ABB9FCF">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6</w:t>
                  </w:r>
                </w:p>
              </w:tc>
            </w:tr>
            <w:tr w14:paraId="637FE8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5000" w:type="pct"/>
                  <w:gridSpan w:val="5"/>
                  <w:shd w:val="clear" w:color="auto" w:fill="auto"/>
                  <w:vAlign w:val="center"/>
                </w:tcPr>
                <w:p w14:paraId="2B2D564F">
                  <w:pPr>
                    <w:jc w:val="center"/>
                    <w:rPr>
                      <w:rFonts w:hint="eastAsia" w:eastAsia="宋体"/>
                      <w:color w:val="auto"/>
                      <w:szCs w:val="21"/>
                      <w:highlight w:val="none"/>
                      <w:lang w:eastAsia="zh-CN"/>
                    </w:rPr>
                  </w:pPr>
                  <w:r>
                    <w:rPr>
                      <w:rFonts w:hint="eastAsia"/>
                      <w:color w:val="auto"/>
                      <w:szCs w:val="21"/>
                      <w:highlight w:val="none"/>
                      <w:lang w:eastAsia="zh-CN"/>
                    </w:rPr>
                    <w:t>环保设备</w:t>
                  </w:r>
                </w:p>
              </w:tc>
            </w:tr>
            <w:tr w14:paraId="51C234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541" w:type="pct"/>
                  <w:shd w:val="clear" w:color="auto" w:fill="auto"/>
                  <w:vAlign w:val="center"/>
                </w:tcPr>
                <w:p w14:paraId="2199D267">
                  <w:pPr>
                    <w:jc w:val="center"/>
                    <w:rPr>
                      <w:rFonts w:hint="eastAsia" w:eastAsia="宋体"/>
                      <w:color w:val="auto"/>
                      <w:spacing w:val="-7"/>
                      <w:szCs w:val="21"/>
                      <w:highlight w:val="none"/>
                      <w:lang w:val="en-US" w:eastAsia="zh-CN"/>
                    </w:rPr>
                  </w:pPr>
                  <w:r>
                    <w:rPr>
                      <w:rFonts w:hint="eastAsia"/>
                      <w:color w:val="auto"/>
                      <w:spacing w:val="-7"/>
                      <w:szCs w:val="21"/>
                      <w:highlight w:val="none"/>
                      <w:lang w:val="en-US" w:eastAsia="zh-CN"/>
                    </w:rPr>
                    <w:t>1</w:t>
                  </w:r>
                </w:p>
              </w:tc>
              <w:tc>
                <w:tcPr>
                  <w:tcW w:w="1495" w:type="pct"/>
                  <w:shd w:val="clear" w:color="auto" w:fill="auto"/>
                  <w:vAlign w:val="center"/>
                </w:tcPr>
                <w:p w14:paraId="78162F08">
                  <w:pPr>
                    <w:widowControl/>
                    <w:jc w:val="center"/>
                    <w:textAlignment w:val="center"/>
                    <w:rPr>
                      <w:rFonts w:hint="eastAsia" w:eastAsia="宋体"/>
                      <w:color w:val="auto"/>
                      <w:kern w:val="0"/>
                      <w:szCs w:val="21"/>
                      <w:highlight w:val="none"/>
                      <w:lang w:eastAsia="zh-CN" w:bidi="ar"/>
                    </w:rPr>
                  </w:pPr>
                  <w:r>
                    <w:rPr>
                      <w:rFonts w:hint="eastAsia"/>
                      <w:color w:val="auto"/>
                      <w:kern w:val="0"/>
                      <w:szCs w:val="21"/>
                      <w:highlight w:val="none"/>
                      <w:lang w:eastAsia="zh-CN" w:bidi="ar"/>
                    </w:rPr>
                    <w:t>洒水设备</w:t>
                  </w:r>
                </w:p>
              </w:tc>
              <w:tc>
                <w:tcPr>
                  <w:tcW w:w="1258" w:type="pct"/>
                  <w:shd w:val="clear" w:color="auto" w:fill="auto"/>
                  <w:vAlign w:val="center"/>
                </w:tcPr>
                <w:p w14:paraId="5898188F">
                  <w:pPr>
                    <w:widowControl/>
                    <w:jc w:val="center"/>
                    <w:textAlignment w:val="center"/>
                    <w:rPr>
                      <w:rFonts w:hint="eastAsia" w:eastAsia="宋体"/>
                      <w:color w:val="auto"/>
                      <w:kern w:val="0"/>
                      <w:szCs w:val="21"/>
                      <w:highlight w:val="none"/>
                      <w:lang w:val="en-US" w:eastAsia="zh-CN" w:bidi="ar"/>
                    </w:rPr>
                  </w:pPr>
                  <w:r>
                    <w:rPr>
                      <w:rFonts w:hint="eastAsia"/>
                      <w:color w:val="auto"/>
                      <w:kern w:val="0"/>
                      <w:szCs w:val="21"/>
                      <w:highlight w:val="none"/>
                      <w:lang w:val="en-US" w:eastAsia="zh-CN" w:bidi="ar"/>
                    </w:rPr>
                    <w:t>/</w:t>
                  </w:r>
                </w:p>
              </w:tc>
              <w:tc>
                <w:tcPr>
                  <w:tcW w:w="846" w:type="pct"/>
                  <w:shd w:val="clear" w:color="auto" w:fill="auto"/>
                  <w:vAlign w:val="center"/>
                </w:tcPr>
                <w:p w14:paraId="3D78154A">
                  <w:pPr>
                    <w:jc w:val="center"/>
                    <w:rPr>
                      <w:rFonts w:hint="eastAsia" w:eastAsia="宋体"/>
                      <w:color w:val="auto"/>
                      <w:szCs w:val="21"/>
                      <w:highlight w:val="none"/>
                      <w:lang w:eastAsia="zh-CN"/>
                    </w:rPr>
                  </w:pPr>
                  <w:r>
                    <w:rPr>
                      <w:rFonts w:hint="eastAsia"/>
                      <w:color w:val="auto"/>
                      <w:szCs w:val="21"/>
                      <w:highlight w:val="none"/>
                      <w:lang w:eastAsia="zh-CN"/>
                    </w:rPr>
                    <w:t>台</w:t>
                  </w:r>
                </w:p>
              </w:tc>
              <w:tc>
                <w:tcPr>
                  <w:tcW w:w="856" w:type="pct"/>
                  <w:shd w:val="clear" w:color="auto" w:fill="auto"/>
                  <w:vAlign w:val="center"/>
                </w:tcPr>
                <w:p w14:paraId="2B5AB77F">
                  <w:pPr>
                    <w:jc w:val="center"/>
                    <w:rPr>
                      <w:rFonts w:hint="default" w:eastAsia="宋体"/>
                      <w:color w:val="auto"/>
                      <w:szCs w:val="21"/>
                      <w:highlight w:val="none"/>
                      <w:lang w:val="en-US" w:eastAsia="zh-CN"/>
                    </w:rPr>
                  </w:pPr>
                  <w:r>
                    <w:rPr>
                      <w:rFonts w:hint="eastAsia"/>
                      <w:color w:val="auto"/>
                      <w:szCs w:val="21"/>
                      <w:highlight w:val="none"/>
                      <w:lang w:val="en-US" w:eastAsia="zh-CN"/>
                    </w:rPr>
                    <w:t>9</w:t>
                  </w:r>
                </w:p>
              </w:tc>
            </w:tr>
          </w:tbl>
          <w:p w14:paraId="2A20AB00">
            <w:pPr>
              <w:spacing w:line="360" w:lineRule="auto"/>
              <w:ind w:firstLine="502" w:firstLineChars="200"/>
              <w:rPr>
                <w:b/>
                <w:bCs/>
                <w:color w:val="auto"/>
                <w:sz w:val="24"/>
                <w:highlight w:val="none"/>
              </w:rPr>
            </w:pPr>
            <w:r>
              <w:rPr>
                <w:b/>
                <w:bCs/>
                <w:color w:val="auto"/>
                <w:spacing w:val="5"/>
                <w:sz w:val="24"/>
                <w:highlight w:val="none"/>
              </w:rPr>
              <w:t>六、施工进度及运营维护安排</w:t>
            </w:r>
          </w:p>
          <w:p w14:paraId="424CEE80">
            <w:pPr>
              <w:spacing w:line="360" w:lineRule="auto"/>
              <w:ind w:firstLine="417"/>
              <w:rPr>
                <w:color w:val="auto"/>
                <w:sz w:val="24"/>
                <w:highlight w:val="none"/>
              </w:rPr>
            </w:pPr>
            <w:r>
              <w:rPr>
                <w:color w:val="auto"/>
                <w:spacing w:val="3"/>
                <w:sz w:val="24"/>
                <w:highlight w:val="none"/>
              </w:rPr>
              <w:t>建设项目总工期为</w:t>
            </w:r>
            <w:r>
              <w:rPr>
                <w:rFonts w:hint="eastAsia"/>
                <w:color w:val="auto"/>
                <w:spacing w:val="3"/>
                <w:sz w:val="24"/>
                <w:highlight w:val="none"/>
              </w:rPr>
              <w:t>21</w:t>
            </w:r>
            <w:r>
              <w:rPr>
                <w:color w:val="auto"/>
                <w:spacing w:val="3"/>
                <w:sz w:val="24"/>
                <w:highlight w:val="none"/>
              </w:rPr>
              <w:t>个月，预计从20</w:t>
            </w:r>
            <w:r>
              <w:rPr>
                <w:rFonts w:hint="eastAsia"/>
                <w:color w:val="auto"/>
                <w:spacing w:val="3"/>
                <w:sz w:val="24"/>
                <w:highlight w:val="none"/>
              </w:rPr>
              <w:t>26</w:t>
            </w:r>
            <w:r>
              <w:rPr>
                <w:color w:val="auto"/>
                <w:spacing w:val="3"/>
                <w:sz w:val="24"/>
                <w:highlight w:val="none"/>
              </w:rPr>
              <w:t>年</w:t>
            </w:r>
            <w:r>
              <w:rPr>
                <w:rFonts w:hint="eastAsia"/>
                <w:color w:val="auto"/>
                <w:spacing w:val="3"/>
                <w:sz w:val="24"/>
                <w:highlight w:val="none"/>
              </w:rPr>
              <w:t>04</w:t>
            </w:r>
            <w:r>
              <w:rPr>
                <w:color w:val="auto"/>
                <w:spacing w:val="3"/>
                <w:sz w:val="24"/>
                <w:highlight w:val="none"/>
              </w:rPr>
              <w:t>月份开始到202</w:t>
            </w:r>
            <w:r>
              <w:rPr>
                <w:rFonts w:hint="eastAsia"/>
                <w:color w:val="auto"/>
                <w:spacing w:val="3"/>
                <w:sz w:val="24"/>
                <w:highlight w:val="none"/>
              </w:rPr>
              <w:t>7</w:t>
            </w:r>
            <w:r>
              <w:rPr>
                <w:color w:val="auto"/>
                <w:spacing w:val="3"/>
                <w:sz w:val="24"/>
                <w:highlight w:val="none"/>
              </w:rPr>
              <w:t>年12月份结束。</w:t>
            </w:r>
            <w:r>
              <w:rPr>
                <w:color w:val="auto"/>
                <w:spacing w:val="9"/>
                <w:sz w:val="24"/>
                <w:highlight w:val="none"/>
              </w:rPr>
              <w:t>夜晚及午间休息时段不进行施工作业。</w:t>
            </w:r>
          </w:p>
          <w:p w14:paraId="1C6673A0">
            <w:pPr>
              <w:spacing w:line="360" w:lineRule="auto"/>
              <w:ind w:firstLine="482" w:firstLineChars="200"/>
              <w:rPr>
                <w:b/>
                <w:bCs/>
                <w:color w:val="auto"/>
                <w:sz w:val="24"/>
                <w:highlight w:val="none"/>
              </w:rPr>
            </w:pPr>
            <w:r>
              <w:rPr>
                <w:b/>
                <w:bCs/>
                <w:color w:val="auto"/>
                <w:sz w:val="24"/>
                <w:highlight w:val="none"/>
              </w:rPr>
              <w:t>七、公用工程</w:t>
            </w:r>
          </w:p>
          <w:p w14:paraId="216E93C6">
            <w:pPr>
              <w:spacing w:line="360" w:lineRule="auto"/>
              <w:ind w:firstLine="552" w:firstLineChars="200"/>
              <w:rPr>
                <w:color w:val="auto"/>
                <w:sz w:val="24"/>
                <w:highlight w:val="none"/>
              </w:rPr>
            </w:pPr>
            <w:r>
              <w:rPr>
                <w:color w:val="auto"/>
                <w:spacing w:val="18"/>
                <w:sz w:val="24"/>
                <w:highlight w:val="none"/>
              </w:rPr>
              <w:t>①</w:t>
            </w:r>
            <w:r>
              <w:rPr>
                <w:color w:val="auto"/>
                <w:spacing w:val="17"/>
                <w:sz w:val="24"/>
                <w:highlight w:val="none"/>
              </w:rPr>
              <w:t>供</w:t>
            </w:r>
            <w:r>
              <w:rPr>
                <w:color w:val="auto"/>
                <w:spacing w:val="9"/>
                <w:sz w:val="24"/>
                <w:highlight w:val="none"/>
              </w:rPr>
              <w:t>电：建设项目运营期不需要供电。施工期临时用电由施工区域的市政电网供给。</w:t>
            </w:r>
          </w:p>
          <w:p w14:paraId="2A27D3D2">
            <w:pPr>
              <w:spacing w:line="360" w:lineRule="auto"/>
              <w:ind w:firstLine="512" w:firstLineChars="200"/>
              <w:rPr>
                <w:color w:val="auto"/>
                <w:sz w:val="24"/>
                <w:highlight w:val="none"/>
              </w:rPr>
            </w:pPr>
            <w:r>
              <w:rPr>
                <w:color w:val="auto"/>
                <w:spacing w:val="8"/>
                <w:sz w:val="24"/>
                <w:highlight w:val="none"/>
              </w:rPr>
              <w:t>②供水：</w:t>
            </w:r>
            <w:r>
              <w:rPr>
                <w:color w:val="auto"/>
                <w:sz w:val="24"/>
                <w:szCs w:val="32"/>
                <w:highlight w:val="none"/>
              </w:rPr>
              <w:t>本工程施工供水及生活用水以附近村庄、工厂接运自来水水方式解决</w:t>
            </w:r>
            <w:r>
              <w:rPr>
                <w:color w:val="auto"/>
                <w:spacing w:val="9"/>
                <w:sz w:val="24"/>
                <w:highlight w:val="none"/>
              </w:rPr>
              <w:t>；项目运营期不配备工作人员，无需供水。</w:t>
            </w:r>
          </w:p>
          <w:p w14:paraId="54F5DE4E">
            <w:pPr>
              <w:spacing w:line="360" w:lineRule="auto"/>
              <w:ind w:firstLine="419"/>
              <w:rPr>
                <w:bCs/>
                <w:color w:val="auto"/>
                <w:sz w:val="24"/>
                <w:highlight w:val="none"/>
              </w:rPr>
            </w:pPr>
            <w:r>
              <w:rPr>
                <w:color w:val="auto"/>
                <w:spacing w:val="17"/>
                <w:sz w:val="24"/>
                <w:highlight w:val="none"/>
              </w:rPr>
              <w:t>③</w:t>
            </w:r>
            <w:r>
              <w:rPr>
                <w:color w:val="auto"/>
                <w:spacing w:val="9"/>
                <w:sz w:val="24"/>
                <w:highlight w:val="none"/>
              </w:rPr>
              <w:t>排水：</w:t>
            </w:r>
            <w:r>
              <w:rPr>
                <w:color w:val="auto"/>
                <w:spacing w:val="7"/>
                <w:sz w:val="24"/>
                <w:highlight w:val="none"/>
              </w:rPr>
              <w:t>施工期间临时生活区产生</w:t>
            </w:r>
            <w:r>
              <w:rPr>
                <w:color w:val="auto"/>
                <w:spacing w:val="2"/>
                <w:sz w:val="24"/>
                <w:highlight w:val="none"/>
              </w:rPr>
              <w:t>的</w:t>
            </w:r>
            <w:r>
              <w:rPr>
                <w:color w:val="auto"/>
                <w:spacing w:val="7"/>
                <w:sz w:val="24"/>
                <w:highlight w:val="none"/>
              </w:rPr>
              <w:t>生活污水定期由当地居民清运肥田，不外排</w:t>
            </w:r>
            <w:r>
              <w:rPr>
                <w:color w:val="auto"/>
                <w:spacing w:val="4"/>
                <w:sz w:val="24"/>
                <w:highlight w:val="none"/>
              </w:rPr>
              <w:t>；</w:t>
            </w:r>
            <w:r>
              <w:rPr>
                <w:bCs/>
                <w:color w:val="auto"/>
                <w:sz w:val="24"/>
                <w:highlight w:val="none"/>
              </w:rPr>
              <w:t>混凝土养护废水通过在混凝土浇筑量大的施工区设置沉淀池处理，处理后回用于地面洒水降尘，不外排；机械车辆冲洗废水</w:t>
            </w:r>
            <w:r>
              <w:rPr>
                <w:color w:val="auto"/>
                <w:spacing w:val="5"/>
                <w:sz w:val="24"/>
                <w:highlight w:val="none"/>
              </w:rPr>
              <w:t>设置</w:t>
            </w:r>
            <w:r>
              <w:rPr>
                <w:rFonts w:hint="eastAsia"/>
                <w:color w:val="auto"/>
                <w:spacing w:val="5"/>
                <w:sz w:val="24"/>
                <w:highlight w:val="none"/>
                <w:lang w:eastAsia="zh-CN"/>
              </w:rPr>
              <w:t>隔油</w:t>
            </w:r>
            <w:r>
              <w:rPr>
                <w:rFonts w:hint="eastAsia"/>
                <w:color w:val="auto"/>
                <w:spacing w:val="7"/>
                <w:sz w:val="24"/>
                <w:highlight w:val="none"/>
                <w:lang w:eastAsia="zh-CN"/>
              </w:rPr>
              <w:t>沉淀池</w:t>
            </w:r>
            <w:r>
              <w:rPr>
                <w:color w:val="auto"/>
                <w:spacing w:val="7"/>
                <w:sz w:val="24"/>
                <w:highlight w:val="none"/>
              </w:rPr>
              <w:t>处理，处理</w:t>
            </w:r>
            <w:r>
              <w:rPr>
                <w:color w:val="auto"/>
                <w:spacing w:val="4"/>
                <w:sz w:val="24"/>
                <w:highlight w:val="none"/>
              </w:rPr>
              <w:t>后</w:t>
            </w:r>
            <w:r>
              <w:rPr>
                <w:rFonts w:hint="eastAsia"/>
                <w:bCs/>
                <w:color w:val="auto"/>
                <w:sz w:val="24"/>
                <w:highlight w:val="none"/>
                <w:lang w:eastAsia="zh-CN"/>
              </w:rPr>
              <w:t>可循环使用于施工机械及车辆清洗，多余部分作为施工场地防尘用水，不排放</w:t>
            </w:r>
            <w:r>
              <w:rPr>
                <w:bCs/>
                <w:color w:val="auto"/>
                <w:sz w:val="24"/>
                <w:highlight w:val="none"/>
              </w:rPr>
              <w:t>。</w:t>
            </w:r>
          </w:p>
          <w:p w14:paraId="45B9F725">
            <w:pPr>
              <w:spacing w:line="360" w:lineRule="auto"/>
              <w:ind w:firstLine="419"/>
              <w:rPr>
                <w:rFonts w:hint="default" w:ascii="Times New Roman" w:hAnsi="Times New Roman" w:eastAsia="宋体" w:cs="Times New Roman"/>
                <w:bCs/>
                <w:color w:val="auto"/>
                <w:sz w:val="24"/>
                <w:highlight w:val="none"/>
                <w:lang w:eastAsia="zh-CN"/>
              </w:rPr>
            </w:pPr>
            <w:r>
              <w:rPr>
                <w:color w:val="auto"/>
                <w:spacing w:val="8"/>
                <w:sz w:val="24"/>
                <w:highlight w:val="none"/>
              </w:rPr>
              <w:t>④材料运输：</w:t>
            </w:r>
            <w:r>
              <w:rPr>
                <w:rFonts w:hint="default" w:ascii="Times New Roman" w:hAnsi="Times New Roman" w:eastAsia="宋体" w:cs="Times New Roman"/>
                <w:bCs/>
                <w:color w:val="auto"/>
                <w:sz w:val="24"/>
                <w:highlight w:val="none"/>
                <w:lang w:eastAsia="zh-CN"/>
              </w:rPr>
              <w:t>施工生产、生活物资可到就近区、乡镇、街道采购。水泥、钢材、木材、柴油和汽油均在</w:t>
            </w:r>
            <w:r>
              <w:rPr>
                <w:rFonts w:hint="eastAsia" w:ascii="Times New Roman" w:hAnsi="Times New Roman" w:eastAsia="宋体" w:cs="Times New Roman"/>
                <w:bCs/>
                <w:color w:val="auto"/>
                <w:sz w:val="24"/>
                <w:highlight w:val="none"/>
                <w:lang w:eastAsia="zh-CN"/>
              </w:rPr>
              <w:t>淄博市内</w:t>
            </w:r>
            <w:r>
              <w:rPr>
                <w:rFonts w:hint="default" w:ascii="Times New Roman" w:hAnsi="Times New Roman" w:eastAsia="宋体" w:cs="Times New Roman"/>
                <w:bCs/>
                <w:color w:val="auto"/>
                <w:sz w:val="24"/>
                <w:highlight w:val="none"/>
                <w:lang w:eastAsia="zh-CN"/>
              </w:rPr>
              <w:t>购买，汽车运输；所需块石、碎石、粗砂等骨料，可从青州等地购买，商品混凝土可就近自</w:t>
            </w:r>
            <w:r>
              <w:rPr>
                <w:rFonts w:hint="eastAsia" w:ascii="Times New Roman" w:hAnsi="Times New Roman" w:eastAsia="宋体" w:cs="Times New Roman"/>
                <w:bCs/>
                <w:color w:val="auto"/>
                <w:sz w:val="24"/>
                <w:highlight w:val="none"/>
                <w:lang w:eastAsia="zh-CN"/>
              </w:rPr>
              <w:t>淄博市内</w:t>
            </w:r>
            <w:r>
              <w:rPr>
                <w:rFonts w:hint="default" w:ascii="Times New Roman" w:hAnsi="Times New Roman" w:eastAsia="宋体" w:cs="Times New Roman"/>
                <w:bCs/>
                <w:color w:val="auto"/>
                <w:sz w:val="24"/>
                <w:highlight w:val="none"/>
                <w:lang w:eastAsia="zh-CN"/>
              </w:rPr>
              <w:t>购买，其他建筑材料可直接自当地建材批发市场购买。</w:t>
            </w:r>
          </w:p>
          <w:p w14:paraId="76707C78">
            <w:pPr>
              <w:spacing w:line="360" w:lineRule="auto"/>
              <w:ind w:firstLine="419"/>
              <w:rPr>
                <w:color w:val="auto"/>
                <w:kern w:val="0"/>
                <w:szCs w:val="21"/>
                <w:highlight w:val="none"/>
              </w:rPr>
            </w:pPr>
            <w:r>
              <w:rPr>
                <w:rFonts w:hint="default" w:ascii="Times New Roman" w:hAnsi="Times New Roman" w:eastAsia="宋体" w:cs="Times New Roman"/>
                <w:bCs/>
                <w:color w:val="auto"/>
                <w:sz w:val="24"/>
                <w:highlight w:val="none"/>
                <w:lang w:eastAsia="zh-CN"/>
              </w:rPr>
              <w:t>工程施工所需施工机械设备及其他材料，均可经以上交通道路运至工程区附近，再结合施工期间修筑的场内临时施工道路直接运至施工现场。</w:t>
            </w:r>
          </w:p>
        </w:tc>
      </w:tr>
      <w:tr w14:paraId="106713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11" w:type="pct"/>
            <w:vAlign w:val="center"/>
          </w:tcPr>
          <w:p w14:paraId="6F17B8BA">
            <w:pPr>
              <w:jc w:val="center"/>
              <w:rPr>
                <w:color w:val="auto"/>
                <w:kern w:val="0"/>
                <w:szCs w:val="21"/>
                <w:highlight w:val="none"/>
              </w:rPr>
            </w:pPr>
            <w:r>
              <w:rPr>
                <w:color w:val="auto"/>
                <w:kern w:val="0"/>
                <w:sz w:val="24"/>
                <w:highlight w:val="none"/>
              </w:rPr>
              <w:t>总平面及现场布置</w:t>
            </w:r>
          </w:p>
        </w:tc>
        <w:tc>
          <w:tcPr>
            <w:tcW w:w="4688" w:type="pct"/>
            <w:vAlign w:val="center"/>
          </w:tcPr>
          <w:p w14:paraId="7C16AB7B">
            <w:pPr>
              <w:widowControl/>
              <w:spacing w:line="360" w:lineRule="auto"/>
              <w:ind w:left="420"/>
              <w:rPr>
                <w:b/>
                <w:bCs/>
                <w:color w:val="auto"/>
                <w:kern w:val="0"/>
                <w:sz w:val="24"/>
                <w:highlight w:val="none"/>
                <w:lang w:bidi="ar"/>
              </w:rPr>
            </w:pPr>
            <w:r>
              <w:rPr>
                <w:b/>
                <w:bCs/>
                <w:color w:val="auto"/>
                <w:kern w:val="0"/>
                <w:sz w:val="24"/>
                <w:highlight w:val="none"/>
                <w:lang w:bidi="ar"/>
              </w:rPr>
              <w:t>一、总平面布置</w:t>
            </w:r>
          </w:p>
          <w:p w14:paraId="0CBD8DE4">
            <w:pPr>
              <w:pStyle w:val="46"/>
              <w:rPr>
                <w:bCs/>
                <w:color w:val="auto"/>
                <w:sz w:val="24"/>
                <w:highlight w:val="none"/>
              </w:rPr>
            </w:pPr>
            <w:r>
              <w:rPr>
                <w:bCs/>
                <w:color w:val="auto"/>
                <w:sz w:val="24"/>
                <w:highlight w:val="none"/>
              </w:rPr>
              <w:t>本项目对淄博经济开发区内</w:t>
            </w:r>
            <w:r>
              <w:rPr>
                <w:rFonts w:hint="eastAsia"/>
                <w:bCs/>
                <w:color w:val="auto"/>
                <w:sz w:val="24"/>
                <w:highlight w:val="none"/>
              </w:rPr>
              <w:t>涝淄河、漫泗河、东猪龙河上游东西支等中小河流综合治理工程，主要对河道进行疏浚改造，岸坡护砌，桥梁改造、截污管道等工程，减轻河道淤积萎缩，保持河道畅通和河势稳定，恢复河道行洪能力。改造河道总长约13.18km。</w:t>
            </w:r>
          </w:p>
          <w:p w14:paraId="5EF90F36">
            <w:pPr>
              <w:pStyle w:val="46"/>
              <w:rPr>
                <w:bCs/>
                <w:color w:val="auto"/>
                <w:sz w:val="24"/>
                <w:highlight w:val="none"/>
              </w:rPr>
            </w:pPr>
            <w:r>
              <w:rPr>
                <w:rFonts w:hint="eastAsia"/>
                <w:bCs/>
                <w:color w:val="auto"/>
                <w:sz w:val="24"/>
                <w:highlight w:val="none"/>
              </w:rPr>
              <w:t>对淄博经济开发区瓦村沟、暖水河、焕然河、三泉沟、白蛇沟、袁家河、天津路排涝沟、小旦村大高村排涝沟等排涝河道提升治理工程，通过河道清障、清淤疏浚、岸坡整治、生态提升等综合措施，提升经开区综合排涝能力。改造排涝沟总长约29.57km。</w:t>
            </w:r>
          </w:p>
          <w:p w14:paraId="13C96AFA">
            <w:pPr>
              <w:pStyle w:val="46"/>
              <w:ind w:left="560" w:firstLine="0"/>
              <w:rPr>
                <w:bCs/>
                <w:color w:val="auto"/>
                <w:sz w:val="24"/>
                <w:highlight w:val="none"/>
              </w:rPr>
            </w:pPr>
            <w:r>
              <w:rPr>
                <w:rFonts w:hint="eastAsia"/>
                <w:bCs/>
                <w:color w:val="auto"/>
                <w:sz w:val="24"/>
                <w:highlight w:val="none"/>
              </w:rPr>
              <w:t>（一）河道及排涝沟</w:t>
            </w:r>
          </w:p>
          <w:p w14:paraId="3119C2ED">
            <w:pPr>
              <w:pStyle w:val="46"/>
              <w:ind w:left="560" w:firstLine="0"/>
              <w:rPr>
                <w:bCs/>
                <w:color w:val="auto"/>
                <w:sz w:val="24"/>
                <w:highlight w:val="none"/>
              </w:rPr>
            </w:pPr>
            <w:r>
              <w:rPr>
                <w:rFonts w:hint="eastAsia"/>
                <w:bCs/>
                <w:color w:val="auto"/>
                <w:sz w:val="24"/>
                <w:highlight w:val="none"/>
              </w:rPr>
              <w:t>1、</w:t>
            </w:r>
            <w:r>
              <w:rPr>
                <w:bCs/>
                <w:color w:val="auto"/>
                <w:sz w:val="24"/>
                <w:highlight w:val="none"/>
              </w:rPr>
              <w:t>涝淄河治理工程</w:t>
            </w:r>
            <w:r>
              <w:rPr>
                <w:rFonts w:hint="eastAsia"/>
                <w:bCs/>
                <w:color w:val="auto"/>
                <w:sz w:val="24"/>
                <w:highlight w:val="none"/>
              </w:rPr>
              <w:t>：</w:t>
            </w:r>
          </w:p>
          <w:p w14:paraId="4457CA3A">
            <w:pPr>
              <w:pStyle w:val="46"/>
              <w:rPr>
                <w:bCs/>
                <w:color w:val="auto"/>
                <w:sz w:val="24"/>
                <w:highlight w:val="none"/>
              </w:rPr>
            </w:pPr>
            <w:r>
              <w:rPr>
                <w:rFonts w:hint="eastAsia"/>
                <w:bCs/>
                <w:color w:val="auto"/>
                <w:sz w:val="24"/>
                <w:highlight w:val="none"/>
              </w:rPr>
              <w:t>治理范围为胶济铁路至大高水库，总长约3.88公里。以防洪及生态水系提升为主，包括河道清淤扩挖、岸坡护砌，改建桥梁8座，新建防汛道路</w:t>
            </w:r>
            <w:r>
              <w:rPr>
                <w:rFonts w:hint="eastAsia"/>
                <w:bCs/>
                <w:color w:val="auto"/>
                <w:sz w:val="24"/>
                <w:highlight w:val="none"/>
                <w:lang w:val="en-US" w:eastAsia="zh-CN"/>
              </w:rPr>
              <w:t>2.9</w:t>
            </w:r>
            <w:r>
              <w:rPr>
                <w:rFonts w:hint="eastAsia"/>
                <w:bCs/>
                <w:color w:val="auto"/>
                <w:sz w:val="24"/>
                <w:highlight w:val="none"/>
              </w:rPr>
              <w:t>公里，沿河新建截污管道1850m。</w:t>
            </w:r>
          </w:p>
          <w:p w14:paraId="76F5DB86">
            <w:pPr>
              <w:pStyle w:val="46"/>
              <w:ind w:left="560" w:firstLine="0"/>
              <w:rPr>
                <w:bCs/>
                <w:color w:val="auto"/>
                <w:sz w:val="24"/>
                <w:highlight w:val="none"/>
              </w:rPr>
            </w:pPr>
            <w:r>
              <w:rPr>
                <w:rFonts w:hint="eastAsia"/>
                <w:bCs/>
                <w:color w:val="auto"/>
                <w:sz w:val="24"/>
                <w:highlight w:val="none"/>
              </w:rPr>
              <w:t>2、漫泗河通道</w:t>
            </w:r>
          </w:p>
          <w:p w14:paraId="50F39652">
            <w:pPr>
              <w:pStyle w:val="46"/>
              <w:rPr>
                <w:bCs/>
                <w:color w:val="auto"/>
                <w:sz w:val="24"/>
                <w:highlight w:val="none"/>
              </w:rPr>
            </w:pPr>
            <w:r>
              <w:rPr>
                <w:rFonts w:hint="eastAsia"/>
                <w:bCs/>
                <w:color w:val="auto"/>
                <w:sz w:val="24"/>
                <w:highlight w:val="none"/>
              </w:rPr>
              <w:t>漫泗河治理范围为漫泗河村（一期治理终点）至旦村水库，总长约2.23公里。以防洪及生态水系提升为主，包括河道清淤扩挖、岸坡护砌。</w:t>
            </w:r>
          </w:p>
          <w:p w14:paraId="2BDA9E55">
            <w:pPr>
              <w:pStyle w:val="46"/>
              <w:rPr>
                <w:bCs/>
                <w:color w:val="auto"/>
                <w:sz w:val="24"/>
                <w:highlight w:val="none"/>
              </w:rPr>
            </w:pPr>
            <w:r>
              <w:rPr>
                <w:rFonts w:hint="eastAsia"/>
                <w:bCs/>
                <w:color w:val="auto"/>
                <w:sz w:val="24"/>
                <w:highlight w:val="none"/>
              </w:rPr>
              <w:t>3、猪龙河东支通道</w:t>
            </w:r>
          </w:p>
          <w:p w14:paraId="7CF8F4D9">
            <w:pPr>
              <w:pStyle w:val="46"/>
              <w:rPr>
                <w:bCs/>
                <w:color w:val="auto"/>
                <w:sz w:val="24"/>
                <w:highlight w:val="none"/>
              </w:rPr>
            </w:pPr>
            <w:r>
              <w:rPr>
                <w:rFonts w:hint="eastAsia"/>
                <w:bCs/>
                <w:color w:val="auto"/>
                <w:sz w:val="24"/>
                <w:highlight w:val="none"/>
              </w:rPr>
              <w:t>猪龙河东支治理范围为东四路至朝阳路，总长约1.9公里。</w:t>
            </w:r>
          </w:p>
          <w:p w14:paraId="75D61E18">
            <w:pPr>
              <w:pStyle w:val="46"/>
              <w:rPr>
                <w:bCs/>
                <w:color w:val="auto"/>
                <w:sz w:val="24"/>
                <w:highlight w:val="none"/>
              </w:rPr>
            </w:pPr>
            <w:r>
              <w:rPr>
                <w:rFonts w:hint="eastAsia"/>
                <w:bCs/>
                <w:color w:val="auto"/>
                <w:sz w:val="24"/>
                <w:highlight w:val="none"/>
              </w:rPr>
              <w:t>4、猪龙河西支通道</w:t>
            </w:r>
          </w:p>
          <w:p w14:paraId="05752D92">
            <w:pPr>
              <w:pStyle w:val="46"/>
              <w:rPr>
                <w:rFonts w:hint="eastAsia"/>
                <w:bCs/>
                <w:color w:val="auto"/>
                <w:sz w:val="24"/>
                <w:highlight w:val="none"/>
              </w:rPr>
            </w:pPr>
            <w:r>
              <w:rPr>
                <w:rFonts w:hint="eastAsia"/>
                <w:bCs/>
                <w:color w:val="auto"/>
                <w:sz w:val="24"/>
                <w:highlight w:val="none"/>
              </w:rPr>
              <w:t>治理范围为电厂西门至鲁山大道，总长约5.1公里。以防洪排涝能力提升为主，包括河道清淤扩挖、岸坡护砌，改建桥梁3座</w:t>
            </w:r>
            <w:r>
              <w:rPr>
                <w:rFonts w:hint="eastAsia"/>
                <w:bCs/>
                <w:color w:val="auto"/>
                <w:sz w:val="24"/>
                <w:highlight w:val="none"/>
                <w:lang w:eastAsia="zh-CN"/>
              </w:rPr>
              <w:t>，沿线新建一条雨水管道</w:t>
            </w:r>
            <w:r>
              <w:rPr>
                <w:rFonts w:hint="eastAsia"/>
                <w:bCs/>
                <w:color w:val="auto"/>
                <w:sz w:val="24"/>
                <w:highlight w:val="none"/>
              </w:rPr>
              <w:t>。</w:t>
            </w:r>
          </w:p>
          <w:p w14:paraId="5DD7E5D9">
            <w:pPr>
              <w:pStyle w:val="46"/>
              <w:rPr>
                <w:bCs/>
                <w:color w:val="auto"/>
                <w:sz w:val="24"/>
                <w:highlight w:val="none"/>
              </w:rPr>
            </w:pPr>
            <w:r>
              <w:rPr>
                <w:rFonts w:hint="eastAsia"/>
                <w:bCs/>
                <w:color w:val="auto"/>
                <w:sz w:val="24"/>
                <w:highlight w:val="none"/>
              </w:rPr>
              <w:t>5、瓦村排涝沟</w:t>
            </w:r>
          </w:p>
          <w:p w14:paraId="3E999CEF">
            <w:pPr>
              <w:pStyle w:val="46"/>
              <w:rPr>
                <w:bCs/>
                <w:color w:val="auto"/>
                <w:sz w:val="24"/>
                <w:highlight w:val="none"/>
              </w:rPr>
            </w:pPr>
            <w:r>
              <w:rPr>
                <w:rFonts w:hint="eastAsia"/>
                <w:bCs/>
                <w:color w:val="auto"/>
                <w:sz w:val="24"/>
                <w:highlight w:val="none"/>
              </w:rPr>
              <w:t>瓦村沟治理范围为S102至孝妇河汇流处，总长约3.5km。本次整治按20年一遇对沿线河道进行清淤疏浚，拆除棚河建筑及拦水坝。过村庄段采用矩形断面，钢筋混凝土结构，断面为6米，深度约2.6米，长约970米。非村庄段采用梯形断面，河道护坡形式采用联锁式生态护坡，险工段采用浆砌片石护坡。河道底宽约6～8米，上口宽约11～13米，边坡系数为1：1.5，河道深度约2.6米，长约2530米。</w:t>
            </w:r>
          </w:p>
          <w:p w14:paraId="26265444">
            <w:pPr>
              <w:pStyle w:val="46"/>
              <w:rPr>
                <w:bCs/>
                <w:color w:val="auto"/>
                <w:sz w:val="24"/>
                <w:highlight w:val="none"/>
              </w:rPr>
            </w:pPr>
            <w:r>
              <w:rPr>
                <w:rFonts w:hint="eastAsia"/>
                <w:bCs/>
                <w:color w:val="auto"/>
                <w:sz w:val="24"/>
                <w:highlight w:val="none"/>
              </w:rPr>
              <w:t>结合河道治理共改建桥梁3座。孔数及跨径主要为1×10m。</w:t>
            </w:r>
          </w:p>
          <w:p w14:paraId="277B8D92">
            <w:pPr>
              <w:pStyle w:val="46"/>
              <w:rPr>
                <w:bCs/>
                <w:color w:val="auto"/>
                <w:sz w:val="24"/>
                <w:highlight w:val="none"/>
              </w:rPr>
            </w:pPr>
            <w:r>
              <w:rPr>
                <w:rFonts w:hint="eastAsia"/>
                <w:bCs/>
                <w:color w:val="auto"/>
                <w:sz w:val="24"/>
                <w:highlight w:val="none"/>
              </w:rPr>
              <w:t>车站街至双沟铁路段，河道右岸改建防汛路，道路宽度为7米，长为330米。</w:t>
            </w:r>
          </w:p>
          <w:p w14:paraId="78A489AD">
            <w:pPr>
              <w:pStyle w:val="46"/>
              <w:rPr>
                <w:bCs/>
                <w:color w:val="auto"/>
                <w:sz w:val="24"/>
                <w:highlight w:val="none"/>
              </w:rPr>
            </w:pPr>
            <w:r>
              <w:rPr>
                <w:rFonts w:hint="eastAsia"/>
                <w:bCs/>
                <w:color w:val="auto"/>
                <w:sz w:val="24"/>
                <w:highlight w:val="none"/>
              </w:rPr>
              <w:t>6、暖水河通道</w:t>
            </w:r>
          </w:p>
          <w:p w14:paraId="5B42AB61">
            <w:pPr>
              <w:pStyle w:val="46"/>
              <w:rPr>
                <w:bCs/>
                <w:color w:val="auto"/>
                <w:sz w:val="24"/>
                <w:highlight w:val="none"/>
              </w:rPr>
            </w:pPr>
            <w:r>
              <w:rPr>
                <w:rFonts w:hint="eastAsia"/>
                <w:bCs/>
                <w:color w:val="auto"/>
                <w:sz w:val="24"/>
                <w:highlight w:val="none"/>
              </w:rPr>
              <w:t>（1）省道102段～瓦村以南段</w:t>
            </w:r>
          </w:p>
          <w:p w14:paraId="27B59A0E">
            <w:pPr>
              <w:pStyle w:val="46"/>
              <w:rPr>
                <w:bCs/>
                <w:color w:val="auto"/>
                <w:sz w:val="24"/>
                <w:highlight w:val="none"/>
              </w:rPr>
            </w:pPr>
            <w:r>
              <w:rPr>
                <w:rFonts w:hint="eastAsia"/>
                <w:bCs/>
                <w:color w:val="auto"/>
                <w:sz w:val="24"/>
                <w:highlight w:val="none"/>
              </w:rPr>
              <w:t>省道102段～暖水河村段以梯形断面为主，设计河口宽18m，河底宽8m，主槽深3.0m。漫泗河村以南段，采用植草护坡，边坡系数1：2，该段长度约970m。漫泗河村至瓦村段，采用联锁式生态护坡，险工段采用浆砌片石护坡，边坡系数1：2，该段长约1.08km。</w:t>
            </w:r>
          </w:p>
          <w:p w14:paraId="7CE3E18D">
            <w:pPr>
              <w:pStyle w:val="46"/>
              <w:rPr>
                <w:bCs/>
                <w:color w:val="auto"/>
                <w:sz w:val="24"/>
                <w:highlight w:val="none"/>
              </w:rPr>
            </w:pPr>
            <w:r>
              <w:rPr>
                <w:rFonts w:hint="eastAsia"/>
                <w:bCs/>
                <w:color w:val="auto"/>
                <w:sz w:val="24"/>
                <w:highlight w:val="none"/>
              </w:rPr>
              <w:t>（2）瓦村～张罗路以北段</w:t>
            </w:r>
          </w:p>
          <w:p w14:paraId="08674F35">
            <w:pPr>
              <w:pStyle w:val="46"/>
              <w:rPr>
                <w:rFonts w:hint="eastAsia"/>
                <w:bCs/>
                <w:color w:val="auto"/>
                <w:sz w:val="24"/>
                <w:highlight w:val="none"/>
              </w:rPr>
            </w:pPr>
            <w:r>
              <w:rPr>
                <w:rFonts w:hint="eastAsia"/>
                <w:bCs/>
                <w:color w:val="auto"/>
                <w:sz w:val="24"/>
                <w:highlight w:val="none"/>
              </w:rPr>
              <w:t>该段建筑物密集，本次设计不进行扩建，仅对河道进行清淤维护，对现状断面不足的桥涵拆除重建，共改造3座桥涵，改造后桥涵跨径为1×10～13米。该段河道长约1.05km。</w:t>
            </w:r>
          </w:p>
          <w:p w14:paraId="3038A6F4">
            <w:pPr>
              <w:pStyle w:val="46"/>
              <w:rPr>
                <w:bCs/>
                <w:color w:val="auto"/>
                <w:sz w:val="24"/>
                <w:highlight w:val="none"/>
              </w:rPr>
            </w:pPr>
            <w:r>
              <w:rPr>
                <w:rFonts w:hint="eastAsia"/>
                <w:bCs/>
                <w:color w:val="auto"/>
                <w:sz w:val="24"/>
                <w:highlight w:val="none"/>
              </w:rPr>
              <w:t>（3）张罗路至漫泗河段</w:t>
            </w:r>
          </w:p>
          <w:p w14:paraId="579E1D79">
            <w:pPr>
              <w:pStyle w:val="46"/>
              <w:rPr>
                <w:bCs/>
                <w:color w:val="auto"/>
                <w:sz w:val="24"/>
                <w:highlight w:val="none"/>
              </w:rPr>
            </w:pPr>
            <w:r>
              <w:rPr>
                <w:rFonts w:hint="eastAsia"/>
                <w:bCs/>
                <w:color w:val="auto"/>
                <w:sz w:val="24"/>
                <w:highlight w:val="none"/>
              </w:rPr>
              <w:t>以梯形断面为主，设计河口宽16～20m，河底宽10～13m，主槽深3.0m，坡比 1：1.5，联锁式生态护坡，险工段采用浆砌片石护坡。局部断面不足段，下部采用矩形砌石断面，上部为梯形土质断面。该段长约1.18km。过村庄段同步修建防汛路，道路宽度为7米，长度为700米。</w:t>
            </w:r>
          </w:p>
          <w:p w14:paraId="67DD7DD3">
            <w:pPr>
              <w:pStyle w:val="46"/>
              <w:rPr>
                <w:bCs/>
                <w:color w:val="auto"/>
                <w:sz w:val="24"/>
                <w:highlight w:val="none"/>
              </w:rPr>
            </w:pPr>
            <w:r>
              <w:rPr>
                <w:rFonts w:hint="eastAsia"/>
                <w:bCs/>
                <w:color w:val="auto"/>
                <w:sz w:val="24"/>
                <w:highlight w:val="none"/>
              </w:rPr>
              <w:t>7、焕然河改造工程：</w:t>
            </w:r>
          </w:p>
          <w:p w14:paraId="373103CF">
            <w:pPr>
              <w:pStyle w:val="46"/>
              <w:rPr>
                <w:bCs/>
                <w:color w:val="auto"/>
                <w:sz w:val="24"/>
                <w:highlight w:val="none"/>
              </w:rPr>
            </w:pPr>
            <w:r>
              <w:rPr>
                <w:rFonts w:hint="eastAsia"/>
                <w:bCs/>
                <w:color w:val="auto"/>
                <w:sz w:val="24"/>
                <w:highlight w:val="none"/>
              </w:rPr>
              <w:t>对河道全线清淤，对断面缩小段河道按规划断面进行扩挖，清淤扩挖后河道上口宽约20～25m，下口宽约8～13m，深约3.5～4.5m。拆除终点处拦河坝。</w:t>
            </w:r>
          </w:p>
          <w:p w14:paraId="6E6BF536">
            <w:pPr>
              <w:pStyle w:val="46"/>
              <w:rPr>
                <w:bCs/>
                <w:color w:val="auto"/>
                <w:sz w:val="24"/>
                <w:highlight w:val="none"/>
              </w:rPr>
            </w:pPr>
            <w:r>
              <w:rPr>
                <w:rFonts w:hint="eastAsia"/>
                <w:bCs/>
                <w:color w:val="auto"/>
                <w:sz w:val="24"/>
                <w:highlight w:val="none"/>
              </w:rPr>
              <w:t>8、三泉沟</w:t>
            </w:r>
          </w:p>
          <w:p w14:paraId="469FDE28">
            <w:pPr>
              <w:pStyle w:val="46"/>
              <w:rPr>
                <w:rFonts w:hint="eastAsia"/>
                <w:bCs/>
                <w:color w:val="auto"/>
                <w:sz w:val="24"/>
                <w:highlight w:val="none"/>
              </w:rPr>
            </w:pPr>
            <w:r>
              <w:rPr>
                <w:rFonts w:hint="eastAsia"/>
                <w:bCs/>
                <w:color w:val="auto"/>
                <w:sz w:val="24"/>
                <w:highlight w:val="none"/>
              </w:rPr>
              <w:t>矿机路段的改造范围为柳泉路至车站街，三泉沟改造的排涝标准为30年一遇，改造后断面为矩形断面，净宽为3～4米，净高为2～3米，改造长度约1270米。</w:t>
            </w:r>
          </w:p>
          <w:p w14:paraId="43AD9001">
            <w:pPr>
              <w:pStyle w:val="46"/>
              <w:rPr>
                <w:bCs/>
                <w:color w:val="auto"/>
                <w:sz w:val="24"/>
                <w:highlight w:val="none"/>
              </w:rPr>
            </w:pPr>
            <w:r>
              <w:rPr>
                <w:rFonts w:hint="eastAsia"/>
                <w:bCs/>
                <w:color w:val="auto"/>
                <w:sz w:val="24"/>
                <w:highlight w:val="none"/>
              </w:rPr>
              <w:t>矿机路至淄河大道段，河道长约2270米。本次设计仅对河道进行清淤维护，不进行扩建。</w:t>
            </w:r>
          </w:p>
          <w:p w14:paraId="747A476F">
            <w:pPr>
              <w:pStyle w:val="46"/>
              <w:rPr>
                <w:bCs/>
                <w:color w:val="auto"/>
                <w:sz w:val="24"/>
                <w:highlight w:val="none"/>
              </w:rPr>
            </w:pPr>
            <w:r>
              <w:rPr>
                <w:rFonts w:hint="eastAsia"/>
                <w:bCs/>
                <w:color w:val="auto"/>
                <w:sz w:val="24"/>
                <w:highlight w:val="none"/>
              </w:rPr>
              <w:t>淄河大道以南段，对河道进行清淤扩挖，扩挖后为梯形断面，下口宽约2米，上口宽约7米，深约2～3米，改造河道长约460米。其中采用联锁式生态护坡河岸长约410米，混凝土护岸长约50米。对断面不足排水涵进行拆除重建，改造后排水断面为4000×2500米，改造长度为50米。</w:t>
            </w:r>
          </w:p>
          <w:p w14:paraId="12135BB2">
            <w:pPr>
              <w:pStyle w:val="46"/>
              <w:rPr>
                <w:bCs/>
                <w:color w:val="auto"/>
                <w:sz w:val="24"/>
                <w:highlight w:val="none"/>
              </w:rPr>
            </w:pPr>
            <w:r>
              <w:rPr>
                <w:rFonts w:hint="eastAsia"/>
                <w:bCs/>
                <w:color w:val="auto"/>
                <w:sz w:val="24"/>
                <w:highlight w:val="none"/>
              </w:rPr>
              <w:t>9、白蛇沟</w:t>
            </w:r>
          </w:p>
          <w:p w14:paraId="0BB18493">
            <w:pPr>
              <w:pStyle w:val="46"/>
              <w:rPr>
                <w:rFonts w:hint="eastAsia"/>
                <w:bCs/>
                <w:color w:val="auto"/>
                <w:sz w:val="24"/>
                <w:highlight w:val="none"/>
              </w:rPr>
            </w:pPr>
            <w:r>
              <w:rPr>
                <w:rFonts w:hint="eastAsia"/>
                <w:bCs/>
                <w:color w:val="auto"/>
                <w:sz w:val="24"/>
                <w:highlight w:val="none"/>
              </w:rPr>
              <w:t>（1）区界-李家村上游土沟段</w:t>
            </w:r>
          </w:p>
          <w:p w14:paraId="4C16CF73">
            <w:pPr>
              <w:pStyle w:val="46"/>
              <w:rPr>
                <w:rFonts w:hint="eastAsia"/>
                <w:bCs/>
                <w:color w:val="auto"/>
                <w:sz w:val="24"/>
                <w:highlight w:val="none"/>
              </w:rPr>
            </w:pPr>
            <w:r>
              <w:rPr>
                <w:rFonts w:hint="eastAsia"/>
                <w:bCs/>
                <w:color w:val="auto"/>
                <w:sz w:val="24"/>
                <w:highlight w:val="none"/>
              </w:rPr>
              <w:t>对河道扩挖，采用连锁块对河道边坡进行护砌，险工段采用仰斜式挡墙进行护砌。扩挖后河道上口宽约5~8米，下口宽约2～2.5米，深约2～2.5米。该段改造河道总长约2850米，其中仰斜式挡墙护砌段410米，连锁块护砌段河道2440米。沿线预制板危桥及管涵改造为（5～6m）X3m排水涵洞，共改造10处，涵洞总长51米。</w:t>
            </w:r>
          </w:p>
          <w:p w14:paraId="2966214C">
            <w:pPr>
              <w:pStyle w:val="46"/>
              <w:rPr>
                <w:rFonts w:hint="eastAsia"/>
                <w:bCs/>
                <w:color w:val="auto"/>
                <w:sz w:val="24"/>
                <w:highlight w:val="none"/>
              </w:rPr>
            </w:pPr>
            <w:r>
              <w:rPr>
                <w:rFonts w:hint="eastAsia"/>
                <w:bCs/>
                <w:color w:val="auto"/>
                <w:sz w:val="24"/>
                <w:highlight w:val="none"/>
              </w:rPr>
              <w:t>（2）李家村护砌段及李家村下游棚河段</w:t>
            </w:r>
          </w:p>
          <w:p w14:paraId="4E18229F">
            <w:pPr>
              <w:pStyle w:val="46"/>
              <w:rPr>
                <w:rFonts w:hint="eastAsia"/>
                <w:bCs/>
                <w:color w:val="auto"/>
                <w:sz w:val="24"/>
                <w:highlight w:val="none"/>
              </w:rPr>
            </w:pPr>
            <w:r>
              <w:rPr>
                <w:rFonts w:hint="eastAsia"/>
                <w:bCs/>
                <w:color w:val="auto"/>
                <w:sz w:val="24"/>
                <w:highlight w:val="none"/>
              </w:rPr>
              <w:t>现状全部清淤利用，长度850m，清淤深度0.3m。</w:t>
            </w:r>
          </w:p>
          <w:p w14:paraId="0EF50894">
            <w:pPr>
              <w:pStyle w:val="46"/>
              <w:rPr>
                <w:rFonts w:hint="eastAsia"/>
                <w:bCs/>
                <w:color w:val="auto"/>
                <w:sz w:val="24"/>
                <w:highlight w:val="none"/>
              </w:rPr>
            </w:pPr>
            <w:r>
              <w:rPr>
                <w:rFonts w:hint="eastAsia"/>
                <w:bCs/>
                <w:color w:val="auto"/>
                <w:sz w:val="24"/>
                <w:highlight w:val="none"/>
              </w:rPr>
              <w:t>（3）李家村下游-区界土沟段</w:t>
            </w:r>
          </w:p>
          <w:p w14:paraId="6956CEEF">
            <w:pPr>
              <w:pStyle w:val="46"/>
              <w:rPr>
                <w:bCs/>
                <w:color w:val="auto"/>
                <w:sz w:val="24"/>
                <w:highlight w:val="none"/>
              </w:rPr>
            </w:pPr>
            <w:r>
              <w:rPr>
                <w:rFonts w:hint="eastAsia"/>
                <w:bCs/>
                <w:color w:val="auto"/>
                <w:sz w:val="24"/>
                <w:highlight w:val="none"/>
              </w:rPr>
              <w:t>对河道扩挖，采用连锁块对河道边坡进行护砌，险工段采用仰斜式挡墙进行护砌。扩挖后河道上口宽约8~11米，下口宽约3~5米，深约2.5~3.0米。该段改造河道总长约1710米，其中仰斜式挡墙护砌段274米，连锁块护砌段河道1436米。</w:t>
            </w:r>
          </w:p>
          <w:p w14:paraId="72D96938">
            <w:pPr>
              <w:pStyle w:val="46"/>
              <w:rPr>
                <w:bCs/>
                <w:color w:val="auto"/>
                <w:sz w:val="24"/>
                <w:highlight w:val="none"/>
              </w:rPr>
            </w:pPr>
            <w:r>
              <w:rPr>
                <w:rFonts w:hint="eastAsia"/>
                <w:bCs/>
                <w:color w:val="auto"/>
                <w:sz w:val="24"/>
                <w:highlight w:val="none"/>
              </w:rPr>
              <w:t>10、袁家河通道</w:t>
            </w:r>
          </w:p>
          <w:p w14:paraId="19A67C5D">
            <w:pPr>
              <w:pStyle w:val="46"/>
              <w:rPr>
                <w:bCs/>
                <w:color w:val="auto"/>
                <w:sz w:val="24"/>
                <w:highlight w:val="none"/>
              </w:rPr>
            </w:pPr>
            <w:r>
              <w:rPr>
                <w:rFonts w:hint="eastAsia"/>
                <w:bCs/>
                <w:color w:val="auto"/>
                <w:sz w:val="24"/>
                <w:highlight w:val="none"/>
              </w:rPr>
              <w:t>（1）双圣路至</w:t>
            </w:r>
            <w:r>
              <w:rPr>
                <w:rFonts w:hint="eastAsia"/>
                <w:bCs/>
                <w:color w:val="auto"/>
                <w:sz w:val="24"/>
                <w:highlight w:val="none"/>
                <w:lang w:eastAsia="zh-CN"/>
              </w:rPr>
              <w:t>梁</w:t>
            </w:r>
            <w:r>
              <w:rPr>
                <w:rFonts w:hint="eastAsia"/>
                <w:bCs/>
                <w:color w:val="auto"/>
                <w:sz w:val="24"/>
                <w:highlight w:val="none"/>
              </w:rPr>
              <w:t>牛路段</w:t>
            </w:r>
          </w:p>
          <w:p w14:paraId="22FDA85F">
            <w:pPr>
              <w:pStyle w:val="46"/>
              <w:rPr>
                <w:bCs/>
                <w:color w:val="auto"/>
                <w:sz w:val="24"/>
                <w:highlight w:val="none"/>
              </w:rPr>
            </w:pPr>
            <w:r>
              <w:rPr>
                <w:rFonts w:hint="eastAsia"/>
                <w:bCs/>
                <w:color w:val="auto"/>
                <w:sz w:val="24"/>
                <w:highlight w:val="none"/>
              </w:rPr>
              <w:t>双圣路至梁牛路段河道进行扩挖改造，扩挖后断面为梯形断面，上口宽约6～10米，下口宽约2～3米，深约2～3米。河岸用互锁砖护砌，放坡系数为1：1.5～1：2，河底素土夯实。改造河道总长约1000米。</w:t>
            </w:r>
          </w:p>
          <w:p w14:paraId="7830FAE8">
            <w:pPr>
              <w:pStyle w:val="46"/>
              <w:rPr>
                <w:bCs/>
                <w:color w:val="auto"/>
                <w:sz w:val="24"/>
                <w:highlight w:val="none"/>
              </w:rPr>
            </w:pPr>
            <w:r>
              <w:rPr>
                <w:rFonts w:hint="eastAsia"/>
                <w:bCs/>
                <w:color w:val="auto"/>
                <w:sz w:val="24"/>
                <w:highlight w:val="none"/>
              </w:rPr>
              <w:t>（2）双圣路以南段</w:t>
            </w:r>
          </w:p>
          <w:p w14:paraId="0A16918B">
            <w:pPr>
              <w:pStyle w:val="46"/>
              <w:rPr>
                <w:bCs/>
                <w:color w:val="auto"/>
                <w:sz w:val="24"/>
                <w:highlight w:val="none"/>
              </w:rPr>
            </w:pPr>
            <w:r>
              <w:rPr>
                <w:rFonts w:hint="eastAsia"/>
                <w:bCs/>
                <w:color w:val="auto"/>
                <w:sz w:val="24"/>
                <w:highlight w:val="none"/>
              </w:rPr>
              <w:t>该段河道进行清淤，清淤后断面为土质梯形断面，上口宽约4～8米，下口宽约1～2米，深约2～3米。清淤河道总长约2760米。河岸为土质护坡，放坡系数为1：2。</w:t>
            </w:r>
          </w:p>
          <w:p w14:paraId="1EDA2D55">
            <w:pPr>
              <w:pStyle w:val="46"/>
              <w:rPr>
                <w:bCs/>
                <w:color w:val="auto"/>
                <w:sz w:val="24"/>
                <w:highlight w:val="none"/>
              </w:rPr>
            </w:pPr>
            <w:r>
              <w:rPr>
                <w:rFonts w:hint="eastAsia"/>
                <w:bCs/>
                <w:color w:val="auto"/>
                <w:sz w:val="24"/>
                <w:highlight w:val="none"/>
              </w:rPr>
              <w:t>（3）改建过路桥涵</w:t>
            </w:r>
          </w:p>
          <w:p w14:paraId="3309D352">
            <w:pPr>
              <w:pStyle w:val="46"/>
              <w:rPr>
                <w:bCs/>
                <w:color w:val="auto"/>
                <w:sz w:val="24"/>
                <w:highlight w:val="none"/>
              </w:rPr>
            </w:pPr>
            <w:r>
              <w:rPr>
                <w:rFonts w:hint="eastAsia"/>
                <w:bCs/>
                <w:color w:val="auto"/>
                <w:sz w:val="24"/>
                <w:highlight w:val="none"/>
              </w:rPr>
              <w:t>改建袁家河过梁牛路桥，跨径为1×10m，桥宽15米。其它支路处新建2座排水涵洞，涵洞断面尺寸为5000×2500，涵洞总长约30米。</w:t>
            </w:r>
          </w:p>
          <w:p w14:paraId="0DC53325">
            <w:pPr>
              <w:pStyle w:val="46"/>
              <w:rPr>
                <w:bCs/>
                <w:color w:val="auto"/>
                <w:sz w:val="24"/>
                <w:highlight w:val="none"/>
              </w:rPr>
            </w:pPr>
            <w:r>
              <w:rPr>
                <w:rFonts w:hint="eastAsia"/>
                <w:bCs/>
                <w:color w:val="auto"/>
                <w:sz w:val="24"/>
                <w:highlight w:val="none"/>
              </w:rPr>
              <w:t>11、天津路排涝沟</w:t>
            </w:r>
          </w:p>
          <w:p w14:paraId="6147D4C0">
            <w:pPr>
              <w:pStyle w:val="46"/>
              <w:rPr>
                <w:bCs/>
                <w:color w:val="auto"/>
                <w:sz w:val="24"/>
                <w:highlight w:val="none"/>
              </w:rPr>
            </w:pPr>
            <w:r>
              <w:rPr>
                <w:rFonts w:hint="eastAsia"/>
                <w:bCs/>
                <w:color w:val="auto"/>
                <w:sz w:val="24"/>
                <w:highlight w:val="none"/>
              </w:rPr>
              <w:t>（1）淄河大道段</w:t>
            </w:r>
          </w:p>
          <w:p w14:paraId="1BB9C070">
            <w:pPr>
              <w:pStyle w:val="46"/>
              <w:rPr>
                <w:bCs/>
                <w:color w:val="auto"/>
                <w:sz w:val="24"/>
                <w:highlight w:val="none"/>
              </w:rPr>
            </w:pPr>
            <w:r>
              <w:rPr>
                <w:rFonts w:hint="eastAsia"/>
                <w:bCs/>
                <w:color w:val="auto"/>
                <w:sz w:val="24"/>
                <w:highlight w:val="none"/>
              </w:rPr>
              <w:t>为消除淄河大道段排水瓶颈，沿淄河大道南侧辅道下新建雨水方沟，方沟断面为3000×2000，长约800米。方沟排水量11.8m³/s，与现状d1500、d1800雨水管道共同排放天津路排涝沟雨水。雨水管渠施工后，需对道路进行恢复，恢复面积约5000m</w:t>
            </w:r>
            <w:r>
              <w:rPr>
                <w:rFonts w:hint="eastAsia"/>
                <w:bCs/>
                <w:color w:val="auto"/>
                <w:sz w:val="24"/>
                <w:highlight w:val="none"/>
                <w:vertAlign w:val="superscript"/>
              </w:rPr>
              <w:t>2</w:t>
            </w:r>
            <w:r>
              <w:rPr>
                <w:rFonts w:hint="eastAsia"/>
                <w:bCs/>
                <w:color w:val="auto"/>
                <w:sz w:val="24"/>
                <w:highlight w:val="none"/>
              </w:rPr>
              <w:t>。</w:t>
            </w:r>
          </w:p>
          <w:p w14:paraId="401857BD">
            <w:pPr>
              <w:pStyle w:val="46"/>
              <w:rPr>
                <w:bCs/>
                <w:color w:val="auto"/>
                <w:sz w:val="24"/>
                <w:highlight w:val="none"/>
              </w:rPr>
            </w:pPr>
            <w:r>
              <w:rPr>
                <w:rFonts w:hint="eastAsia"/>
                <w:bCs/>
                <w:color w:val="auto"/>
                <w:sz w:val="24"/>
                <w:highlight w:val="none"/>
              </w:rPr>
              <w:t>（2）天津路段</w:t>
            </w:r>
          </w:p>
          <w:p w14:paraId="00EAB958">
            <w:pPr>
              <w:pStyle w:val="46"/>
              <w:rPr>
                <w:bCs/>
                <w:color w:val="auto"/>
                <w:sz w:val="24"/>
                <w:highlight w:val="none"/>
              </w:rPr>
            </w:pPr>
            <w:r>
              <w:rPr>
                <w:rFonts w:hint="eastAsia"/>
                <w:bCs/>
                <w:color w:val="auto"/>
                <w:sz w:val="24"/>
                <w:highlight w:val="none"/>
              </w:rPr>
              <w:t>1）梁牛路以南段河道清淤，清淤后河道上口宽为8～10米，下口宽约2～3米，深约1.5～2米。河岸为土质护坡，放坡系数为1：2。该段河道长约1160米</w:t>
            </w:r>
          </w:p>
          <w:p w14:paraId="47D5039D">
            <w:pPr>
              <w:pStyle w:val="46"/>
              <w:rPr>
                <w:bCs/>
                <w:color w:val="auto"/>
                <w:sz w:val="24"/>
                <w:highlight w:val="none"/>
              </w:rPr>
            </w:pPr>
            <w:r>
              <w:rPr>
                <w:rFonts w:hint="eastAsia"/>
                <w:bCs/>
                <w:color w:val="auto"/>
                <w:sz w:val="24"/>
                <w:highlight w:val="none"/>
              </w:rPr>
              <w:t>2）</w:t>
            </w:r>
            <w:r>
              <w:rPr>
                <w:rFonts w:hint="eastAsia"/>
                <w:bCs/>
                <w:color w:val="auto"/>
                <w:sz w:val="24"/>
                <w:highlight w:val="none"/>
                <w:lang w:eastAsia="zh-CN"/>
              </w:rPr>
              <w:t>梁</w:t>
            </w:r>
            <w:r>
              <w:rPr>
                <w:rFonts w:hint="eastAsia"/>
                <w:bCs/>
                <w:color w:val="auto"/>
                <w:sz w:val="24"/>
                <w:highlight w:val="none"/>
              </w:rPr>
              <w:t>牛路至淄河大道段，现状河道保留利用，仅对河道进行清淤维护。该段河道总长约2410米。</w:t>
            </w:r>
          </w:p>
          <w:p w14:paraId="51F8830A">
            <w:pPr>
              <w:pStyle w:val="46"/>
              <w:rPr>
                <w:bCs/>
                <w:color w:val="auto"/>
                <w:sz w:val="24"/>
                <w:highlight w:val="none"/>
              </w:rPr>
            </w:pPr>
            <w:r>
              <w:rPr>
                <w:rFonts w:hint="eastAsia"/>
                <w:bCs/>
                <w:color w:val="auto"/>
                <w:sz w:val="24"/>
                <w:highlight w:val="none"/>
              </w:rPr>
              <w:t>3）将天津路排涝沟过路管道改建为矩形涵洞，扩建后涵洞断面为5000×3000</w:t>
            </w:r>
            <w:r>
              <w:rPr>
                <w:rFonts w:hint="eastAsia"/>
                <w:bCs/>
                <w:color w:val="auto"/>
                <w:sz w:val="24"/>
                <w:highlight w:val="none"/>
                <w:lang w:eastAsia="zh-CN"/>
              </w:rPr>
              <w:t>，</w:t>
            </w:r>
            <w:r>
              <w:rPr>
                <w:rFonts w:hint="eastAsia"/>
                <w:bCs/>
                <w:color w:val="auto"/>
                <w:sz w:val="24"/>
                <w:highlight w:val="none"/>
              </w:rPr>
              <w:t>涵洞总长约322米。</w:t>
            </w:r>
          </w:p>
          <w:p w14:paraId="233E79AC">
            <w:pPr>
              <w:pStyle w:val="46"/>
              <w:rPr>
                <w:bCs/>
                <w:color w:val="auto"/>
                <w:sz w:val="24"/>
                <w:highlight w:val="none"/>
              </w:rPr>
            </w:pPr>
            <w:r>
              <w:rPr>
                <w:rFonts w:hint="eastAsia"/>
                <w:bCs/>
                <w:color w:val="auto"/>
                <w:sz w:val="24"/>
                <w:highlight w:val="none"/>
              </w:rPr>
              <w:t>12、小旦村、大高村排涝沟</w:t>
            </w:r>
          </w:p>
          <w:p w14:paraId="2ECE8A76">
            <w:pPr>
              <w:pStyle w:val="46"/>
              <w:rPr>
                <w:bCs/>
                <w:color w:val="auto"/>
                <w:sz w:val="24"/>
                <w:highlight w:val="none"/>
              </w:rPr>
            </w:pPr>
            <w:r>
              <w:rPr>
                <w:rFonts w:hint="eastAsia"/>
                <w:bCs/>
                <w:color w:val="auto"/>
                <w:sz w:val="24"/>
                <w:highlight w:val="none"/>
              </w:rPr>
              <w:t>（1）建设小旦村西南侧排涝沟渠，解决农田涝水出路问题。沿南北向道路新建雨水沟，向北排至漫泗河。新建雨水沟断面为1200×1000，总长约1000米。受道路两侧建筑影响，排水沟敷设于车行道下，车行道拆除及恢复面积约5000㎡。</w:t>
            </w:r>
          </w:p>
          <w:p w14:paraId="44A29594">
            <w:pPr>
              <w:pStyle w:val="46"/>
              <w:rPr>
                <w:bCs/>
                <w:color w:val="auto"/>
                <w:sz w:val="24"/>
                <w:highlight w:val="none"/>
              </w:rPr>
            </w:pPr>
            <w:r>
              <w:rPr>
                <w:rFonts w:hint="eastAsia"/>
                <w:bCs/>
                <w:color w:val="auto"/>
                <w:sz w:val="24"/>
                <w:highlight w:val="none"/>
              </w:rPr>
              <w:t>（2）沿大高村西侧南北向路，建设雨水沟渠，自南向北排至炒米村排涝沟。新建沟渠断面为1200×1000，总长约600米。</w:t>
            </w:r>
          </w:p>
          <w:p w14:paraId="3E0E90D2">
            <w:pPr>
              <w:pStyle w:val="46"/>
              <w:rPr>
                <w:bCs/>
                <w:color w:val="auto"/>
                <w:sz w:val="24"/>
                <w:highlight w:val="none"/>
              </w:rPr>
            </w:pPr>
            <w:r>
              <w:rPr>
                <w:rFonts w:hint="eastAsia"/>
                <w:bCs/>
                <w:color w:val="auto"/>
                <w:sz w:val="24"/>
                <w:highlight w:val="none"/>
              </w:rPr>
              <w:t>（二）河道护坡</w:t>
            </w:r>
          </w:p>
          <w:p w14:paraId="4FD69FF4">
            <w:pPr>
              <w:pStyle w:val="46"/>
              <w:rPr>
                <w:bCs/>
                <w:color w:val="auto"/>
                <w:sz w:val="24"/>
                <w:highlight w:val="none"/>
              </w:rPr>
            </w:pPr>
            <w:r>
              <w:rPr>
                <w:rFonts w:hint="eastAsia"/>
                <w:bCs/>
                <w:color w:val="auto"/>
                <w:sz w:val="24"/>
                <w:highlight w:val="none"/>
              </w:rPr>
              <w:t>本工程主要以排涝安全为主，兼顾生态，沟道以1：1.5～1：2 的坡比为主，河道流速较缓，主要采用联锁式生态护坡。险工段坡度较陡，采用对护砌材料的抗冲能力要求高，故选择浆砌块石护砌。河道两岸空间受限段河道采用钢筋混凝土矩形断面。</w:t>
            </w:r>
          </w:p>
          <w:p w14:paraId="77C34168">
            <w:pPr>
              <w:pStyle w:val="46"/>
              <w:ind w:firstLine="480" w:firstLineChars="200"/>
              <w:rPr>
                <w:bCs/>
                <w:color w:val="auto"/>
                <w:sz w:val="24"/>
                <w:highlight w:val="none"/>
              </w:rPr>
            </w:pPr>
            <w:r>
              <w:rPr>
                <w:rFonts w:hint="eastAsia"/>
                <w:bCs/>
                <w:color w:val="auto"/>
                <w:sz w:val="24"/>
                <w:highlight w:val="none"/>
              </w:rPr>
              <w:t>（三）防汛道路</w:t>
            </w:r>
          </w:p>
          <w:p w14:paraId="18B136F5">
            <w:pPr>
              <w:pStyle w:val="46"/>
              <w:rPr>
                <w:bCs/>
                <w:color w:val="auto"/>
                <w:sz w:val="24"/>
                <w:highlight w:val="none"/>
              </w:rPr>
            </w:pPr>
            <w:r>
              <w:rPr>
                <w:rFonts w:hint="eastAsia"/>
                <w:bCs/>
                <w:color w:val="auto"/>
                <w:sz w:val="24"/>
                <w:highlight w:val="none"/>
              </w:rPr>
              <w:t>为确保汛期河道运行安全，结合河长制，便于开展下一步沟道巡查，在充分利用现有道路的基础上，于河道一侧设置防汛道路，共计新建道路</w:t>
            </w:r>
            <w:r>
              <w:rPr>
                <w:rFonts w:hint="eastAsia"/>
                <w:bCs/>
                <w:color w:val="auto"/>
                <w:sz w:val="24"/>
                <w:highlight w:val="none"/>
                <w:lang w:val="en-US" w:eastAsia="zh-CN"/>
              </w:rPr>
              <w:t>5.73</w:t>
            </w:r>
            <w:r>
              <w:rPr>
                <w:rFonts w:hint="eastAsia"/>
                <w:bCs/>
                <w:color w:val="auto"/>
                <w:sz w:val="24"/>
                <w:highlight w:val="none"/>
              </w:rPr>
              <w:t>km，其中改建道路</w:t>
            </w:r>
            <w:r>
              <w:rPr>
                <w:rFonts w:hint="eastAsia"/>
                <w:bCs/>
                <w:color w:val="auto"/>
                <w:sz w:val="24"/>
                <w:highlight w:val="none"/>
                <w:lang w:val="en-US" w:eastAsia="zh-CN"/>
              </w:rPr>
              <w:t>3.93</w:t>
            </w:r>
            <w:r>
              <w:rPr>
                <w:rFonts w:hint="eastAsia"/>
                <w:bCs/>
                <w:color w:val="auto"/>
                <w:sz w:val="24"/>
                <w:highlight w:val="none"/>
              </w:rPr>
              <w:t>km，新建道路</w:t>
            </w:r>
            <w:r>
              <w:rPr>
                <w:rFonts w:hint="eastAsia"/>
                <w:bCs/>
                <w:color w:val="auto"/>
                <w:sz w:val="24"/>
                <w:highlight w:val="none"/>
                <w:lang w:val="en-US" w:eastAsia="zh-CN"/>
              </w:rPr>
              <w:t>1.8</w:t>
            </w:r>
            <w:r>
              <w:rPr>
                <w:rFonts w:hint="eastAsia"/>
                <w:bCs/>
                <w:color w:val="auto"/>
                <w:sz w:val="24"/>
                <w:highlight w:val="none"/>
              </w:rPr>
              <w:t>km。具体情况见下表。</w:t>
            </w:r>
          </w:p>
          <w:p w14:paraId="6196185D">
            <w:pPr>
              <w:pStyle w:val="47"/>
              <w:rPr>
                <w:b/>
                <w:bCs/>
                <w:color w:val="auto"/>
                <w:kern w:val="0"/>
                <w:sz w:val="21"/>
                <w:szCs w:val="21"/>
                <w:highlight w:val="none"/>
                <w:lang w:bidi="ar"/>
              </w:rPr>
            </w:pPr>
            <w:r>
              <w:rPr>
                <w:b/>
                <w:bCs/>
                <w:color w:val="auto"/>
                <w:kern w:val="0"/>
                <w:sz w:val="21"/>
                <w:szCs w:val="21"/>
                <w:highlight w:val="none"/>
                <w:lang w:bidi="ar"/>
              </w:rPr>
              <w:t>表2-</w:t>
            </w:r>
            <w:r>
              <w:rPr>
                <w:rFonts w:hint="eastAsia"/>
                <w:b/>
                <w:bCs/>
                <w:color w:val="auto"/>
                <w:kern w:val="0"/>
                <w:sz w:val="21"/>
                <w:szCs w:val="21"/>
                <w:highlight w:val="none"/>
                <w:lang w:bidi="ar"/>
              </w:rPr>
              <w:t>3</w:t>
            </w:r>
            <w:r>
              <w:rPr>
                <w:b/>
                <w:bCs/>
                <w:color w:val="auto"/>
                <w:kern w:val="0"/>
                <w:sz w:val="21"/>
                <w:szCs w:val="21"/>
                <w:highlight w:val="none"/>
                <w:lang w:bidi="ar"/>
              </w:rPr>
              <w:t xml:space="preserve">  </w:t>
            </w:r>
            <w:r>
              <w:rPr>
                <w:rFonts w:hint="eastAsia"/>
                <w:b/>
                <w:bCs/>
                <w:color w:val="auto"/>
                <w:kern w:val="0"/>
                <w:sz w:val="21"/>
                <w:szCs w:val="21"/>
                <w:highlight w:val="none"/>
                <w:lang w:bidi="ar"/>
              </w:rPr>
              <w:t>防汛道路位置统计表</w:t>
            </w:r>
          </w:p>
          <w:tbl>
            <w:tblPr>
              <w:tblStyle w:val="20"/>
              <w:tblW w:w="82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6"/>
              <w:gridCol w:w="795"/>
              <w:gridCol w:w="2320"/>
              <w:gridCol w:w="1342"/>
              <w:gridCol w:w="1020"/>
              <w:gridCol w:w="1326"/>
            </w:tblGrid>
            <w:tr w14:paraId="2FA151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16" w:type="dxa"/>
                  <w:vAlign w:val="center"/>
                </w:tcPr>
                <w:p w14:paraId="56318CF0">
                  <w:pPr>
                    <w:pStyle w:val="47"/>
                    <w:spacing w:line="240" w:lineRule="auto"/>
                    <w:rPr>
                      <w:color w:val="auto"/>
                      <w:sz w:val="21"/>
                      <w:szCs w:val="21"/>
                      <w:highlight w:val="none"/>
                    </w:rPr>
                  </w:pPr>
                  <w:r>
                    <w:rPr>
                      <w:color w:val="auto"/>
                      <w:sz w:val="21"/>
                      <w:szCs w:val="21"/>
                      <w:highlight w:val="none"/>
                    </w:rPr>
                    <w:t>河道名称</w:t>
                  </w:r>
                </w:p>
              </w:tc>
              <w:tc>
                <w:tcPr>
                  <w:tcW w:w="795" w:type="dxa"/>
                  <w:vAlign w:val="center"/>
                </w:tcPr>
                <w:p w14:paraId="45F8B545">
                  <w:pPr>
                    <w:pStyle w:val="47"/>
                    <w:spacing w:line="240" w:lineRule="auto"/>
                    <w:rPr>
                      <w:color w:val="auto"/>
                      <w:sz w:val="21"/>
                      <w:szCs w:val="21"/>
                      <w:highlight w:val="none"/>
                    </w:rPr>
                  </w:pPr>
                  <w:r>
                    <w:rPr>
                      <w:color w:val="auto"/>
                      <w:sz w:val="21"/>
                      <w:szCs w:val="21"/>
                      <w:highlight w:val="none"/>
                    </w:rPr>
                    <w:t>岸别</w:t>
                  </w:r>
                </w:p>
              </w:tc>
              <w:tc>
                <w:tcPr>
                  <w:tcW w:w="2320" w:type="dxa"/>
                  <w:vAlign w:val="center"/>
                </w:tcPr>
                <w:p w14:paraId="714EE8FC">
                  <w:pPr>
                    <w:pStyle w:val="47"/>
                    <w:spacing w:line="240" w:lineRule="auto"/>
                    <w:rPr>
                      <w:color w:val="auto"/>
                      <w:sz w:val="21"/>
                      <w:szCs w:val="21"/>
                      <w:highlight w:val="none"/>
                    </w:rPr>
                  </w:pPr>
                  <w:r>
                    <w:rPr>
                      <w:color w:val="auto"/>
                      <w:sz w:val="21"/>
                      <w:szCs w:val="21"/>
                      <w:highlight w:val="none"/>
                    </w:rPr>
                    <w:t>河道范围</w:t>
                  </w:r>
                </w:p>
              </w:tc>
              <w:tc>
                <w:tcPr>
                  <w:tcW w:w="1342" w:type="dxa"/>
                  <w:vAlign w:val="center"/>
                </w:tcPr>
                <w:p w14:paraId="7B4D1257">
                  <w:pPr>
                    <w:pStyle w:val="47"/>
                    <w:spacing w:line="240" w:lineRule="auto"/>
                    <w:rPr>
                      <w:color w:val="auto"/>
                      <w:sz w:val="21"/>
                      <w:szCs w:val="21"/>
                      <w:highlight w:val="none"/>
                    </w:rPr>
                  </w:pPr>
                  <w:r>
                    <w:rPr>
                      <w:color w:val="auto"/>
                      <w:sz w:val="21"/>
                      <w:szCs w:val="21"/>
                      <w:highlight w:val="none"/>
                    </w:rPr>
                    <w:t>道路宽度</w:t>
                  </w:r>
                </w:p>
              </w:tc>
              <w:tc>
                <w:tcPr>
                  <w:tcW w:w="1020" w:type="dxa"/>
                  <w:vAlign w:val="center"/>
                </w:tcPr>
                <w:p w14:paraId="56C58B1D">
                  <w:pPr>
                    <w:pStyle w:val="47"/>
                    <w:spacing w:line="240" w:lineRule="auto"/>
                    <w:rPr>
                      <w:color w:val="auto"/>
                      <w:sz w:val="21"/>
                      <w:szCs w:val="21"/>
                      <w:highlight w:val="none"/>
                    </w:rPr>
                  </w:pPr>
                  <w:r>
                    <w:rPr>
                      <w:color w:val="auto"/>
                      <w:sz w:val="21"/>
                      <w:szCs w:val="21"/>
                      <w:highlight w:val="none"/>
                    </w:rPr>
                    <w:t>长度</w:t>
                  </w:r>
                </w:p>
              </w:tc>
              <w:tc>
                <w:tcPr>
                  <w:tcW w:w="1326" w:type="dxa"/>
                  <w:vAlign w:val="center"/>
                </w:tcPr>
                <w:p w14:paraId="7376CCF2">
                  <w:pPr>
                    <w:pStyle w:val="47"/>
                    <w:spacing w:line="240" w:lineRule="auto"/>
                    <w:rPr>
                      <w:color w:val="auto"/>
                      <w:sz w:val="21"/>
                      <w:szCs w:val="21"/>
                      <w:highlight w:val="none"/>
                    </w:rPr>
                  </w:pPr>
                  <w:r>
                    <w:rPr>
                      <w:color w:val="auto"/>
                      <w:sz w:val="21"/>
                      <w:szCs w:val="21"/>
                      <w:highlight w:val="none"/>
                    </w:rPr>
                    <w:t>备注</w:t>
                  </w:r>
                </w:p>
              </w:tc>
            </w:tr>
            <w:tr w14:paraId="66C6B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3" w:hRule="atLeast"/>
                <w:jc w:val="center"/>
              </w:trPr>
              <w:tc>
                <w:tcPr>
                  <w:tcW w:w="1416" w:type="dxa"/>
                  <w:vMerge w:val="restart"/>
                  <w:vAlign w:val="center"/>
                </w:tcPr>
                <w:p w14:paraId="3ED11833">
                  <w:pPr>
                    <w:pStyle w:val="47"/>
                    <w:spacing w:line="240" w:lineRule="auto"/>
                    <w:rPr>
                      <w:color w:val="auto"/>
                      <w:sz w:val="21"/>
                      <w:szCs w:val="21"/>
                      <w:highlight w:val="none"/>
                    </w:rPr>
                  </w:pPr>
                  <w:r>
                    <w:rPr>
                      <w:color w:val="auto"/>
                      <w:sz w:val="21"/>
                      <w:szCs w:val="21"/>
                      <w:highlight w:val="none"/>
                    </w:rPr>
                    <w:t>涝淄河</w:t>
                  </w:r>
                </w:p>
              </w:tc>
              <w:tc>
                <w:tcPr>
                  <w:tcW w:w="795" w:type="dxa"/>
                  <w:vAlign w:val="center"/>
                </w:tcPr>
                <w:p w14:paraId="769A3F48">
                  <w:pPr>
                    <w:pStyle w:val="47"/>
                    <w:spacing w:line="240" w:lineRule="auto"/>
                    <w:rPr>
                      <w:color w:val="auto"/>
                      <w:sz w:val="21"/>
                      <w:szCs w:val="21"/>
                      <w:highlight w:val="none"/>
                    </w:rPr>
                  </w:pPr>
                  <w:r>
                    <w:rPr>
                      <w:color w:val="auto"/>
                      <w:sz w:val="21"/>
                      <w:szCs w:val="21"/>
                      <w:highlight w:val="none"/>
                    </w:rPr>
                    <w:t>右岸</w:t>
                  </w:r>
                </w:p>
              </w:tc>
              <w:tc>
                <w:tcPr>
                  <w:tcW w:w="2320" w:type="dxa"/>
                  <w:vAlign w:val="center"/>
                </w:tcPr>
                <w:p w14:paraId="167A966F">
                  <w:pPr>
                    <w:pStyle w:val="47"/>
                    <w:spacing w:line="240" w:lineRule="auto"/>
                    <w:rPr>
                      <w:color w:val="auto"/>
                      <w:sz w:val="21"/>
                      <w:szCs w:val="21"/>
                      <w:highlight w:val="none"/>
                    </w:rPr>
                  </w:pPr>
                  <w:r>
                    <w:rPr>
                      <w:color w:val="auto"/>
                      <w:sz w:val="21"/>
                      <w:szCs w:val="21"/>
                      <w:highlight w:val="none"/>
                    </w:rPr>
                    <w:t>胶济铁路~昌国路</w:t>
                  </w:r>
                </w:p>
              </w:tc>
              <w:tc>
                <w:tcPr>
                  <w:tcW w:w="1342" w:type="dxa"/>
                  <w:vAlign w:val="center"/>
                </w:tcPr>
                <w:p w14:paraId="77E9DBBD">
                  <w:pPr>
                    <w:pStyle w:val="47"/>
                    <w:spacing w:line="240" w:lineRule="auto"/>
                    <w:rPr>
                      <w:color w:val="auto"/>
                      <w:sz w:val="21"/>
                      <w:szCs w:val="21"/>
                      <w:highlight w:val="none"/>
                    </w:rPr>
                  </w:pPr>
                  <w:r>
                    <w:rPr>
                      <w:color w:val="auto"/>
                      <w:sz w:val="21"/>
                      <w:szCs w:val="21"/>
                      <w:highlight w:val="none"/>
                    </w:rPr>
                    <w:t>7m</w:t>
                  </w:r>
                </w:p>
              </w:tc>
              <w:tc>
                <w:tcPr>
                  <w:tcW w:w="1020" w:type="dxa"/>
                  <w:vAlign w:val="center"/>
                </w:tcPr>
                <w:p w14:paraId="619FE36F">
                  <w:pPr>
                    <w:pStyle w:val="47"/>
                    <w:spacing w:line="240" w:lineRule="auto"/>
                    <w:rPr>
                      <w:color w:val="auto"/>
                      <w:sz w:val="21"/>
                      <w:szCs w:val="21"/>
                      <w:highlight w:val="none"/>
                    </w:rPr>
                  </w:pPr>
                  <w:r>
                    <w:rPr>
                      <w:color w:val="auto"/>
                      <w:sz w:val="21"/>
                      <w:szCs w:val="21"/>
                      <w:highlight w:val="none"/>
                    </w:rPr>
                    <w:t>940m</w:t>
                  </w:r>
                </w:p>
              </w:tc>
              <w:tc>
                <w:tcPr>
                  <w:tcW w:w="1326" w:type="dxa"/>
                  <w:vAlign w:val="center"/>
                </w:tcPr>
                <w:p w14:paraId="4DE50A3E">
                  <w:pPr>
                    <w:pStyle w:val="47"/>
                    <w:spacing w:line="240" w:lineRule="auto"/>
                    <w:rPr>
                      <w:color w:val="auto"/>
                      <w:sz w:val="21"/>
                      <w:szCs w:val="21"/>
                      <w:highlight w:val="none"/>
                    </w:rPr>
                  </w:pPr>
                  <w:r>
                    <w:rPr>
                      <w:color w:val="auto"/>
                      <w:sz w:val="21"/>
                      <w:szCs w:val="21"/>
                      <w:highlight w:val="none"/>
                    </w:rPr>
                    <w:t>新建</w:t>
                  </w:r>
                </w:p>
              </w:tc>
            </w:tr>
            <w:tr w14:paraId="07919B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jc w:val="center"/>
              </w:trPr>
              <w:tc>
                <w:tcPr>
                  <w:tcW w:w="1416" w:type="dxa"/>
                  <w:vMerge w:val="continue"/>
                  <w:vAlign w:val="center"/>
                </w:tcPr>
                <w:p w14:paraId="712AE12C">
                  <w:pPr>
                    <w:pStyle w:val="47"/>
                    <w:spacing w:line="240" w:lineRule="auto"/>
                    <w:rPr>
                      <w:color w:val="auto"/>
                      <w:sz w:val="21"/>
                      <w:szCs w:val="21"/>
                      <w:highlight w:val="none"/>
                    </w:rPr>
                  </w:pPr>
                </w:p>
              </w:tc>
              <w:tc>
                <w:tcPr>
                  <w:tcW w:w="795" w:type="dxa"/>
                  <w:vAlign w:val="center"/>
                </w:tcPr>
                <w:p w14:paraId="150D49E0">
                  <w:pPr>
                    <w:pStyle w:val="47"/>
                    <w:spacing w:line="240" w:lineRule="auto"/>
                    <w:rPr>
                      <w:color w:val="auto"/>
                      <w:sz w:val="21"/>
                      <w:szCs w:val="21"/>
                      <w:highlight w:val="none"/>
                    </w:rPr>
                  </w:pPr>
                  <w:r>
                    <w:rPr>
                      <w:color w:val="auto"/>
                      <w:sz w:val="21"/>
                      <w:szCs w:val="21"/>
                      <w:highlight w:val="none"/>
                    </w:rPr>
                    <w:t>右岸</w:t>
                  </w:r>
                </w:p>
              </w:tc>
              <w:tc>
                <w:tcPr>
                  <w:tcW w:w="2320" w:type="dxa"/>
                  <w:vAlign w:val="center"/>
                </w:tcPr>
                <w:p w14:paraId="39D7D7A3">
                  <w:pPr>
                    <w:pStyle w:val="47"/>
                    <w:spacing w:line="240" w:lineRule="auto"/>
                    <w:rPr>
                      <w:color w:val="auto"/>
                      <w:sz w:val="21"/>
                      <w:szCs w:val="21"/>
                      <w:highlight w:val="none"/>
                    </w:rPr>
                  </w:pPr>
                  <w:r>
                    <w:rPr>
                      <w:color w:val="auto"/>
                      <w:sz w:val="21"/>
                      <w:szCs w:val="21"/>
                      <w:highlight w:val="none"/>
                    </w:rPr>
                    <w:t>向阳路~海岱大道</w:t>
                  </w:r>
                </w:p>
              </w:tc>
              <w:tc>
                <w:tcPr>
                  <w:tcW w:w="1342" w:type="dxa"/>
                  <w:vAlign w:val="center"/>
                </w:tcPr>
                <w:p w14:paraId="28786A13">
                  <w:pPr>
                    <w:pStyle w:val="47"/>
                    <w:spacing w:line="240" w:lineRule="auto"/>
                    <w:rPr>
                      <w:color w:val="auto"/>
                      <w:sz w:val="21"/>
                      <w:szCs w:val="21"/>
                      <w:highlight w:val="none"/>
                    </w:rPr>
                  </w:pPr>
                  <w:r>
                    <w:rPr>
                      <w:color w:val="auto"/>
                      <w:sz w:val="21"/>
                      <w:szCs w:val="21"/>
                      <w:highlight w:val="none"/>
                    </w:rPr>
                    <w:t>7m</w:t>
                  </w:r>
                </w:p>
              </w:tc>
              <w:tc>
                <w:tcPr>
                  <w:tcW w:w="1020" w:type="dxa"/>
                  <w:vAlign w:val="center"/>
                </w:tcPr>
                <w:p w14:paraId="2E8A16EC">
                  <w:pPr>
                    <w:pStyle w:val="47"/>
                    <w:spacing w:line="240" w:lineRule="auto"/>
                    <w:rPr>
                      <w:color w:val="auto"/>
                      <w:sz w:val="21"/>
                      <w:szCs w:val="21"/>
                      <w:highlight w:val="none"/>
                    </w:rPr>
                  </w:pPr>
                  <w:r>
                    <w:rPr>
                      <w:color w:val="auto"/>
                      <w:sz w:val="21"/>
                      <w:szCs w:val="21"/>
                      <w:highlight w:val="none"/>
                    </w:rPr>
                    <w:t>1100m</w:t>
                  </w:r>
                </w:p>
              </w:tc>
              <w:tc>
                <w:tcPr>
                  <w:tcW w:w="1326" w:type="dxa"/>
                  <w:vAlign w:val="center"/>
                </w:tcPr>
                <w:p w14:paraId="029E222C">
                  <w:pPr>
                    <w:pStyle w:val="47"/>
                    <w:spacing w:line="240" w:lineRule="auto"/>
                    <w:rPr>
                      <w:color w:val="auto"/>
                      <w:sz w:val="21"/>
                      <w:szCs w:val="21"/>
                      <w:highlight w:val="none"/>
                    </w:rPr>
                  </w:pPr>
                  <w:r>
                    <w:rPr>
                      <w:color w:val="auto"/>
                      <w:sz w:val="21"/>
                      <w:szCs w:val="21"/>
                      <w:highlight w:val="none"/>
                    </w:rPr>
                    <w:t>改建</w:t>
                  </w:r>
                </w:p>
              </w:tc>
            </w:tr>
            <w:tr w14:paraId="6C37D2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jc w:val="center"/>
              </w:trPr>
              <w:tc>
                <w:tcPr>
                  <w:tcW w:w="1416" w:type="dxa"/>
                  <w:vMerge w:val="continue"/>
                  <w:vAlign w:val="center"/>
                </w:tcPr>
                <w:p w14:paraId="780A029C">
                  <w:pPr>
                    <w:pStyle w:val="47"/>
                    <w:spacing w:line="240" w:lineRule="auto"/>
                    <w:rPr>
                      <w:color w:val="auto"/>
                      <w:sz w:val="21"/>
                      <w:szCs w:val="21"/>
                      <w:highlight w:val="none"/>
                    </w:rPr>
                  </w:pPr>
                </w:p>
              </w:tc>
              <w:tc>
                <w:tcPr>
                  <w:tcW w:w="795" w:type="dxa"/>
                  <w:vAlign w:val="center"/>
                </w:tcPr>
                <w:p w14:paraId="331311F3">
                  <w:pPr>
                    <w:pStyle w:val="47"/>
                    <w:spacing w:line="240" w:lineRule="auto"/>
                    <w:rPr>
                      <w:color w:val="auto"/>
                      <w:sz w:val="21"/>
                      <w:szCs w:val="21"/>
                      <w:highlight w:val="none"/>
                    </w:rPr>
                  </w:pPr>
                  <w:r>
                    <w:rPr>
                      <w:color w:val="auto"/>
                      <w:sz w:val="21"/>
                      <w:szCs w:val="21"/>
                      <w:highlight w:val="none"/>
                    </w:rPr>
                    <w:t>右岸</w:t>
                  </w:r>
                </w:p>
              </w:tc>
              <w:tc>
                <w:tcPr>
                  <w:tcW w:w="2320" w:type="dxa"/>
                  <w:vAlign w:val="center"/>
                </w:tcPr>
                <w:p w14:paraId="7DA46892">
                  <w:pPr>
                    <w:pStyle w:val="47"/>
                    <w:spacing w:line="240" w:lineRule="auto"/>
                    <w:rPr>
                      <w:color w:val="auto"/>
                      <w:sz w:val="21"/>
                      <w:szCs w:val="21"/>
                      <w:highlight w:val="none"/>
                    </w:rPr>
                  </w:pPr>
                  <w:r>
                    <w:rPr>
                      <w:color w:val="auto"/>
                      <w:sz w:val="21"/>
                      <w:szCs w:val="21"/>
                      <w:highlight w:val="none"/>
                    </w:rPr>
                    <w:t>海岱大道-汇沣路</w:t>
                  </w:r>
                </w:p>
              </w:tc>
              <w:tc>
                <w:tcPr>
                  <w:tcW w:w="1342" w:type="dxa"/>
                  <w:vAlign w:val="center"/>
                </w:tcPr>
                <w:p w14:paraId="274CAC51">
                  <w:pPr>
                    <w:pStyle w:val="47"/>
                    <w:spacing w:line="240" w:lineRule="auto"/>
                    <w:rPr>
                      <w:color w:val="auto"/>
                      <w:sz w:val="21"/>
                      <w:szCs w:val="21"/>
                      <w:highlight w:val="none"/>
                    </w:rPr>
                  </w:pPr>
                  <w:r>
                    <w:rPr>
                      <w:color w:val="auto"/>
                      <w:sz w:val="21"/>
                      <w:szCs w:val="21"/>
                      <w:highlight w:val="none"/>
                    </w:rPr>
                    <w:t>7m</w:t>
                  </w:r>
                </w:p>
              </w:tc>
              <w:tc>
                <w:tcPr>
                  <w:tcW w:w="1020" w:type="dxa"/>
                  <w:vAlign w:val="center"/>
                </w:tcPr>
                <w:p w14:paraId="437B5BE5">
                  <w:pPr>
                    <w:pStyle w:val="47"/>
                    <w:spacing w:line="240" w:lineRule="auto"/>
                    <w:rPr>
                      <w:color w:val="auto"/>
                      <w:sz w:val="21"/>
                      <w:szCs w:val="21"/>
                      <w:highlight w:val="none"/>
                    </w:rPr>
                  </w:pPr>
                  <w:r>
                    <w:rPr>
                      <w:color w:val="auto"/>
                      <w:sz w:val="21"/>
                      <w:szCs w:val="21"/>
                      <w:highlight w:val="none"/>
                    </w:rPr>
                    <w:t>860m</w:t>
                  </w:r>
                </w:p>
              </w:tc>
              <w:tc>
                <w:tcPr>
                  <w:tcW w:w="1326" w:type="dxa"/>
                  <w:vAlign w:val="center"/>
                </w:tcPr>
                <w:p w14:paraId="6E812A11">
                  <w:pPr>
                    <w:pStyle w:val="47"/>
                    <w:spacing w:line="240" w:lineRule="auto"/>
                    <w:rPr>
                      <w:color w:val="auto"/>
                      <w:sz w:val="21"/>
                      <w:szCs w:val="21"/>
                      <w:highlight w:val="none"/>
                    </w:rPr>
                  </w:pPr>
                  <w:r>
                    <w:rPr>
                      <w:color w:val="auto"/>
                      <w:sz w:val="21"/>
                      <w:szCs w:val="21"/>
                      <w:highlight w:val="none"/>
                    </w:rPr>
                    <w:t>新建</w:t>
                  </w:r>
                </w:p>
              </w:tc>
            </w:tr>
            <w:tr w14:paraId="193ED3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4" w:hRule="atLeast"/>
                <w:jc w:val="center"/>
              </w:trPr>
              <w:tc>
                <w:tcPr>
                  <w:tcW w:w="1416" w:type="dxa"/>
                  <w:vAlign w:val="center"/>
                </w:tcPr>
                <w:p w14:paraId="3484EA85">
                  <w:pPr>
                    <w:pStyle w:val="47"/>
                    <w:spacing w:line="240" w:lineRule="auto"/>
                    <w:rPr>
                      <w:color w:val="auto"/>
                      <w:sz w:val="21"/>
                      <w:szCs w:val="21"/>
                      <w:highlight w:val="none"/>
                    </w:rPr>
                  </w:pPr>
                  <w:r>
                    <w:rPr>
                      <w:color w:val="auto"/>
                      <w:sz w:val="21"/>
                      <w:szCs w:val="21"/>
                      <w:highlight w:val="none"/>
                    </w:rPr>
                    <w:t>暖水河</w:t>
                  </w:r>
                </w:p>
              </w:tc>
              <w:tc>
                <w:tcPr>
                  <w:tcW w:w="795" w:type="dxa"/>
                  <w:vAlign w:val="center"/>
                </w:tcPr>
                <w:p w14:paraId="6A25C283">
                  <w:pPr>
                    <w:pStyle w:val="47"/>
                    <w:spacing w:line="240" w:lineRule="auto"/>
                    <w:rPr>
                      <w:color w:val="auto"/>
                      <w:sz w:val="21"/>
                      <w:szCs w:val="21"/>
                      <w:highlight w:val="none"/>
                    </w:rPr>
                  </w:pPr>
                  <w:r>
                    <w:rPr>
                      <w:color w:val="auto"/>
                      <w:sz w:val="21"/>
                      <w:szCs w:val="21"/>
                      <w:highlight w:val="none"/>
                    </w:rPr>
                    <w:t>左岸</w:t>
                  </w:r>
                </w:p>
              </w:tc>
              <w:tc>
                <w:tcPr>
                  <w:tcW w:w="2320" w:type="dxa"/>
                  <w:vAlign w:val="center"/>
                </w:tcPr>
                <w:p w14:paraId="45A3FF65">
                  <w:pPr>
                    <w:pStyle w:val="47"/>
                    <w:spacing w:line="240" w:lineRule="auto"/>
                    <w:rPr>
                      <w:color w:val="auto"/>
                      <w:sz w:val="21"/>
                      <w:szCs w:val="21"/>
                      <w:highlight w:val="none"/>
                    </w:rPr>
                  </w:pPr>
                  <w:r>
                    <w:rPr>
                      <w:color w:val="auto"/>
                      <w:sz w:val="21"/>
                      <w:szCs w:val="21"/>
                      <w:highlight w:val="none"/>
                    </w:rPr>
                    <w:t>张罗路至瓦村</w:t>
                  </w:r>
                </w:p>
              </w:tc>
              <w:tc>
                <w:tcPr>
                  <w:tcW w:w="1342" w:type="dxa"/>
                  <w:vAlign w:val="center"/>
                </w:tcPr>
                <w:p w14:paraId="3F899D6F">
                  <w:pPr>
                    <w:pStyle w:val="47"/>
                    <w:spacing w:line="240" w:lineRule="auto"/>
                    <w:rPr>
                      <w:color w:val="auto"/>
                      <w:sz w:val="21"/>
                      <w:szCs w:val="21"/>
                      <w:highlight w:val="none"/>
                    </w:rPr>
                  </w:pPr>
                  <w:r>
                    <w:rPr>
                      <w:color w:val="auto"/>
                      <w:sz w:val="21"/>
                      <w:szCs w:val="21"/>
                      <w:highlight w:val="none"/>
                    </w:rPr>
                    <w:t>7m</w:t>
                  </w:r>
                </w:p>
              </w:tc>
              <w:tc>
                <w:tcPr>
                  <w:tcW w:w="1020" w:type="dxa"/>
                  <w:vAlign w:val="center"/>
                </w:tcPr>
                <w:p w14:paraId="1D6979B4">
                  <w:pPr>
                    <w:pStyle w:val="47"/>
                    <w:spacing w:line="240" w:lineRule="auto"/>
                    <w:rPr>
                      <w:color w:val="auto"/>
                      <w:sz w:val="21"/>
                      <w:szCs w:val="21"/>
                      <w:highlight w:val="none"/>
                    </w:rPr>
                  </w:pPr>
                  <w:r>
                    <w:rPr>
                      <w:color w:val="auto"/>
                      <w:sz w:val="21"/>
                      <w:szCs w:val="21"/>
                      <w:highlight w:val="none"/>
                    </w:rPr>
                    <w:t>700m</w:t>
                  </w:r>
                </w:p>
              </w:tc>
              <w:tc>
                <w:tcPr>
                  <w:tcW w:w="1326" w:type="dxa"/>
                  <w:vAlign w:val="center"/>
                </w:tcPr>
                <w:p w14:paraId="726EA1B7">
                  <w:pPr>
                    <w:pStyle w:val="47"/>
                    <w:spacing w:line="240" w:lineRule="auto"/>
                    <w:rPr>
                      <w:color w:val="auto"/>
                      <w:sz w:val="21"/>
                      <w:szCs w:val="21"/>
                      <w:highlight w:val="none"/>
                    </w:rPr>
                  </w:pPr>
                  <w:r>
                    <w:rPr>
                      <w:color w:val="auto"/>
                      <w:sz w:val="21"/>
                      <w:szCs w:val="21"/>
                      <w:highlight w:val="none"/>
                    </w:rPr>
                    <w:t>改建</w:t>
                  </w:r>
                </w:p>
              </w:tc>
            </w:tr>
            <w:tr w14:paraId="35A615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jc w:val="center"/>
              </w:trPr>
              <w:tc>
                <w:tcPr>
                  <w:tcW w:w="1416" w:type="dxa"/>
                  <w:vAlign w:val="center"/>
                </w:tcPr>
                <w:p w14:paraId="1A47B666">
                  <w:pPr>
                    <w:pStyle w:val="47"/>
                    <w:spacing w:line="240" w:lineRule="auto"/>
                    <w:rPr>
                      <w:color w:val="auto"/>
                      <w:sz w:val="21"/>
                      <w:szCs w:val="21"/>
                      <w:highlight w:val="none"/>
                    </w:rPr>
                  </w:pPr>
                  <w:r>
                    <w:rPr>
                      <w:color w:val="auto"/>
                      <w:sz w:val="21"/>
                      <w:szCs w:val="21"/>
                      <w:highlight w:val="none"/>
                    </w:rPr>
                    <w:t>瓦村沟</w:t>
                  </w:r>
                </w:p>
              </w:tc>
              <w:tc>
                <w:tcPr>
                  <w:tcW w:w="795" w:type="dxa"/>
                  <w:vAlign w:val="center"/>
                </w:tcPr>
                <w:p w14:paraId="4C2D3488">
                  <w:pPr>
                    <w:pStyle w:val="47"/>
                    <w:spacing w:line="240" w:lineRule="auto"/>
                    <w:rPr>
                      <w:color w:val="auto"/>
                      <w:sz w:val="21"/>
                      <w:szCs w:val="21"/>
                      <w:highlight w:val="none"/>
                    </w:rPr>
                  </w:pPr>
                  <w:r>
                    <w:rPr>
                      <w:color w:val="auto"/>
                      <w:sz w:val="21"/>
                      <w:szCs w:val="21"/>
                      <w:highlight w:val="none"/>
                    </w:rPr>
                    <w:t>右岸</w:t>
                  </w:r>
                </w:p>
              </w:tc>
              <w:tc>
                <w:tcPr>
                  <w:tcW w:w="2320" w:type="dxa"/>
                  <w:vAlign w:val="center"/>
                </w:tcPr>
                <w:p w14:paraId="7D451833">
                  <w:pPr>
                    <w:pStyle w:val="47"/>
                    <w:spacing w:line="240" w:lineRule="auto"/>
                    <w:rPr>
                      <w:color w:val="auto"/>
                      <w:sz w:val="21"/>
                      <w:szCs w:val="21"/>
                      <w:highlight w:val="none"/>
                    </w:rPr>
                  </w:pPr>
                  <w:r>
                    <w:rPr>
                      <w:color w:val="auto"/>
                      <w:sz w:val="21"/>
                      <w:szCs w:val="21"/>
                      <w:highlight w:val="none"/>
                    </w:rPr>
                    <w:t>车站街至双沟铁路</w:t>
                  </w:r>
                </w:p>
              </w:tc>
              <w:tc>
                <w:tcPr>
                  <w:tcW w:w="1342" w:type="dxa"/>
                  <w:vAlign w:val="center"/>
                </w:tcPr>
                <w:p w14:paraId="5EBE51B7">
                  <w:pPr>
                    <w:pStyle w:val="47"/>
                    <w:spacing w:line="240" w:lineRule="auto"/>
                    <w:rPr>
                      <w:color w:val="auto"/>
                      <w:sz w:val="21"/>
                      <w:szCs w:val="21"/>
                      <w:highlight w:val="none"/>
                    </w:rPr>
                  </w:pPr>
                  <w:r>
                    <w:rPr>
                      <w:color w:val="auto"/>
                      <w:sz w:val="21"/>
                      <w:szCs w:val="21"/>
                      <w:highlight w:val="none"/>
                    </w:rPr>
                    <w:t>7m</w:t>
                  </w:r>
                </w:p>
              </w:tc>
              <w:tc>
                <w:tcPr>
                  <w:tcW w:w="1020" w:type="dxa"/>
                  <w:vAlign w:val="center"/>
                </w:tcPr>
                <w:p w14:paraId="4651B69E">
                  <w:pPr>
                    <w:pStyle w:val="47"/>
                    <w:spacing w:line="240" w:lineRule="auto"/>
                    <w:rPr>
                      <w:color w:val="auto"/>
                      <w:sz w:val="21"/>
                      <w:szCs w:val="21"/>
                      <w:highlight w:val="none"/>
                    </w:rPr>
                  </w:pPr>
                  <w:r>
                    <w:rPr>
                      <w:color w:val="auto"/>
                      <w:sz w:val="21"/>
                      <w:szCs w:val="21"/>
                      <w:highlight w:val="none"/>
                    </w:rPr>
                    <w:t>330m</w:t>
                  </w:r>
                </w:p>
              </w:tc>
              <w:tc>
                <w:tcPr>
                  <w:tcW w:w="1326" w:type="dxa"/>
                  <w:vAlign w:val="center"/>
                </w:tcPr>
                <w:p w14:paraId="47D79CC5">
                  <w:pPr>
                    <w:pStyle w:val="47"/>
                    <w:spacing w:line="240" w:lineRule="auto"/>
                    <w:rPr>
                      <w:color w:val="auto"/>
                      <w:sz w:val="21"/>
                      <w:szCs w:val="21"/>
                      <w:highlight w:val="none"/>
                    </w:rPr>
                  </w:pPr>
                  <w:r>
                    <w:rPr>
                      <w:color w:val="auto"/>
                      <w:sz w:val="21"/>
                      <w:szCs w:val="21"/>
                      <w:highlight w:val="none"/>
                    </w:rPr>
                    <w:t>改建</w:t>
                  </w:r>
                </w:p>
              </w:tc>
            </w:tr>
          </w:tbl>
          <w:p w14:paraId="3F919520">
            <w:pPr>
              <w:pStyle w:val="46"/>
              <w:rPr>
                <w:bCs/>
                <w:color w:val="auto"/>
                <w:sz w:val="24"/>
                <w:highlight w:val="none"/>
              </w:rPr>
            </w:pPr>
            <w:r>
              <w:rPr>
                <w:rFonts w:hint="eastAsia"/>
                <w:bCs/>
                <w:color w:val="auto"/>
                <w:sz w:val="24"/>
                <w:highlight w:val="none"/>
              </w:rPr>
              <w:t>（四）桥梁设计</w:t>
            </w:r>
          </w:p>
          <w:p w14:paraId="4F12B6E1">
            <w:pPr>
              <w:pStyle w:val="46"/>
              <w:rPr>
                <w:bCs/>
                <w:color w:val="auto"/>
                <w:sz w:val="24"/>
                <w:highlight w:val="none"/>
              </w:rPr>
            </w:pPr>
            <w:r>
              <w:rPr>
                <w:rFonts w:hint="eastAsia"/>
                <w:bCs/>
                <w:color w:val="auto"/>
                <w:sz w:val="24"/>
                <w:highlight w:val="none"/>
              </w:rPr>
              <w:t>河道现状桥梁跨径不足，影响河道行洪，需对桥梁拆除重建。本工程共建设桥梁</w:t>
            </w:r>
            <w:r>
              <w:rPr>
                <w:rFonts w:hint="eastAsia"/>
                <w:bCs/>
                <w:color w:val="auto"/>
                <w:sz w:val="24"/>
                <w:highlight w:val="none"/>
                <w:lang w:val="en-US" w:eastAsia="zh-CN"/>
              </w:rPr>
              <w:t>15</w:t>
            </w:r>
            <w:r>
              <w:rPr>
                <w:rFonts w:hint="eastAsia"/>
                <w:bCs/>
                <w:color w:val="auto"/>
                <w:sz w:val="24"/>
                <w:highlight w:val="none"/>
              </w:rPr>
              <w:t>座，分别位于涝淄河8座，猪龙河西支3座，瓦村沟3座，袁家河1座。</w:t>
            </w:r>
          </w:p>
          <w:p w14:paraId="1BFEAFCE">
            <w:pPr>
              <w:pStyle w:val="47"/>
              <w:rPr>
                <w:b/>
                <w:bCs/>
                <w:color w:val="auto"/>
                <w:kern w:val="0"/>
                <w:sz w:val="21"/>
                <w:szCs w:val="21"/>
                <w:highlight w:val="none"/>
                <w:lang w:bidi="ar"/>
              </w:rPr>
            </w:pPr>
            <w:r>
              <w:rPr>
                <w:b/>
                <w:bCs/>
                <w:color w:val="auto"/>
                <w:kern w:val="0"/>
                <w:sz w:val="21"/>
                <w:szCs w:val="21"/>
                <w:highlight w:val="none"/>
                <w:lang w:bidi="ar"/>
              </w:rPr>
              <w:t>表2-</w:t>
            </w:r>
            <w:r>
              <w:rPr>
                <w:rFonts w:hint="eastAsia"/>
                <w:b/>
                <w:bCs/>
                <w:color w:val="auto"/>
                <w:kern w:val="0"/>
                <w:sz w:val="21"/>
                <w:szCs w:val="21"/>
                <w:highlight w:val="none"/>
                <w:lang w:val="en-US" w:eastAsia="zh-CN" w:bidi="ar"/>
              </w:rPr>
              <w:t>4</w:t>
            </w:r>
            <w:r>
              <w:rPr>
                <w:b/>
                <w:bCs/>
                <w:color w:val="auto"/>
                <w:kern w:val="0"/>
                <w:sz w:val="21"/>
                <w:szCs w:val="21"/>
                <w:highlight w:val="none"/>
                <w:lang w:bidi="ar"/>
              </w:rPr>
              <w:t xml:space="preserve">  </w:t>
            </w:r>
            <w:r>
              <w:rPr>
                <w:rFonts w:hint="eastAsia"/>
                <w:b/>
                <w:bCs/>
                <w:color w:val="auto"/>
                <w:kern w:val="0"/>
                <w:sz w:val="21"/>
                <w:szCs w:val="21"/>
                <w:highlight w:val="none"/>
                <w:lang w:bidi="ar"/>
              </w:rPr>
              <w:t>桥梁统计表</w:t>
            </w:r>
          </w:p>
          <w:tbl>
            <w:tblPr>
              <w:tblStyle w:val="20"/>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9"/>
              <w:gridCol w:w="1344"/>
              <w:gridCol w:w="1027"/>
              <w:gridCol w:w="847"/>
              <w:gridCol w:w="1485"/>
              <w:gridCol w:w="1928"/>
              <w:gridCol w:w="823"/>
            </w:tblGrid>
            <w:tr w14:paraId="2CE6C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Align w:val="center"/>
                </w:tcPr>
                <w:p w14:paraId="14AB320D">
                  <w:pPr>
                    <w:pStyle w:val="47"/>
                    <w:spacing w:line="240" w:lineRule="auto"/>
                    <w:rPr>
                      <w:color w:val="auto"/>
                      <w:sz w:val="21"/>
                      <w:szCs w:val="21"/>
                      <w:highlight w:val="none"/>
                    </w:rPr>
                  </w:pPr>
                  <w:r>
                    <w:rPr>
                      <w:rFonts w:hint="eastAsia"/>
                      <w:color w:val="auto"/>
                      <w:sz w:val="21"/>
                      <w:szCs w:val="21"/>
                      <w:highlight w:val="none"/>
                    </w:rPr>
                    <w:t>河道</w:t>
                  </w:r>
                </w:p>
              </w:tc>
              <w:tc>
                <w:tcPr>
                  <w:tcW w:w="792" w:type="pct"/>
                  <w:vAlign w:val="center"/>
                </w:tcPr>
                <w:p w14:paraId="06ABE9C1">
                  <w:pPr>
                    <w:pStyle w:val="47"/>
                    <w:spacing w:line="240" w:lineRule="auto"/>
                    <w:rPr>
                      <w:color w:val="auto"/>
                      <w:sz w:val="21"/>
                      <w:szCs w:val="21"/>
                      <w:highlight w:val="none"/>
                    </w:rPr>
                  </w:pPr>
                  <w:r>
                    <w:rPr>
                      <w:rFonts w:hint="eastAsia"/>
                      <w:color w:val="auto"/>
                      <w:sz w:val="21"/>
                      <w:szCs w:val="21"/>
                      <w:highlight w:val="none"/>
                    </w:rPr>
                    <w:t>桥名</w:t>
                  </w:r>
                </w:p>
              </w:tc>
              <w:tc>
                <w:tcPr>
                  <w:tcW w:w="605" w:type="pct"/>
                  <w:vAlign w:val="center"/>
                </w:tcPr>
                <w:p w14:paraId="0C333A1A">
                  <w:pPr>
                    <w:pStyle w:val="47"/>
                    <w:spacing w:line="240" w:lineRule="auto"/>
                    <w:rPr>
                      <w:color w:val="auto"/>
                      <w:sz w:val="21"/>
                      <w:szCs w:val="21"/>
                      <w:highlight w:val="none"/>
                    </w:rPr>
                  </w:pPr>
                  <w:r>
                    <w:rPr>
                      <w:rFonts w:hint="eastAsia"/>
                      <w:color w:val="auto"/>
                      <w:sz w:val="21"/>
                      <w:szCs w:val="21"/>
                      <w:highlight w:val="none"/>
                    </w:rPr>
                    <w:t>孔数及孔径</w:t>
                  </w:r>
                </w:p>
              </w:tc>
              <w:tc>
                <w:tcPr>
                  <w:tcW w:w="499" w:type="pct"/>
                  <w:vAlign w:val="center"/>
                </w:tcPr>
                <w:p w14:paraId="2448B8A3">
                  <w:pPr>
                    <w:pStyle w:val="47"/>
                    <w:spacing w:line="240" w:lineRule="auto"/>
                    <w:rPr>
                      <w:color w:val="auto"/>
                      <w:sz w:val="21"/>
                      <w:szCs w:val="21"/>
                      <w:highlight w:val="none"/>
                    </w:rPr>
                  </w:pPr>
                  <w:r>
                    <w:rPr>
                      <w:rFonts w:hint="eastAsia"/>
                      <w:color w:val="auto"/>
                      <w:sz w:val="21"/>
                      <w:szCs w:val="21"/>
                      <w:highlight w:val="none"/>
                    </w:rPr>
                    <w:t>桥宽（m）</w:t>
                  </w:r>
                </w:p>
              </w:tc>
              <w:tc>
                <w:tcPr>
                  <w:tcW w:w="875" w:type="pct"/>
                  <w:vAlign w:val="center"/>
                </w:tcPr>
                <w:p w14:paraId="14DFF9BE">
                  <w:pPr>
                    <w:pStyle w:val="47"/>
                    <w:spacing w:line="240" w:lineRule="auto"/>
                    <w:rPr>
                      <w:color w:val="auto"/>
                      <w:sz w:val="21"/>
                      <w:szCs w:val="21"/>
                      <w:highlight w:val="none"/>
                    </w:rPr>
                  </w:pPr>
                  <w:r>
                    <w:rPr>
                      <w:rFonts w:hint="eastAsia"/>
                      <w:color w:val="auto"/>
                      <w:sz w:val="21"/>
                      <w:szCs w:val="21"/>
                      <w:highlight w:val="none"/>
                    </w:rPr>
                    <w:t>上部结构</w:t>
                  </w:r>
                </w:p>
              </w:tc>
              <w:tc>
                <w:tcPr>
                  <w:tcW w:w="1136" w:type="pct"/>
                  <w:vAlign w:val="center"/>
                </w:tcPr>
                <w:p w14:paraId="6F7CAE29">
                  <w:pPr>
                    <w:pStyle w:val="47"/>
                    <w:spacing w:line="240" w:lineRule="auto"/>
                    <w:rPr>
                      <w:color w:val="auto"/>
                      <w:sz w:val="21"/>
                      <w:szCs w:val="21"/>
                      <w:highlight w:val="none"/>
                    </w:rPr>
                  </w:pPr>
                  <w:r>
                    <w:rPr>
                      <w:rFonts w:hint="eastAsia"/>
                      <w:color w:val="auto"/>
                      <w:sz w:val="21"/>
                      <w:szCs w:val="21"/>
                      <w:highlight w:val="none"/>
                    </w:rPr>
                    <w:t>下部结构</w:t>
                  </w:r>
                </w:p>
              </w:tc>
              <w:tc>
                <w:tcPr>
                  <w:tcW w:w="485" w:type="pct"/>
                  <w:vAlign w:val="center"/>
                </w:tcPr>
                <w:p w14:paraId="1D324751">
                  <w:pPr>
                    <w:pStyle w:val="47"/>
                    <w:spacing w:line="240" w:lineRule="auto"/>
                    <w:rPr>
                      <w:color w:val="auto"/>
                      <w:sz w:val="21"/>
                      <w:szCs w:val="21"/>
                      <w:highlight w:val="none"/>
                    </w:rPr>
                  </w:pPr>
                  <w:r>
                    <w:rPr>
                      <w:rFonts w:hint="eastAsia"/>
                      <w:color w:val="auto"/>
                      <w:sz w:val="21"/>
                      <w:szCs w:val="21"/>
                      <w:highlight w:val="none"/>
                    </w:rPr>
                    <w:t>备注</w:t>
                  </w:r>
                </w:p>
              </w:tc>
            </w:tr>
            <w:tr w14:paraId="4309E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606" w:type="pct"/>
                  <w:vMerge w:val="restart"/>
                  <w:vAlign w:val="center"/>
                </w:tcPr>
                <w:p w14:paraId="2BAC353D">
                  <w:pPr>
                    <w:pStyle w:val="47"/>
                    <w:spacing w:line="240" w:lineRule="auto"/>
                    <w:rPr>
                      <w:color w:val="auto"/>
                      <w:sz w:val="21"/>
                      <w:szCs w:val="21"/>
                      <w:highlight w:val="none"/>
                    </w:rPr>
                  </w:pPr>
                  <w:r>
                    <w:rPr>
                      <w:rFonts w:hint="eastAsia"/>
                      <w:color w:val="auto"/>
                      <w:sz w:val="21"/>
                      <w:szCs w:val="21"/>
                      <w:highlight w:val="none"/>
                    </w:rPr>
                    <w:t>涝淄河</w:t>
                  </w:r>
                </w:p>
              </w:tc>
              <w:tc>
                <w:tcPr>
                  <w:tcW w:w="792" w:type="pct"/>
                  <w:vAlign w:val="center"/>
                </w:tcPr>
                <w:p w14:paraId="08833F74">
                  <w:pPr>
                    <w:pStyle w:val="47"/>
                    <w:spacing w:line="240" w:lineRule="auto"/>
                    <w:rPr>
                      <w:color w:val="auto"/>
                      <w:sz w:val="21"/>
                      <w:szCs w:val="21"/>
                      <w:highlight w:val="none"/>
                    </w:rPr>
                  </w:pPr>
                  <w:r>
                    <w:rPr>
                      <w:rFonts w:hint="eastAsia"/>
                      <w:color w:val="auto"/>
                      <w:sz w:val="21"/>
                      <w:szCs w:val="21"/>
                      <w:highlight w:val="none"/>
                    </w:rPr>
                    <w:t>胶济铁路南1号桥</w:t>
                  </w:r>
                </w:p>
              </w:tc>
              <w:tc>
                <w:tcPr>
                  <w:tcW w:w="605" w:type="pct"/>
                  <w:vAlign w:val="center"/>
                </w:tcPr>
                <w:p w14:paraId="2E25F3E6">
                  <w:pPr>
                    <w:pStyle w:val="47"/>
                    <w:spacing w:line="240" w:lineRule="auto"/>
                    <w:rPr>
                      <w:color w:val="auto"/>
                      <w:sz w:val="21"/>
                      <w:szCs w:val="21"/>
                      <w:highlight w:val="none"/>
                    </w:rPr>
                  </w:pPr>
                  <w:r>
                    <w:rPr>
                      <w:rFonts w:hint="eastAsia"/>
                      <w:color w:val="auto"/>
                      <w:sz w:val="21"/>
                      <w:szCs w:val="21"/>
                      <w:highlight w:val="none"/>
                    </w:rPr>
                    <w:t>1×15</w:t>
                  </w:r>
                </w:p>
              </w:tc>
              <w:tc>
                <w:tcPr>
                  <w:tcW w:w="499" w:type="pct"/>
                  <w:vAlign w:val="center"/>
                </w:tcPr>
                <w:p w14:paraId="010A7F39">
                  <w:pPr>
                    <w:pStyle w:val="47"/>
                    <w:spacing w:line="240" w:lineRule="auto"/>
                    <w:rPr>
                      <w:color w:val="auto"/>
                      <w:sz w:val="21"/>
                      <w:szCs w:val="21"/>
                      <w:highlight w:val="none"/>
                    </w:rPr>
                  </w:pPr>
                  <w:r>
                    <w:rPr>
                      <w:rFonts w:hint="eastAsia"/>
                      <w:color w:val="auto"/>
                      <w:sz w:val="21"/>
                      <w:szCs w:val="21"/>
                      <w:highlight w:val="none"/>
                    </w:rPr>
                    <w:t>6</w:t>
                  </w:r>
                </w:p>
              </w:tc>
              <w:tc>
                <w:tcPr>
                  <w:tcW w:w="875" w:type="pct"/>
                  <w:vAlign w:val="center"/>
                </w:tcPr>
                <w:p w14:paraId="0ABF57D2">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vAlign w:val="center"/>
                </w:tcPr>
                <w:p w14:paraId="6998C9E9">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2586E4F2">
                  <w:pPr>
                    <w:pStyle w:val="47"/>
                    <w:spacing w:line="240" w:lineRule="auto"/>
                    <w:rPr>
                      <w:color w:val="auto"/>
                      <w:sz w:val="21"/>
                      <w:szCs w:val="21"/>
                      <w:highlight w:val="none"/>
                    </w:rPr>
                  </w:pPr>
                  <w:r>
                    <w:rPr>
                      <w:rFonts w:hint="eastAsia"/>
                      <w:color w:val="auto"/>
                      <w:sz w:val="21"/>
                      <w:szCs w:val="21"/>
                      <w:highlight w:val="none"/>
                    </w:rPr>
                    <w:t>改建</w:t>
                  </w:r>
                </w:p>
              </w:tc>
            </w:tr>
            <w:tr w14:paraId="37C3E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6EBA7439">
                  <w:pPr>
                    <w:pStyle w:val="47"/>
                    <w:spacing w:line="240" w:lineRule="auto"/>
                    <w:rPr>
                      <w:color w:val="auto"/>
                      <w:sz w:val="21"/>
                      <w:szCs w:val="21"/>
                      <w:highlight w:val="none"/>
                    </w:rPr>
                  </w:pPr>
                </w:p>
              </w:tc>
              <w:tc>
                <w:tcPr>
                  <w:tcW w:w="792" w:type="pct"/>
                  <w:vAlign w:val="center"/>
                </w:tcPr>
                <w:p w14:paraId="0209A865">
                  <w:pPr>
                    <w:pStyle w:val="47"/>
                    <w:spacing w:line="240" w:lineRule="auto"/>
                    <w:rPr>
                      <w:color w:val="auto"/>
                      <w:sz w:val="21"/>
                      <w:szCs w:val="21"/>
                      <w:highlight w:val="none"/>
                    </w:rPr>
                  </w:pPr>
                  <w:r>
                    <w:rPr>
                      <w:rFonts w:hint="eastAsia"/>
                      <w:color w:val="auto"/>
                      <w:sz w:val="21"/>
                      <w:szCs w:val="21"/>
                      <w:highlight w:val="none"/>
                    </w:rPr>
                    <w:t>张赵2号桥</w:t>
                  </w:r>
                </w:p>
              </w:tc>
              <w:tc>
                <w:tcPr>
                  <w:tcW w:w="605" w:type="pct"/>
                  <w:vAlign w:val="center"/>
                </w:tcPr>
                <w:p w14:paraId="478DDD91">
                  <w:pPr>
                    <w:pStyle w:val="47"/>
                    <w:spacing w:line="240" w:lineRule="auto"/>
                    <w:rPr>
                      <w:color w:val="auto"/>
                      <w:sz w:val="21"/>
                      <w:szCs w:val="21"/>
                      <w:highlight w:val="none"/>
                    </w:rPr>
                  </w:pPr>
                  <w:r>
                    <w:rPr>
                      <w:rFonts w:hint="eastAsia"/>
                      <w:color w:val="auto"/>
                      <w:sz w:val="21"/>
                      <w:szCs w:val="21"/>
                      <w:highlight w:val="none"/>
                    </w:rPr>
                    <w:t>1×10</w:t>
                  </w:r>
                </w:p>
              </w:tc>
              <w:tc>
                <w:tcPr>
                  <w:tcW w:w="499" w:type="pct"/>
                  <w:vAlign w:val="center"/>
                </w:tcPr>
                <w:p w14:paraId="2879EA55">
                  <w:pPr>
                    <w:pStyle w:val="47"/>
                    <w:spacing w:line="240" w:lineRule="auto"/>
                    <w:rPr>
                      <w:color w:val="auto"/>
                      <w:sz w:val="21"/>
                      <w:szCs w:val="21"/>
                      <w:highlight w:val="none"/>
                    </w:rPr>
                  </w:pPr>
                  <w:r>
                    <w:rPr>
                      <w:rFonts w:hint="eastAsia"/>
                      <w:color w:val="auto"/>
                      <w:sz w:val="21"/>
                      <w:szCs w:val="21"/>
                      <w:highlight w:val="none"/>
                    </w:rPr>
                    <w:t>4</w:t>
                  </w:r>
                </w:p>
              </w:tc>
              <w:tc>
                <w:tcPr>
                  <w:tcW w:w="875" w:type="pct"/>
                  <w:vAlign w:val="center"/>
                </w:tcPr>
                <w:p w14:paraId="681F8383">
                  <w:pPr>
                    <w:pStyle w:val="47"/>
                    <w:spacing w:line="240" w:lineRule="auto"/>
                    <w:rPr>
                      <w:color w:val="auto"/>
                      <w:sz w:val="21"/>
                      <w:szCs w:val="21"/>
                      <w:highlight w:val="none"/>
                    </w:rPr>
                  </w:pPr>
                  <w:r>
                    <w:rPr>
                      <w:rFonts w:hint="eastAsia"/>
                      <w:color w:val="auto"/>
                      <w:sz w:val="21"/>
                      <w:szCs w:val="21"/>
                      <w:highlight w:val="none"/>
                    </w:rPr>
                    <w:t>装配式预应</w:t>
                  </w:r>
                </w:p>
                <w:p w14:paraId="1C05211E">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vAlign w:val="center"/>
                </w:tcPr>
                <w:p w14:paraId="0BD43E4A">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68664DCF">
                  <w:pPr>
                    <w:pStyle w:val="47"/>
                    <w:spacing w:line="240" w:lineRule="auto"/>
                    <w:rPr>
                      <w:color w:val="auto"/>
                      <w:sz w:val="21"/>
                      <w:szCs w:val="21"/>
                      <w:highlight w:val="none"/>
                    </w:rPr>
                  </w:pPr>
                  <w:r>
                    <w:rPr>
                      <w:rFonts w:hint="eastAsia"/>
                      <w:color w:val="auto"/>
                      <w:sz w:val="21"/>
                      <w:szCs w:val="21"/>
                      <w:highlight w:val="none"/>
                    </w:rPr>
                    <w:t>改建</w:t>
                  </w:r>
                </w:p>
              </w:tc>
            </w:tr>
            <w:tr w14:paraId="161DD1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72C780D3">
                  <w:pPr>
                    <w:pStyle w:val="47"/>
                    <w:spacing w:line="240" w:lineRule="auto"/>
                    <w:rPr>
                      <w:color w:val="auto"/>
                      <w:sz w:val="21"/>
                      <w:szCs w:val="21"/>
                      <w:highlight w:val="none"/>
                    </w:rPr>
                  </w:pPr>
                </w:p>
              </w:tc>
              <w:tc>
                <w:tcPr>
                  <w:tcW w:w="792" w:type="pct"/>
                  <w:vAlign w:val="center"/>
                </w:tcPr>
                <w:p w14:paraId="6AA60680">
                  <w:pPr>
                    <w:pStyle w:val="47"/>
                    <w:spacing w:line="240" w:lineRule="auto"/>
                    <w:rPr>
                      <w:color w:val="auto"/>
                      <w:sz w:val="21"/>
                      <w:szCs w:val="21"/>
                      <w:highlight w:val="none"/>
                    </w:rPr>
                  </w:pPr>
                  <w:r>
                    <w:rPr>
                      <w:rFonts w:hint="eastAsia"/>
                      <w:color w:val="auto"/>
                      <w:sz w:val="21"/>
                      <w:szCs w:val="21"/>
                      <w:highlight w:val="none"/>
                    </w:rPr>
                    <w:t>张赵3号桥</w:t>
                  </w:r>
                </w:p>
              </w:tc>
              <w:tc>
                <w:tcPr>
                  <w:tcW w:w="605" w:type="pct"/>
                  <w:vAlign w:val="center"/>
                </w:tcPr>
                <w:p w14:paraId="7E545368">
                  <w:pPr>
                    <w:pStyle w:val="47"/>
                    <w:spacing w:line="240" w:lineRule="auto"/>
                    <w:rPr>
                      <w:color w:val="auto"/>
                      <w:sz w:val="21"/>
                      <w:szCs w:val="21"/>
                      <w:highlight w:val="none"/>
                    </w:rPr>
                  </w:pPr>
                  <w:r>
                    <w:rPr>
                      <w:rFonts w:hint="eastAsia"/>
                      <w:color w:val="auto"/>
                      <w:sz w:val="21"/>
                      <w:szCs w:val="21"/>
                      <w:highlight w:val="none"/>
                    </w:rPr>
                    <w:t>1×10</w:t>
                  </w:r>
                </w:p>
              </w:tc>
              <w:tc>
                <w:tcPr>
                  <w:tcW w:w="499" w:type="pct"/>
                  <w:vAlign w:val="center"/>
                </w:tcPr>
                <w:p w14:paraId="0410C71A">
                  <w:pPr>
                    <w:pStyle w:val="47"/>
                    <w:spacing w:line="240" w:lineRule="auto"/>
                    <w:rPr>
                      <w:color w:val="auto"/>
                      <w:sz w:val="21"/>
                      <w:szCs w:val="21"/>
                      <w:highlight w:val="none"/>
                    </w:rPr>
                  </w:pPr>
                  <w:r>
                    <w:rPr>
                      <w:rFonts w:hint="eastAsia"/>
                      <w:color w:val="auto"/>
                      <w:sz w:val="21"/>
                      <w:szCs w:val="21"/>
                      <w:highlight w:val="none"/>
                    </w:rPr>
                    <w:t>4</w:t>
                  </w:r>
                </w:p>
              </w:tc>
              <w:tc>
                <w:tcPr>
                  <w:tcW w:w="875" w:type="pct"/>
                  <w:vAlign w:val="center"/>
                </w:tcPr>
                <w:p w14:paraId="12B2EFEA">
                  <w:pPr>
                    <w:pStyle w:val="47"/>
                    <w:spacing w:line="240" w:lineRule="auto"/>
                    <w:rPr>
                      <w:color w:val="auto"/>
                      <w:sz w:val="21"/>
                      <w:szCs w:val="21"/>
                      <w:highlight w:val="none"/>
                    </w:rPr>
                  </w:pPr>
                  <w:r>
                    <w:rPr>
                      <w:rFonts w:hint="eastAsia"/>
                      <w:color w:val="auto"/>
                      <w:sz w:val="21"/>
                      <w:szCs w:val="21"/>
                      <w:highlight w:val="none"/>
                    </w:rPr>
                    <w:t>装配式预应</w:t>
                  </w:r>
                </w:p>
                <w:p w14:paraId="75AA91B6">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vAlign w:val="center"/>
                </w:tcPr>
                <w:p w14:paraId="2BA4EBAE">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70F22FB9">
                  <w:pPr>
                    <w:pStyle w:val="47"/>
                    <w:spacing w:line="240" w:lineRule="auto"/>
                    <w:rPr>
                      <w:color w:val="auto"/>
                      <w:sz w:val="21"/>
                      <w:szCs w:val="21"/>
                      <w:highlight w:val="none"/>
                    </w:rPr>
                  </w:pPr>
                  <w:r>
                    <w:rPr>
                      <w:rFonts w:hint="eastAsia"/>
                      <w:color w:val="auto"/>
                      <w:sz w:val="21"/>
                      <w:szCs w:val="21"/>
                      <w:highlight w:val="none"/>
                    </w:rPr>
                    <w:t>改建</w:t>
                  </w:r>
                </w:p>
              </w:tc>
            </w:tr>
            <w:tr w14:paraId="4267B7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606" w:type="pct"/>
                  <w:vMerge w:val="continue"/>
                  <w:tcBorders>
                    <w:top w:val="nil"/>
                  </w:tcBorders>
                  <w:vAlign w:val="center"/>
                </w:tcPr>
                <w:p w14:paraId="10F2816A">
                  <w:pPr>
                    <w:pStyle w:val="47"/>
                    <w:spacing w:line="240" w:lineRule="auto"/>
                    <w:rPr>
                      <w:color w:val="auto"/>
                      <w:sz w:val="21"/>
                      <w:szCs w:val="21"/>
                      <w:highlight w:val="none"/>
                    </w:rPr>
                  </w:pPr>
                </w:p>
              </w:tc>
              <w:tc>
                <w:tcPr>
                  <w:tcW w:w="792" w:type="pct"/>
                  <w:vAlign w:val="center"/>
                </w:tcPr>
                <w:p w14:paraId="425B7335">
                  <w:pPr>
                    <w:pStyle w:val="47"/>
                    <w:spacing w:line="240" w:lineRule="auto"/>
                    <w:rPr>
                      <w:color w:val="auto"/>
                      <w:sz w:val="21"/>
                      <w:szCs w:val="21"/>
                      <w:highlight w:val="none"/>
                    </w:rPr>
                  </w:pPr>
                  <w:r>
                    <w:rPr>
                      <w:rFonts w:hint="eastAsia"/>
                      <w:color w:val="auto"/>
                      <w:sz w:val="21"/>
                      <w:szCs w:val="21"/>
                      <w:highlight w:val="none"/>
                    </w:rPr>
                    <w:t>张赵4号桥</w:t>
                  </w:r>
                </w:p>
              </w:tc>
              <w:tc>
                <w:tcPr>
                  <w:tcW w:w="605" w:type="pct"/>
                  <w:vAlign w:val="center"/>
                </w:tcPr>
                <w:p w14:paraId="495F9ED5">
                  <w:pPr>
                    <w:pStyle w:val="47"/>
                    <w:spacing w:line="240" w:lineRule="auto"/>
                    <w:rPr>
                      <w:color w:val="auto"/>
                      <w:sz w:val="21"/>
                      <w:szCs w:val="21"/>
                      <w:highlight w:val="none"/>
                    </w:rPr>
                  </w:pPr>
                  <w:r>
                    <w:rPr>
                      <w:rFonts w:hint="eastAsia"/>
                      <w:color w:val="auto"/>
                      <w:sz w:val="21"/>
                      <w:szCs w:val="21"/>
                      <w:highlight w:val="none"/>
                    </w:rPr>
                    <w:t>1×10</w:t>
                  </w:r>
                </w:p>
              </w:tc>
              <w:tc>
                <w:tcPr>
                  <w:tcW w:w="499" w:type="pct"/>
                  <w:vAlign w:val="center"/>
                </w:tcPr>
                <w:p w14:paraId="745D1E67">
                  <w:pPr>
                    <w:pStyle w:val="47"/>
                    <w:spacing w:line="240" w:lineRule="auto"/>
                    <w:rPr>
                      <w:color w:val="auto"/>
                      <w:sz w:val="21"/>
                      <w:szCs w:val="21"/>
                      <w:highlight w:val="none"/>
                    </w:rPr>
                  </w:pPr>
                  <w:r>
                    <w:rPr>
                      <w:rFonts w:hint="eastAsia"/>
                      <w:color w:val="auto"/>
                      <w:sz w:val="21"/>
                      <w:szCs w:val="21"/>
                      <w:highlight w:val="none"/>
                    </w:rPr>
                    <w:t>4</w:t>
                  </w:r>
                </w:p>
              </w:tc>
              <w:tc>
                <w:tcPr>
                  <w:tcW w:w="875" w:type="pct"/>
                  <w:vAlign w:val="center"/>
                </w:tcPr>
                <w:p w14:paraId="33644B22">
                  <w:pPr>
                    <w:pStyle w:val="47"/>
                    <w:spacing w:line="240" w:lineRule="auto"/>
                    <w:rPr>
                      <w:color w:val="auto"/>
                      <w:sz w:val="21"/>
                      <w:szCs w:val="21"/>
                      <w:highlight w:val="none"/>
                    </w:rPr>
                  </w:pPr>
                  <w:r>
                    <w:rPr>
                      <w:rFonts w:hint="eastAsia"/>
                      <w:color w:val="auto"/>
                      <w:sz w:val="21"/>
                      <w:szCs w:val="21"/>
                      <w:highlight w:val="none"/>
                    </w:rPr>
                    <w:t>装配式预应</w:t>
                  </w:r>
                </w:p>
                <w:p w14:paraId="29A3189E">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vAlign w:val="center"/>
                </w:tcPr>
                <w:p w14:paraId="70F420E4">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609EAD35">
                  <w:pPr>
                    <w:pStyle w:val="47"/>
                    <w:spacing w:line="240" w:lineRule="auto"/>
                    <w:rPr>
                      <w:color w:val="auto"/>
                      <w:sz w:val="21"/>
                      <w:szCs w:val="21"/>
                      <w:highlight w:val="none"/>
                    </w:rPr>
                  </w:pPr>
                  <w:r>
                    <w:rPr>
                      <w:rFonts w:hint="eastAsia"/>
                      <w:color w:val="auto"/>
                      <w:sz w:val="21"/>
                      <w:szCs w:val="21"/>
                      <w:highlight w:val="none"/>
                    </w:rPr>
                    <w:t>改建</w:t>
                  </w:r>
                </w:p>
              </w:tc>
            </w:tr>
            <w:tr w14:paraId="2F449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1FE91D8B">
                  <w:pPr>
                    <w:pStyle w:val="47"/>
                    <w:spacing w:line="240" w:lineRule="auto"/>
                    <w:rPr>
                      <w:color w:val="auto"/>
                      <w:sz w:val="21"/>
                      <w:szCs w:val="21"/>
                      <w:highlight w:val="none"/>
                    </w:rPr>
                  </w:pPr>
                </w:p>
              </w:tc>
              <w:tc>
                <w:tcPr>
                  <w:tcW w:w="792" w:type="pct"/>
                  <w:vAlign w:val="center"/>
                </w:tcPr>
                <w:p w14:paraId="4D1F2BF2">
                  <w:pPr>
                    <w:pStyle w:val="47"/>
                    <w:spacing w:line="240" w:lineRule="auto"/>
                    <w:rPr>
                      <w:color w:val="auto"/>
                      <w:sz w:val="21"/>
                      <w:szCs w:val="21"/>
                      <w:highlight w:val="none"/>
                    </w:rPr>
                  </w:pPr>
                  <w:r>
                    <w:rPr>
                      <w:rFonts w:hint="eastAsia"/>
                      <w:color w:val="auto"/>
                      <w:sz w:val="21"/>
                      <w:szCs w:val="21"/>
                      <w:highlight w:val="none"/>
                    </w:rPr>
                    <w:t>张赵5号桥</w:t>
                  </w:r>
                </w:p>
              </w:tc>
              <w:tc>
                <w:tcPr>
                  <w:tcW w:w="605" w:type="pct"/>
                  <w:vAlign w:val="center"/>
                </w:tcPr>
                <w:p w14:paraId="3FE5C392">
                  <w:pPr>
                    <w:pStyle w:val="47"/>
                    <w:spacing w:line="240" w:lineRule="auto"/>
                    <w:rPr>
                      <w:color w:val="auto"/>
                      <w:sz w:val="21"/>
                      <w:szCs w:val="21"/>
                      <w:highlight w:val="none"/>
                    </w:rPr>
                  </w:pPr>
                  <w:r>
                    <w:rPr>
                      <w:rFonts w:hint="eastAsia"/>
                      <w:color w:val="auto"/>
                      <w:sz w:val="21"/>
                      <w:szCs w:val="21"/>
                      <w:highlight w:val="none"/>
                    </w:rPr>
                    <w:t>1×10</w:t>
                  </w:r>
                </w:p>
              </w:tc>
              <w:tc>
                <w:tcPr>
                  <w:tcW w:w="499" w:type="pct"/>
                  <w:vAlign w:val="center"/>
                </w:tcPr>
                <w:p w14:paraId="6C8C9E04">
                  <w:pPr>
                    <w:pStyle w:val="47"/>
                    <w:spacing w:line="240" w:lineRule="auto"/>
                    <w:rPr>
                      <w:color w:val="auto"/>
                      <w:sz w:val="21"/>
                      <w:szCs w:val="21"/>
                      <w:highlight w:val="none"/>
                    </w:rPr>
                  </w:pPr>
                  <w:r>
                    <w:rPr>
                      <w:rFonts w:hint="eastAsia"/>
                      <w:color w:val="auto"/>
                      <w:sz w:val="21"/>
                      <w:szCs w:val="21"/>
                      <w:highlight w:val="none"/>
                    </w:rPr>
                    <w:t>4</w:t>
                  </w:r>
                </w:p>
              </w:tc>
              <w:tc>
                <w:tcPr>
                  <w:tcW w:w="875" w:type="pct"/>
                  <w:vAlign w:val="center"/>
                </w:tcPr>
                <w:p w14:paraId="6996E175">
                  <w:pPr>
                    <w:pStyle w:val="47"/>
                    <w:spacing w:line="240" w:lineRule="auto"/>
                    <w:rPr>
                      <w:color w:val="auto"/>
                      <w:sz w:val="21"/>
                      <w:szCs w:val="21"/>
                      <w:highlight w:val="none"/>
                    </w:rPr>
                  </w:pPr>
                  <w:r>
                    <w:rPr>
                      <w:rFonts w:hint="eastAsia"/>
                      <w:color w:val="auto"/>
                      <w:sz w:val="21"/>
                      <w:szCs w:val="21"/>
                      <w:highlight w:val="none"/>
                    </w:rPr>
                    <w:t>装配式预应</w:t>
                  </w:r>
                </w:p>
                <w:p w14:paraId="5C5435D2">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vAlign w:val="center"/>
                </w:tcPr>
                <w:p w14:paraId="25A19DD8">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4431382B">
                  <w:pPr>
                    <w:pStyle w:val="47"/>
                    <w:spacing w:line="240" w:lineRule="auto"/>
                    <w:rPr>
                      <w:color w:val="auto"/>
                      <w:sz w:val="21"/>
                      <w:szCs w:val="21"/>
                      <w:highlight w:val="none"/>
                    </w:rPr>
                  </w:pPr>
                  <w:r>
                    <w:rPr>
                      <w:rFonts w:hint="eastAsia"/>
                      <w:color w:val="auto"/>
                      <w:sz w:val="21"/>
                      <w:szCs w:val="21"/>
                      <w:highlight w:val="none"/>
                    </w:rPr>
                    <w:t>改建</w:t>
                  </w:r>
                </w:p>
              </w:tc>
            </w:tr>
            <w:tr w14:paraId="1D6E26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751AB03D">
                  <w:pPr>
                    <w:pStyle w:val="47"/>
                    <w:spacing w:line="240" w:lineRule="auto"/>
                    <w:rPr>
                      <w:color w:val="auto"/>
                      <w:sz w:val="21"/>
                      <w:szCs w:val="21"/>
                      <w:highlight w:val="none"/>
                    </w:rPr>
                  </w:pPr>
                </w:p>
              </w:tc>
              <w:tc>
                <w:tcPr>
                  <w:tcW w:w="792" w:type="pct"/>
                  <w:vAlign w:val="center"/>
                </w:tcPr>
                <w:p w14:paraId="1BE80168">
                  <w:pPr>
                    <w:pStyle w:val="47"/>
                    <w:spacing w:line="240" w:lineRule="auto"/>
                    <w:rPr>
                      <w:color w:val="auto"/>
                      <w:sz w:val="21"/>
                      <w:szCs w:val="21"/>
                      <w:highlight w:val="none"/>
                    </w:rPr>
                  </w:pPr>
                  <w:r>
                    <w:rPr>
                      <w:rFonts w:hint="eastAsia"/>
                      <w:color w:val="auto"/>
                      <w:sz w:val="21"/>
                      <w:szCs w:val="21"/>
                      <w:highlight w:val="none"/>
                    </w:rPr>
                    <w:t>张赵6号桥</w:t>
                  </w:r>
                </w:p>
              </w:tc>
              <w:tc>
                <w:tcPr>
                  <w:tcW w:w="605" w:type="pct"/>
                  <w:vAlign w:val="center"/>
                </w:tcPr>
                <w:p w14:paraId="2E8AC654">
                  <w:pPr>
                    <w:pStyle w:val="47"/>
                    <w:spacing w:line="240" w:lineRule="auto"/>
                    <w:rPr>
                      <w:color w:val="auto"/>
                      <w:sz w:val="21"/>
                      <w:szCs w:val="21"/>
                      <w:highlight w:val="none"/>
                    </w:rPr>
                  </w:pPr>
                  <w:r>
                    <w:rPr>
                      <w:rFonts w:hint="eastAsia"/>
                      <w:color w:val="auto"/>
                      <w:sz w:val="21"/>
                      <w:szCs w:val="21"/>
                      <w:highlight w:val="none"/>
                    </w:rPr>
                    <w:t>1×13</w:t>
                  </w:r>
                </w:p>
              </w:tc>
              <w:tc>
                <w:tcPr>
                  <w:tcW w:w="499" w:type="pct"/>
                  <w:vAlign w:val="center"/>
                </w:tcPr>
                <w:p w14:paraId="1CE74C4D">
                  <w:pPr>
                    <w:pStyle w:val="47"/>
                    <w:spacing w:line="240" w:lineRule="auto"/>
                    <w:rPr>
                      <w:color w:val="auto"/>
                      <w:sz w:val="21"/>
                      <w:szCs w:val="21"/>
                      <w:highlight w:val="none"/>
                    </w:rPr>
                  </w:pPr>
                  <w:r>
                    <w:rPr>
                      <w:rFonts w:hint="eastAsia"/>
                      <w:color w:val="auto"/>
                      <w:sz w:val="21"/>
                      <w:szCs w:val="21"/>
                      <w:highlight w:val="none"/>
                    </w:rPr>
                    <w:t>10</w:t>
                  </w:r>
                </w:p>
              </w:tc>
              <w:tc>
                <w:tcPr>
                  <w:tcW w:w="875" w:type="pct"/>
                  <w:vAlign w:val="center"/>
                </w:tcPr>
                <w:p w14:paraId="7066D9E5">
                  <w:pPr>
                    <w:pStyle w:val="47"/>
                    <w:spacing w:line="240" w:lineRule="auto"/>
                    <w:rPr>
                      <w:color w:val="auto"/>
                      <w:sz w:val="21"/>
                      <w:szCs w:val="21"/>
                      <w:highlight w:val="none"/>
                    </w:rPr>
                  </w:pPr>
                  <w:r>
                    <w:rPr>
                      <w:rFonts w:hint="eastAsia"/>
                      <w:color w:val="auto"/>
                      <w:sz w:val="21"/>
                      <w:szCs w:val="21"/>
                      <w:highlight w:val="none"/>
                    </w:rPr>
                    <w:t>装配式预应</w:t>
                  </w:r>
                </w:p>
                <w:p w14:paraId="34C221AD">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vAlign w:val="center"/>
                </w:tcPr>
                <w:p w14:paraId="1692AA83">
                  <w:pPr>
                    <w:pStyle w:val="47"/>
                    <w:spacing w:line="240" w:lineRule="auto"/>
                    <w:rPr>
                      <w:color w:val="auto"/>
                      <w:sz w:val="21"/>
                      <w:szCs w:val="21"/>
                      <w:highlight w:val="none"/>
                    </w:rPr>
                  </w:pPr>
                  <w:r>
                    <w:rPr>
                      <w:rFonts w:hint="eastAsia"/>
                      <w:color w:val="auto"/>
                      <w:sz w:val="21"/>
                      <w:szCs w:val="21"/>
                      <w:highlight w:val="none"/>
                    </w:rPr>
                    <w:t>桩基础</w:t>
                  </w:r>
                </w:p>
              </w:tc>
              <w:tc>
                <w:tcPr>
                  <w:tcW w:w="485" w:type="pct"/>
                  <w:vAlign w:val="center"/>
                </w:tcPr>
                <w:p w14:paraId="13A43411">
                  <w:pPr>
                    <w:pStyle w:val="47"/>
                    <w:spacing w:line="240" w:lineRule="auto"/>
                    <w:rPr>
                      <w:color w:val="auto"/>
                      <w:sz w:val="21"/>
                      <w:szCs w:val="21"/>
                      <w:highlight w:val="none"/>
                    </w:rPr>
                  </w:pPr>
                  <w:r>
                    <w:rPr>
                      <w:rFonts w:hint="eastAsia"/>
                      <w:color w:val="auto"/>
                      <w:sz w:val="21"/>
                      <w:szCs w:val="21"/>
                      <w:highlight w:val="none"/>
                    </w:rPr>
                    <w:t>改建</w:t>
                  </w:r>
                </w:p>
              </w:tc>
            </w:tr>
            <w:tr w14:paraId="4BFFE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25D349E9">
                  <w:pPr>
                    <w:pStyle w:val="47"/>
                    <w:spacing w:line="240" w:lineRule="auto"/>
                    <w:rPr>
                      <w:color w:val="auto"/>
                      <w:sz w:val="21"/>
                      <w:szCs w:val="21"/>
                      <w:highlight w:val="none"/>
                    </w:rPr>
                  </w:pPr>
                </w:p>
              </w:tc>
              <w:tc>
                <w:tcPr>
                  <w:tcW w:w="792" w:type="pct"/>
                  <w:shd w:val="clear" w:color="auto" w:fill="auto"/>
                  <w:vAlign w:val="center"/>
                </w:tcPr>
                <w:p w14:paraId="35C73567">
                  <w:pPr>
                    <w:pStyle w:val="47"/>
                    <w:spacing w:line="240" w:lineRule="auto"/>
                    <w:rPr>
                      <w:color w:val="auto"/>
                      <w:sz w:val="21"/>
                      <w:szCs w:val="21"/>
                      <w:highlight w:val="none"/>
                    </w:rPr>
                  </w:pPr>
                  <w:r>
                    <w:rPr>
                      <w:rFonts w:hint="eastAsia"/>
                      <w:color w:val="auto"/>
                      <w:sz w:val="21"/>
                      <w:szCs w:val="21"/>
                      <w:highlight w:val="none"/>
                    </w:rPr>
                    <w:t>向阳路7号桥</w:t>
                  </w:r>
                </w:p>
              </w:tc>
              <w:tc>
                <w:tcPr>
                  <w:tcW w:w="605" w:type="pct"/>
                  <w:shd w:val="clear" w:color="auto" w:fill="auto"/>
                  <w:vAlign w:val="center"/>
                </w:tcPr>
                <w:p w14:paraId="36588E61">
                  <w:pPr>
                    <w:pStyle w:val="47"/>
                    <w:spacing w:line="240" w:lineRule="auto"/>
                    <w:rPr>
                      <w:color w:val="auto"/>
                      <w:sz w:val="21"/>
                      <w:szCs w:val="21"/>
                      <w:highlight w:val="none"/>
                    </w:rPr>
                  </w:pPr>
                  <w:r>
                    <w:rPr>
                      <w:rFonts w:hint="eastAsia"/>
                      <w:color w:val="auto"/>
                      <w:sz w:val="21"/>
                      <w:szCs w:val="21"/>
                      <w:highlight w:val="none"/>
                    </w:rPr>
                    <w:t>1×13</w:t>
                  </w:r>
                </w:p>
              </w:tc>
              <w:tc>
                <w:tcPr>
                  <w:tcW w:w="499" w:type="pct"/>
                  <w:shd w:val="clear" w:color="auto" w:fill="auto"/>
                  <w:vAlign w:val="center"/>
                </w:tcPr>
                <w:p w14:paraId="7E5AF088">
                  <w:pPr>
                    <w:pStyle w:val="47"/>
                    <w:spacing w:line="240" w:lineRule="auto"/>
                    <w:rPr>
                      <w:color w:val="auto"/>
                      <w:sz w:val="21"/>
                      <w:szCs w:val="21"/>
                      <w:highlight w:val="none"/>
                    </w:rPr>
                  </w:pPr>
                  <w:r>
                    <w:rPr>
                      <w:rFonts w:hint="eastAsia"/>
                      <w:color w:val="auto"/>
                      <w:sz w:val="21"/>
                      <w:szCs w:val="21"/>
                      <w:highlight w:val="none"/>
                    </w:rPr>
                    <w:t>9</w:t>
                  </w:r>
                </w:p>
              </w:tc>
              <w:tc>
                <w:tcPr>
                  <w:tcW w:w="875" w:type="pct"/>
                  <w:shd w:val="clear" w:color="auto" w:fill="auto"/>
                  <w:vAlign w:val="center"/>
                </w:tcPr>
                <w:p w14:paraId="01CA94AF">
                  <w:pPr>
                    <w:pStyle w:val="47"/>
                    <w:spacing w:line="240" w:lineRule="auto"/>
                    <w:rPr>
                      <w:color w:val="auto"/>
                      <w:sz w:val="21"/>
                      <w:szCs w:val="21"/>
                      <w:highlight w:val="none"/>
                    </w:rPr>
                  </w:pPr>
                  <w:r>
                    <w:rPr>
                      <w:rFonts w:hint="eastAsia"/>
                      <w:color w:val="auto"/>
                      <w:sz w:val="21"/>
                      <w:szCs w:val="21"/>
                      <w:highlight w:val="none"/>
                    </w:rPr>
                    <w:t>装配式预应</w:t>
                  </w:r>
                </w:p>
                <w:p w14:paraId="53B6BA0A">
                  <w:pPr>
                    <w:pStyle w:val="47"/>
                    <w:spacing w:line="240" w:lineRule="auto"/>
                    <w:rPr>
                      <w:color w:val="auto"/>
                      <w:sz w:val="21"/>
                      <w:szCs w:val="21"/>
                      <w:highlight w:val="none"/>
                    </w:rPr>
                  </w:pPr>
                  <w:r>
                    <w:rPr>
                      <w:rFonts w:hint="eastAsia"/>
                      <w:color w:val="auto"/>
                      <w:sz w:val="21"/>
                      <w:szCs w:val="21"/>
                      <w:highlight w:val="none"/>
                    </w:rPr>
                    <w:t>力砼空心板</w:t>
                  </w:r>
                </w:p>
              </w:tc>
              <w:tc>
                <w:tcPr>
                  <w:tcW w:w="1136" w:type="pct"/>
                  <w:shd w:val="clear" w:color="auto" w:fill="auto"/>
                  <w:vAlign w:val="center"/>
                </w:tcPr>
                <w:p w14:paraId="240C01E1">
                  <w:pPr>
                    <w:pStyle w:val="47"/>
                    <w:spacing w:line="240" w:lineRule="auto"/>
                    <w:rPr>
                      <w:color w:val="auto"/>
                      <w:sz w:val="21"/>
                      <w:szCs w:val="21"/>
                      <w:highlight w:val="none"/>
                    </w:rPr>
                  </w:pPr>
                  <w:r>
                    <w:rPr>
                      <w:rFonts w:hint="eastAsia"/>
                      <w:color w:val="auto"/>
                      <w:sz w:val="21"/>
                      <w:szCs w:val="21"/>
                      <w:highlight w:val="none"/>
                    </w:rPr>
                    <w:t>桩基础</w:t>
                  </w:r>
                </w:p>
              </w:tc>
              <w:tc>
                <w:tcPr>
                  <w:tcW w:w="485" w:type="pct"/>
                  <w:shd w:val="clear" w:color="auto" w:fill="auto"/>
                  <w:vAlign w:val="center"/>
                </w:tcPr>
                <w:p w14:paraId="7BB0E2F6">
                  <w:pPr>
                    <w:pStyle w:val="47"/>
                    <w:spacing w:line="240" w:lineRule="auto"/>
                    <w:rPr>
                      <w:color w:val="auto"/>
                      <w:sz w:val="21"/>
                      <w:szCs w:val="21"/>
                      <w:highlight w:val="none"/>
                    </w:rPr>
                  </w:pPr>
                  <w:r>
                    <w:rPr>
                      <w:rFonts w:hint="eastAsia"/>
                      <w:color w:val="auto"/>
                      <w:sz w:val="21"/>
                      <w:szCs w:val="21"/>
                      <w:highlight w:val="none"/>
                    </w:rPr>
                    <w:t>改建</w:t>
                  </w:r>
                </w:p>
              </w:tc>
            </w:tr>
            <w:tr w14:paraId="598192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top w:val="nil"/>
                  </w:tcBorders>
                  <w:vAlign w:val="center"/>
                </w:tcPr>
                <w:p w14:paraId="33AD061A">
                  <w:pPr>
                    <w:pStyle w:val="47"/>
                    <w:spacing w:line="240" w:lineRule="auto"/>
                    <w:rPr>
                      <w:color w:val="auto"/>
                      <w:sz w:val="21"/>
                      <w:szCs w:val="21"/>
                      <w:highlight w:val="none"/>
                    </w:rPr>
                  </w:pPr>
                </w:p>
              </w:tc>
              <w:tc>
                <w:tcPr>
                  <w:tcW w:w="792" w:type="pct"/>
                  <w:vAlign w:val="center"/>
                </w:tcPr>
                <w:p w14:paraId="0FCFD4F0">
                  <w:pPr>
                    <w:pStyle w:val="47"/>
                    <w:spacing w:line="240" w:lineRule="auto"/>
                    <w:rPr>
                      <w:color w:val="auto"/>
                      <w:sz w:val="21"/>
                      <w:szCs w:val="21"/>
                      <w:highlight w:val="none"/>
                    </w:rPr>
                  </w:pPr>
                  <w:r>
                    <w:rPr>
                      <w:rFonts w:hint="eastAsia"/>
                      <w:color w:val="auto"/>
                      <w:sz w:val="21"/>
                      <w:szCs w:val="21"/>
                      <w:highlight w:val="none"/>
                    </w:rPr>
                    <w:t>8号桥</w:t>
                  </w:r>
                </w:p>
              </w:tc>
              <w:tc>
                <w:tcPr>
                  <w:tcW w:w="605" w:type="pct"/>
                  <w:vAlign w:val="center"/>
                </w:tcPr>
                <w:p w14:paraId="3328A539">
                  <w:pPr>
                    <w:pStyle w:val="47"/>
                    <w:spacing w:line="240" w:lineRule="auto"/>
                    <w:rPr>
                      <w:color w:val="auto"/>
                      <w:sz w:val="21"/>
                      <w:szCs w:val="21"/>
                      <w:highlight w:val="none"/>
                    </w:rPr>
                  </w:pPr>
                  <w:r>
                    <w:rPr>
                      <w:rFonts w:hint="eastAsia"/>
                      <w:color w:val="auto"/>
                      <w:sz w:val="21"/>
                      <w:szCs w:val="21"/>
                      <w:highlight w:val="none"/>
                    </w:rPr>
                    <w:t>1×13</w:t>
                  </w:r>
                </w:p>
              </w:tc>
              <w:tc>
                <w:tcPr>
                  <w:tcW w:w="499" w:type="pct"/>
                  <w:vAlign w:val="center"/>
                </w:tcPr>
                <w:p w14:paraId="395751BA">
                  <w:pPr>
                    <w:pStyle w:val="47"/>
                    <w:spacing w:line="240" w:lineRule="auto"/>
                    <w:rPr>
                      <w:color w:val="auto"/>
                      <w:sz w:val="21"/>
                      <w:szCs w:val="21"/>
                      <w:highlight w:val="none"/>
                    </w:rPr>
                  </w:pPr>
                  <w:r>
                    <w:rPr>
                      <w:rFonts w:hint="eastAsia"/>
                      <w:color w:val="auto"/>
                      <w:sz w:val="21"/>
                      <w:szCs w:val="21"/>
                      <w:highlight w:val="none"/>
                    </w:rPr>
                    <w:t>7</w:t>
                  </w:r>
                </w:p>
              </w:tc>
              <w:tc>
                <w:tcPr>
                  <w:tcW w:w="875" w:type="pct"/>
                  <w:vAlign w:val="center"/>
                </w:tcPr>
                <w:p w14:paraId="65E71420">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vAlign w:val="center"/>
                </w:tcPr>
                <w:p w14:paraId="6CFBFB5F">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vAlign w:val="center"/>
                </w:tcPr>
                <w:p w14:paraId="19E74CFF">
                  <w:pPr>
                    <w:pStyle w:val="47"/>
                    <w:spacing w:line="240" w:lineRule="auto"/>
                    <w:rPr>
                      <w:color w:val="auto"/>
                      <w:sz w:val="21"/>
                      <w:szCs w:val="21"/>
                      <w:highlight w:val="none"/>
                    </w:rPr>
                  </w:pPr>
                  <w:r>
                    <w:rPr>
                      <w:rFonts w:hint="eastAsia"/>
                      <w:color w:val="auto"/>
                      <w:sz w:val="21"/>
                      <w:szCs w:val="21"/>
                      <w:highlight w:val="none"/>
                    </w:rPr>
                    <w:t>改建</w:t>
                  </w:r>
                </w:p>
              </w:tc>
            </w:tr>
            <w:tr w14:paraId="0F86F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restart"/>
                  <w:tcBorders>
                    <w:top w:val="single" w:color="auto" w:sz="4" w:space="0"/>
                    <w:left w:val="single" w:color="auto" w:sz="4" w:space="0"/>
                    <w:right w:val="single" w:color="auto" w:sz="4" w:space="0"/>
                  </w:tcBorders>
                  <w:vAlign w:val="center"/>
                </w:tcPr>
                <w:p w14:paraId="5AD48341">
                  <w:pPr>
                    <w:pStyle w:val="47"/>
                    <w:spacing w:line="240" w:lineRule="auto"/>
                    <w:rPr>
                      <w:color w:val="auto"/>
                      <w:sz w:val="21"/>
                      <w:szCs w:val="21"/>
                      <w:highlight w:val="none"/>
                    </w:rPr>
                  </w:pPr>
                  <w:r>
                    <w:rPr>
                      <w:rFonts w:hint="eastAsia"/>
                      <w:color w:val="auto"/>
                      <w:sz w:val="21"/>
                      <w:szCs w:val="21"/>
                      <w:highlight w:val="none"/>
                    </w:rPr>
                    <w:t>猪龙河西支</w:t>
                  </w: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25BC44EF">
                  <w:pPr>
                    <w:pStyle w:val="47"/>
                    <w:spacing w:line="240" w:lineRule="auto"/>
                    <w:rPr>
                      <w:color w:val="auto"/>
                      <w:sz w:val="21"/>
                      <w:szCs w:val="21"/>
                      <w:highlight w:val="none"/>
                    </w:rPr>
                  </w:pPr>
                  <w:r>
                    <w:rPr>
                      <w:rFonts w:hint="eastAsia"/>
                      <w:color w:val="auto"/>
                      <w:sz w:val="21"/>
                      <w:szCs w:val="21"/>
                      <w:highlight w:val="none"/>
                    </w:rPr>
                    <w:t>华电西门1号桥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42AD4304">
                  <w:pPr>
                    <w:pStyle w:val="47"/>
                    <w:spacing w:line="240" w:lineRule="auto"/>
                    <w:rPr>
                      <w:color w:val="auto"/>
                      <w:sz w:val="21"/>
                      <w:szCs w:val="21"/>
                      <w:highlight w:val="none"/>
                    </w:rPr>
                  </w:pPr>
                  <w:r>
                    <w:rPr>
                      <w:rFonts w:hint="eastAsia"/>
                      <w:color w:val="auto"/>
                      <w:sz w:val="21"/>
                      <w:szCs w:val="21"/>
                      <w:highlight w:val="none"/>
                    </w:rPr>
                    <w:t>1×13</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0BF0C128">
                  <w:pPr>
                    <w:pStyle w:val="47"/>
                    <w:spacing w:line="240" w:lineRule="auto"/>
                    <w:rPr>
                      <w:color w:val="auto"/>
                      <w:sz w:val="21"/>
                      <w:szCs w:val="21"/>
                      <w:highlight w:val="none"/>
                    </w:rPr>
                  </w:pPr>
                  <w:r>
                    <w:rPr>
                      <w:rFonts w:hint="eastAsia"/>
                      <w:color w:val="auto"/>
                      <w:sz w:val="21"/>
                      <w:szCs w:val="21"/>
                      <w:highlight w:val="none"/>
                    </w:rPr>
                    <w:t>16</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2E2EC0B2">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52A34A19">
                  <w:pPr>
                    <w:pStyle w:val="47"/>
                    <w:spacing w:line="240" w:lineRule="auto"/>
                    <w:rPr>
                      <w:color w:val="auto"/>
                      <w:sz w:val="21"/>
                      <w:szCs w:val="21"/>
                      <w:highlight w:val="none"/>
                    </w:rPr>
                  </w:pPr>
                  <w:r>
                    <w:rPr>
                      <w:rFonts w:hint="eastAsia"/>
                      <w:color w:val="auto"/>
                      <w:sz w:val="21"/>
                      <w:szCs w:val="21"/>
                      <w:highlight w:val="none"/>
                    </w:rPr>
                    <w:t>桩基础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5D5E8E53">
                  <w:pPr>
                    <w:pStyle w:val="47"/>
                    <w:spacing w:line="240" w:lineRule="auto"/>
                    <w:rPr>
                      <w:color w:val="auto"/>
                      <w:sz w:val="21"/>
                      <w:szCs w:val="21"/>
                      <w:highlight w:val="none"/>
                    </w:rPr>
                  </w:pPr>
                  <w:r>
                    <w:rPr>
                      <w:rFonts w:hint="eastAsia"/>
                      <w:color w:val="auto"/>
                      <w:sz w:val="21"/>
                      <w:szCs w:val="21"/>
                      <w:highlight w:val="none"/>
                    </w:rPr>
                    <w:t>改建</w:t>
                  </w:r>
                </w:p>
              </w:tc>
            </w:tr>
            <w:tr w14:paraId="2AC064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6" w:type="pct"/>
                  <w:vMerge w:val="continue"/>
                  <w:tcBorders>
                    <w:left w:val="single" w:color="auto" w:sz="4" w:space="0"/>
                    <w:right w:val="single" w:color="auto" w:sz="4" w:space="0"/>
                  </w:tcBorders>
                  <w:shd w:val="clear" w:color="auto" w:fill="auto"/>
                  <w:vAlign w:val="center"/>
                </w:tcPr>
                <w:p w14:paraId="49146DDA">
                  <w:pPr>
                    <w:pStyle w:val="47"/>
                    <w:spacing w:line="240" w:lineRule="auto"/>
                    <w:rPr>
                      <w:color w:val="auto"/>
                      <w:sz w:val="21"/>
                      <w:szCs w:val="21"/>
                      <w:highlight w:val="none"/>
                    </w:rPr>
                  </w:pP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2FC726BA">
                  <w:pPr>
                    <w:pStyle w:val="47"/>
                    <w:spacing w:line="240" w:lineRule="auto"/>
                    <w:rPr>
                      <w:color w:val="auto"/>
                      <w:sz w:val="21"/>
                      <w:szCs w:val="21"/>
                      <w:highlight w:val="none"/>
                    </w:rPr>
                  </w:pPr>
                  <w:r>
                    <w:rPr>
                      <w:rFonts w:hint="eastAsia"/>
                      <w:color w:val="auto"/>
                      <w:sz w:val="21"/>
                      <w:szCs w:val="21"/>
                      <w:highlight w:val="none"/>
                    </w:rPr>
                    <w:t>山铝西门2号桥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062581F2">
                  <w:pPr>
                    <w:pStyle w:val="47"/>
                    <w:spacing w:line="240" w:lineRule="auto"/>
                    <w:rPr>
                      <w:color w:val="auto"/>
                      <w:sz w:val="21"/>
                      <w:szCs w:val="21"/>
                      <w:highlight w:val="none"/>
                    </w:rPr>
                  </w:pPr>
                  <w:r>
                    <w:rPr>
                      <w:rFonts w:hint="eastAsia"/>
                      <w:color w:val="auto"/>
                      <w:sz w:val="21"/>
                      <w:szCs w:val="21"/>
                      <w:highlight w:val="none"/>
                    </w:rPr>
                    <w:t>1×6</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67F6C241">
                  <w:pPr>
                    <w:pStyle w:val="47"/>
                    <w:spacing w:line="240" w:lineRule="auto"/>
                    <w:rPr>
                      <w:color w:val="auto"/>
                      <w:sz w:val="21"/>
                      <w:szCs w:val="21"/>
                      <w:highlight w:val="none"/>
                    </w:rPr>
                  </w:pPr>
                  <w:r>
                    <w:rPr>
                      <w:rFonts w:hint="eastAsia"/>
                      <w:color w:val="auto"/>
                      <w:sz w:val="21"/>
                      <w:szCs w:val="21"/>
                      <w:highlight w:val="none"/>
                    </w:rPr>
                    <w:t>35</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0087314D">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5D7B09D9">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5435B07C">
                  <w:pPr>
                    <w:pStyle w:val="47"/>
                    <w:spacing w:line="240" w:lineRule="auto"/>
                    <w:rPr>
                      <w:color w:val="auto"/>
                      <w:sz w:val="21"/>
                      <w:szCs w:val="21"/>
                      <w:highlight w:val="none"/>
                    </w:rPr>
                  </w:pPr>
                  <w:r>
                    <w:rPr>
                      <w:rFonts w:hint="eastAsia"/>
                      <w:color w:val="auto"/>
                      <w:sz w:val="21"/>
                      <w:szCs w:val="21"/>
                      <w:highlight w:val="none"/>
                    </w:rPr>
                    <w:t>改建</w:t>
                  </w:r>
                </w:p>
              </w:tc>
            </w:tr>
            <w:tr w14:paraId="2165F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left w:val="single" w:color="auto" w:sz="4" w:space="0"/>
                    <w:bottom w:val="single" w:color="auto" w:sz="4" w:space="0"/>
                    <w:right w:val="single" w:color="auto" w:sz="4" w:space="0"/>
                  </w:tcBorders>
                  <w:vAlign w:val="center"/>
                </w:tcPr>
                <w:p w14:paraId="31DC9270">
                  <w:pPr>
                    <w:pStyle w:val="47"/>
                    <w:spacing w:line="240" w:lineRule="auto"/>
                    <w:rPr>
                      <w:color w:val="auto"/>
                      <w:sz w:val="21"/>
                      <w:szCs w:val="21"/>
                      <w:highlight w:val="none"/>
                    </w:rPr>
                  </w:pP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75EAA9E7">
                  <w:pPr>
                    <w:pStyle w:val="47"/>
                    <w:spacing w:line="240" w:lineRule="auto"/>
                    <w:rPr>
                      <w:color w:val="auto"/>
                      <w:sz w:val="21"/>
                      <w:szCs w:val="21"/>
                      <w:highlight w:val="none"/>
                    </w:rPr>
                  </w:pPr>
                  <w:r>
                    <w:rPr>
                      <w:rFonts w:hint="eastAsia"/>
                      <w:color w:val="auto"/>
                      <w:sz w:val="21"/>
                      <w:szCs w:val="21"/>
                      <w:highlight w:val="none"/>
                    </w:rPr>
                    <w:t>山铝小西门3号桥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4684ED3E">
                  <w:pPr>
                    <w:pStyle w:val="47"/>
                    <w:spacing w:line="240" w:lineRule="auto"/>
                    <w:rPr>
                      <w:color w:val="auto"/>
                      <w:sz w:val="21"/>
                      <w:szCs w:val="21"/>
                      <w:highlight w:val="none"/>
                    </w:rPr>
                  </w:pPr>
                  <w:r>
                    <w:rPr>
                      <w:rFonts w:hint="eastAsia"/>
                      <w:color w:val="auto"/>
                      <w:sz w:val="21"/>
                      <w:szCs w:val="21"/>
                      <w:highlight w:val="none"/>
                    </w:rPr>
                    <w:t>1×6</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748E33C5">
                  <w:pPr>
                    <w:pStyle w:val="47"/>
                    <w:spacing w:line="240" w:lineRule="auto"/>
                    <w:rPr>
                      <w:color w:val="auto"/>
                      <w:sz w:val="21"/>
                      <w:szCs w:val="21"/>
                      <w:highlight w:val="none"/>
                    </w:rPr>
                  </w:pPr>
                  <w:r>
                    <w:rPr>
                      <w:rFonts w:hint="eastAsia"/>
                      <w:color w:val="auto"/>
                      <w:sz w:val="21"/>
                      <w:szCs w:val="21"/>
                      <w:highlight w:val="none"/>
                    </w:rPr>
                    <w:t>36</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0E64FB04">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52FE720A">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0669BC35">
                  <w:pPr>
                    <w:pStyle w:val="47"/>
                    <w:spacing w:line="240" w:lineRule="auto"/>
                    <w:rPr>
                      <w:color w:val="auto"/>
                      <w:sz w:val="21"/>
                      <w:szCs w:val="21"/>
                      <w:highlight w:val="none"/>
                    </w:rPr>
                  </w:pPr>
                  <w:r>
                    <w:rPr>
                      <w:rFonts w:hint="eastAsia"/>
                      <w:color w:val="auto"/>
                      <w:sz w:val="21"/>
                      <w:szCs w:val="21"/>
                      <w:highlight w:val="none"/>
                    </w:rPr>
                    <w:t>改建</w:t>
                  </w:r>
                </w:p>
              </w:tc>
            </w:tr>
            <w:tr w14:paraId="7AC97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restart"/>
                  <w:tcBorders>
                    <w:top w:val="single" w:color="auto" w:sz="4" w:space="0"/>
                    <w:left w:val="single" w:color="auto" w:sz="4" w:space="0"/>
                    <w:right w:val="single" w:color="auto" w:sz="4" w:space="0"/>
                  </w:tcBorders>
                  <w:vAlign w:val="center"/>
                </w:tcPr>
                <w:p w14:paraId="5FC83C7B">
                  <w:pPr>
                    <w:pStyle w:val="47"/>
                    <w:spacing w:line="240" w:lineRule="auto"/>
                    <w:rPr>
                      <w:color w:val="auto"/>
                      <w:sz w:val="21"/>
                      <w:szCs w:val="21"/>
                      <w:highlight w:val="none"/>
                    </w:rPr>
                  </w:pPr>
                  <w:r>
                    <w:rPr>
                      <w:rFonts w:hint="eastAsia"/>
                      <w:color w:val="auto"/>
                      <w:sz w:val="21"/>
                      <w:szCs w:val="21"/>
                      <w:highlight w:val="none"/>
                    </w:rPr>
                    <w:t>瓦村沟</w:t>
                  </w:r>
                </w:p>
              </w:tc>
              <w:tc>
                <w:tcPr>
                  <w:tcW w:w="792" w:type="pct"/>
                  <w:tcBorders>
                    <w:top w:val="single" w:color="auto" w:sz="4" w:space="0"/>
                    <w:left w:val="single" w:color="auto" w:sz="4" w:space="0"/>
                    <w:bottom w:val="single" w:color="auto" w:sz="4" w:space="0"/>
                    <w:right w:val="single" w:color="auto" w:sz="4" w:space="0"/>
                  </w:tcBorders>
                  <w:vAlign w:val="center"/>
                </w:tcPr>
                <w:p w14:paraId="1FC5314C">
                  <w:pPr>
                    <w:pStyle w:val="47"/>
                    <w:spacing w:line="240" w:lineRule="auto"/>
                    <w:rPr>
                      <w:color w:val="auto"/>
                      <w:sz w:val="21"/>
                      <w:szCs w:val="21"/>
                      <w:highlight w:val="none"/>
                    </w:rPr>
                  </w:pPr>
                  <w:r>
                    <w:rPr>
                      <w:rFonts w:hint="eastAsia"/>
                      <w:color w:val="auto"/>
                      <w:sz w:val="21"/>
                      <w:szCs w:val="21"/>
                      <w:highlight w:val="none"/>
                    </w:rPr>
                    <w:t>1号桥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6B00F8B0">
                  <w:pPr>
                    <w:pStyle w:val="47"/>
                    <w:spacing w:line="240" w:lineRule="auto"/>
                    <w:rPr>
                      <w:color w:val="auto"/>
                      <w:sz w:val="21"/>
                      <w:szCs w:val="21"/>
                      <w:highlight w:val="none"/>
                    </w:rPr>
                  </w:pPr>
                  <w:r>
                    <w:rPr>
                      <w:rFonts w:hint="eastAsia"/>
                      <w:color w:val="auto"/>
                      <w:sz w:val="21"/>
                      <w:szCs w:val="21"/>
                      <w:highlight w:val="none"/>
                    </w:rPr>
                    <w:t>1×10</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1F516E1A">
                  <w:pPr>
                    <w:pStyle w:val="47"/>
                    <w:spacing w:line="240" w:lineRule="auto"/>
                    <w:rPr>
                      <w:color w:val="auto"/>
                      <w:sz w:val="21"/>
                      <w:szCs w:val="21"/>
                      <w:highlight w:val="none"/>
                    </w:rPr>
                  </w:pPr>
                  <w:r>
                    <w:rPr>
                      <w:rFonts w:hint="eastAsia"/>
                      <w:color w:val="auto"/>
                      <w:sz w:val="21"/>
                      <w:szCs w:val="21"/>
                      <w:highlight w:val="none"/>
                    </w:rPr>
                    <w:t>23</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11F9A028">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3081E7AA">
                  <w:pPr>
                    <w:pStyle w:val="47"/>
                    <w:spacing w:line="240" w:lineRule="auto"/>
                    <w:rPr>
                      <w:color w:val="auto"/>
                      <w:sz w:val="21"/>
                      <w:szCs w:val="21"/>
                      <w:highlight w:val="none"/>
                    </w:rPr>
                  </w:pPr>
                  <w:r>
                    <w:rPr>
                      <w:rFonts w:hint="eastAsia"/>
                      <w:color w:val="auto"/>
                      <w:sz w:val="21"/>
                      <w:szCs w:val="21"/>
                      <w:highlight w:val="none"/>
                    </w:rPr>
                    <w:t>桩基础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02A12307">
                  <w:pPr>
                    <w:pStyle w:val="47"/>
                    <w:spacing w:line="240" w:lineRule="auto"/>
                    <w:rPr>
                      <w:color w:val="auto"/>
                      <w:sz w:val="21"/>
                      <w:szCs w:val="21"/>
                      <w:highlight w:val="none"/>
                    </w:rPr>
                  </w:pPr>
                  <w:r>
                    <w:rPr>
                      <w:rFonts w:hint="eastAsia"/>
                      <w:color w:val="auto"/>
                      <w:sz w:val="21"/>
                      <w:szCs w:val="21"/>
                      <w:highlight w:val="none"/>
                    </w:rPr>
                    <w:t>改建</w:t>
                  </w:r>
                </w:p>
              </w:tc>
            </w:tr>
            <w:tr w14:paraId="76443D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left w:val="single" w:color="auto" w:sz="4" w:space="0"/>
                    <w:right w:val="single" w:color="auto" w:sz="4" w:space="0"/>
                  </w:tcBorders>
                  <w:vAlign w:val="center"/>
                </w:tcPr>
                <w:p w14:paraId="1D94703E">
                  <w:pPr>
                    <w:pStyle w:val="47"/>
                    <w:spacing w:line="240" w:lineRule="auto"/>
                    <w:rPr>
                      <w:color w:val="auto"/>
                      <w:sz w:val="21"/>
                      <w:szCs w:val="21"/>
                      <w:highlight w:val="none"/>
                    </w:rPr>
                  </w:pP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62A2C8F9">
                  <w:pPr>
                    <w:pStyle w:val="47"/>
                    <w:spacing w:line="240" w:lineRule="auto"/>
                    <w:rPr>
                      <w:color w:val="auto"/>
                      <w:sz w:val="21"/>
                      <w:szCs w:val="21"/>
                      <w:highlight w:val="none"/>
                    </w:rPr>
                  </w:pPr>
                  <w:r>
                    <w:rPr>
                      <w:rFonts w:hint="eastAsia"/>
                      <w:color w:val="auto"/>
                      <w:sz w:val="21"/>
                      <w:szCs w:val="21"/>
                      <w:highlight w:val="none"/>
                    </w:rPr>
                    <w:t>2号桥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1A04D91E">
                  <w:pPr>
                    <w:pStyle w:val="47"/>
                    <w:spacing w:line="240" w:lineRule="auto"/>
                    <w:rPr>
                      <w:color w:val="auto"/>
                      <w:sz w:val="21"/>
                      <w:szCs w:val="21"/>
                      <w:highlight w:val="none"/>
                    </w:rPr>
                  </w:pPr>
                  <w:r>
                    <w:rPr>
                      <w:rFonts w:hint="eastAsia"/>
                      <w:color w:val="auto"/>
                      <w:sz w:val="21"/>
                      <w:szCs w:val="21"/>
                      <w:highlight w:val="none"/>
                    </w:rPr>
                    <w:t>1×10</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470A1383">
                  <w:pPr>
                    <w:pStyle w:val="47"/>
                    <w:spacing w:line="240" w:lineRule="auto"/>
                    <w:rPr>
                      <w:color w:val="auto"/>
                      <w:sz w:val="21"/>
                      <w:szCs w:val="21"/>
                      <w:highlight w:val="none"/>
                    </w:rPr>
                  </w:pPr>
                  <w:r>
                    <w:rPr>
                      <w:rFonts w:hint="eastAsia"/>
                      <w:color w:val="auto"/>
                      <w:sz w:val="21"/>
                      <w:szCs w:val="21"/>
                      <w:highlight w:val="none"/>
                    </w:rPr>
                    <w:t>7</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689B6A98">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2D55398A">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398D2153">
                  <w:pPr>
                    <w:pStyle w:val="47"/>
                    <w:spacing w:line="240" w:lineRule="auto"/>
                    <w:rPr>
                      <w:color w:val="auto"/>
                      <w:sz w:val="21"/>
                      <w:szCs w:val="21"/>
                      <w:highlight w:val="none"/>
                    </w:rPr>
                  </w:pPr>
                  <w:r>
                    <w:rPr>
                      <w:rFonts w:hint="eastAsia"/>
                      <w:color w:val="auto"/>
                      <w:sz w:val="21"/>
                      <w:szCs w:val="21"/>
                      <w:highlight w:val="none"/>
                    </w:rPr>
                    <w:t>改建</w:t>
                  </w:r>
                </w:p>
              </w:tc>
            </w:tr>
            <w:tr w14:paraId="4C2BE5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vMerge w:val="continue"/>
                  <w:tcBorders>
                    <w:left w:val="single" w:color="auto" w:sz="4" w:space="0"/>
                    <w:right w:val="single" w:color="auto" w:sz="4" w:space="0"/>
                  </w:tcBorders>
                  <w:vAlign w:val="center"/>
                </w:tcPr>
                <w:p w14:paraId="33059FB9">
                  <w:pPr>
                    <w:pStyle w:val="47"/>
                    <w:spacing w:line="240" w:lineRule="auto"/>
                    <w:rPr>
                      <w:color w:val="auto"/>
                      <w:sz w:val="21"/>
                      <w:szCs w:val="21"/>
                      <w:highlight w:val="none"/>
                    </w:rPr>
                  </w:pP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79CD59A4">
                  <w:pPr>
                    <w:pStyle w:val="47"/>
                    <w:spacing w:line="240" w:lineRule="auto"/>
                    <w:rPr>
                      <w:color w:val="auto"/>
                      <w:sz w:val="21"/>
                      <w:szCs w:val="21"/>
                      <w:highlight w:val="none"/>
                    </w:rPr>
                  </w:pPr>
                  <w:r>
                    <w:rPr>
                      <w:rFonts w:hint="eastAsia"/>
                      <w:color w:val="auto"/>
                      <w:sz w:val="21"/>
                      <w:szCs w:val="21"/>
                      <w:highlight w:val="none"/>
                    </w:rPr>
                    <w:t>3号桥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55F4D5D3">
                  <w:pPr>
                    <w:pStyle w:val="47"/>
                    <w:spacing w:line="240" w:lineRule="auto"/>
                    <w:rPr>
                      <w:color w:val="auto"/>
                      <w:sz w:val="21"/>
                      <w:szCs w:val="21"/>
                      <w:highlight w:val="none"/>
                    </w:rPr>
                  </w:pPr>
                  <w:r>
                    <w:rPr>
                      <w:rFonts w:hint="eastAsia"/>
                      <w:color w:val="auto"/>
                      <w:sz w:val="21"/>
                      <w:szCs w:val="21"/>
                      <w:highlight w:val="none"/>
                    </w:rPr>
                    <w:t>1×10</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2CBBD333">
                  <w:pPr>
                    <w:pStyle w:val="47"/>
                    <w:spacing w:line="240" w:lineRule="auto"/>
                    <w:rPr>
                      <w:color w:val="auto"/>
                      <w:sz w:val="21"/>
                      <w:szCs w:val="21"/>
                      <w:highlight w:val="none"/>
                    </w:rPr>
                  </w:pPr>
                  <w:r>
                    <w:rPr>
                      <w:rFonts w:hint="eastAsia"/>
                      <w:color w:val="auto"/>
                      <w:sz w:val="21"/>
                      <w:szCs w:val="21"/>
                      <w:highlight w:val="none"/>
                    </w:rPr>
                    <w:t>7</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3CA2134F">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30CB97FD">
                  <w:pPr>
                    <w:pStyle w:val="47"/>
                    <w:spacing w:line="240" w:lineRule="auto"/>
                    <w:rPr>
                      <w:color w:val="auto"/>
                      <w:sz w:val="21"/>
                      <w:szCs w:val="21"/>
                      <w:highlight w:val="none"/>
                    </w:rPr>
                  </w:pPr>
                  <w:r>
                    <w:rPr>
                      <w:rFonts w:hint="eastAsia"/>
                      <w:color w:val="auto"/>
                      <w:sz w:val="21"/>
                      <w:szCs w:val="21"/>
                      <w:highlight w:val="none"/>
                    </w:rPr>
                    <w:t>重力式桥台，扩大基础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0D929A08">
                  <w:pPr>
                    <w:pStyle w:val="47"/>
                    <w:spacing w:line="240" w:lineRule="auto"/>
                    <w:rPr>
                      <w:color w:val="auto"/>
                      <w:sz w:val="21"/>
                      <w:szCs w:val="21"/>
                      <w:highlight w:val="none"/>
                    </w:rPr>
                  </w:pPr>
                  <w:r>
                    <w:rPr>
                      <w:rFonts w:hint="eastAsia"/>
                      <w:color w:val="auto"/>
                      <w:sz w:val="21"/>
                      <w:szCs w:val="21"/>
                      <w:highlight w:val="none"/>
                    </w:rPr>
                    <w:t>改建</w:t>
                  </w:r>
                </w:p>
              </w:tc>
            </w:tr>
            <w:tr w14:paraId="44E9E9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06" w:type="pct"/>
                  <w:tcBorders>
                    <w:top w:val="single" w:color="auto" w:sz="4" w:space="0"/>
                    <w:left w:val="single" w:color="auto" w:sz="4" w:space="0"/>
                    <w:right w:val="single" w:color="auto" w:sz="4" w:space="0"/>
                  </w:tcBorders>
                  <w:vAlign w:val="center"/>
                </w:tcPr>
                <w:p w14:paraId="4DF2B635">
                  <w:pPr>
                    <w:pStyle w:val="47"/>
                    <w:spacing w:line="240" w:lineRule="auto"/>
                    <w:rPr>
                      <w:color w:val="auto"/>
                      <w:sz w:val="21"/>
                      <w:szCs w:val="21"/>
                      <w:highlight w:val="none"/>
                    </w:rPr>
                  </w:pPr>
                  <w:r>
                    <w:rPr>
                      <w:rFonts w:hint="eastAsia"/>
                      <w:color w:val="auto"/>
                      <w:sz w:val="21"/>
                      <w:szCs w:val="21"/>
                      <w:highlight w:val="none"/>
                    </w:rPr>
                    <w:t>袁家河</w:t>
                  </w:r>
                </w:p>
              </w:tc>
              <w:tc>
                <w:tcPr>
                  <w:tcW w:w="792" w:type="pct"/>
                  <w:tcBorders>
                    <w:top w:val="single" w:color="auto" w:sz="4" w:space="0"/>
                    <w:left w:val="single" w:color="auto" w:sz="4" w:space="0"/>
                    <w:bottom w:val="single" w:color="auto" w:sz="4" w:space="0"/>
                    <w:right w:val="single" w:color="auto" w:sz="4" w:space="0"/>
                  </w:tcBorders>
                  <w:shd w:val="clear" w:color="auto" w:fill="auto"/>
                  <w:vAlign w:val="center"/>
                </w:tcPr>
                <w:p w14:paraId="7344E0FF">
                  <w:pPr>
                    <w:pStyle w:val="47"/>
                    <w:spacing w:line="240" w:lineRule="auto"/>
                    <w:rPr>
                      <w:color w:val="auto"/>
                      <w:sz w:val="21"/>
                      <w:szCs w:val="21"/>
                      <w:highlight w:val="none"/>
                    </w:rPr>
                  </w:pPr>
                  <w:r>
                    <w:rPr>
                      <w:rFonts w:hint="eastAsia"/>
                      <w:color w:val="auto"/>
                      <w:sz w:val="21"/>
                      <w:szCs w:val="21"/>
                      <w:highlight w:val="none"/>
                      <w:lang w:eastAsia="zh-CN"/>
                    </w:rPr>
                    <w:t>梁</w:t>
                  </w:r>
                  <w:r>
                    <w:rPr>
                      <w:rFonts w:hint="eastAsia"/>
                      <w:color w:val="auto"/>
                      <w:sz w:val="21"/>
                      <w:szCs w:val="21"/>
                      <w:highlight w:val="none"/>
                    </w:rPr>
                    <w:t>牛路桥</w:t>
                  </w:r>
                </w:p>
              </w:tc>
              <w:tc>
                <w:tcPr>
                  <w:tcW w:w="605" w:type="pct"/>
                  <w:tcBorders>
                    <w:top w:val="single" w:color="auto" w:sz="4" w:space="0"/>
                    <w:left w:val="single" w:color="auto" w:sz="4" w:space="0"/>
                    <w:bottom w:val="single" w:color="auto" w:sz="4" w:space="0"/>
                    <w:right w:val="single" w:color="auto" w:sz="4" w:space="0"/>
                  </w:tcBorders>
                  <w:shd w:val="clear" w:color="auto" w:fill="auto"/>
                  <w:vAlign w:val="center"/>
                </w:tcPr>
                <w:p w14:paraId="34789D5C">
                  <w:pPr>
                    <w:pStyle w:val="47"/>
                    <w:spacing w:line="240" w:lineRule="auto"/>
                    <w:rPr>
                      <w:color w:val="auto"/>
                      <w:sz w:val="21"/>
                      <w:szCs w:val="21"/>
                      <w:highlight w:val="none"/>
                    </w:rPr>
                  </w:pPr>
                  <w:r>
                    <w:rPr>
                      <w:rFonts w:hint="eastAsia"/>
                      <w:color w:val="auto"/>
                      <w:sz w:val="21"/>
                      <w:szCs w:val="21"/>
                      <w:highlight w:val="none"/>
                    </w:rPr>
                    <w:t>1×10</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14:paraId="12399CAE">
                  <w:pPr>
                    <w:pStyle w:val="47"/>
                    <w:spacing w:line="240" w:lineRule="auto"/>
                    <w:rPr>
                      <w:color w:val="auto"/>
                      <w:sz w:val="21"/>
                      <w:szCs w:val="21"/>
                      <w:highlight w:val="none"/>
                    </w:rPr>
                  </w:pPr>
                  <w:r>
                    <w:rPr>
                      <w:rFonts w:hint="eastAsia"/>
                      <w:color w:val="auto"/>
                      <w:sz w:val="21"/>
                      <w:szCs w:val="21"/>
                      <w:highlight w:val="none"/>
                    </w:rPr>
                    <w:t>15</w:t>
                  </w:r>
                </w:p>
              </w:tc>
              <w:tc>
                <w:tcPr>
                  <w:tcW w:w="875" w:type="pct"/>
                  <w:tcBorders>
                    <w:top w:val="single" w:color="auto" w:sz="4" w:space="0"/>
                    <w:left w:val="single" w:color="auto" w:sz="4" w:space="0"/>
                    <w:bottom w:val="single" w:color="auto" w:sz="4" w:space="0"/>
                    <w:right w:val="single" w:color="auto" w:sz="4" w:space="0"/>
                  </w:tcBorders>
                  <w:shd w:val="clear" w:color="auto" w:fill="auto"/>
                  <w:vAlign w:val="center"/>
                </w:tcPr>
                <w:p w14:paraId="473C72E9">
                  <w:pPr>
                    <w:pStyle w:val="47"/>
                    <w:spacing w:line="240" w:lineRule="auto"/>
                    <w:rPr>
                      <w:color w:val="auto"/>
                      <w:sz w:val="21"/>
                      <w:szCs w:val="21"/>
                      <w:highlight w:val="none"/>
                    </w:rPr>
                  </w:pPr>
                  <w:r>
                    <w:rPr>
                      <w:rFonts w:hint="eastAsia"/>
                      <w:color w:val="auto"/>
                      <w:sz w:val="21"/>
                      <w:szCs w:val="21"/>
                      <w:highlight w:val="none"/>
                    </w:rPr>
                    <w:t>装配式预应力砼空心板</w:t>
                  </w:r>
                </w:p>
              </w:tc>
              <w:tc>
                <w:tcPr>
                  <w:tcW w:w="1136" w:type="pct"/>
                  <w:tcBorders>
                    <w:top w:val="single" w:color="auto" w:sz="4" w:space="0"/>
                    <w:left w:val="single" w:color="auto" w:sz="4" w:space="0"/>
                    <w:bottom w:val="single" w:color="auto" w:sz="4" w:space="0"/>
                    <w:right w:val="single" w:color="auto" w:sz="4" w:space="0"/>
                  </w:tcBorders>
                  <w:shd w:val="clear" w:color="auto" w:fill="auto"/>
                  <w:vAlign w:val="center"/>
                </w:tcPr>
                <w:p w14:paraId="75113B38">
                  <w:pPr>
                    <w:pStyle w:val="47"/>
                    <w:spacing w:line="240" w:lineRule="auto"/>
                    <w:rPr>
                      <w:color w:val="auto"/>
                      <w:sz w:val="21"/>
                      <w:szCs w:val="21"/>
                      <w:highlight w:val="none"/>
                    </w:rPr>
                  </w:pPr>
                  <w:r>
                    <w:rPr>
                      <w:rFonts w:hint="eastAsia"/>
                      <w:color w:val="auto"/>
                      <w:sz w:val="21"/>
                      <w:szCs w:val="21"/>
                      <w:highlight w:val="none"/>
                    </w:rPr>
                    <w:t>桩基础</w:t>
                  </w: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3119C6BC">
                  <w:pPr>
                    <w:pStyle w:val="47"/>
                    <w:spacing w:line="240" w:lineRule="auto"/>
                    <w:rPr>
                      <w:color w:val="auto"/>
                      <w:sz w:val="21"/>
                      <w:szCs w:val="21"/>
                      <w:highlight w:val="none"/>
                    </w:rPr>
                  </w:pPr>
                  <w:r>
                    <w:rPr>
                      <w:rFonts w:hint="eastAsia"/>
                      <w:color w:val="auto"/>
                      <w:sz w:val="21"/>
                      <w:szCs w:val="21"/>
                      <w:highlight w:val="none"/>
                    </w:rPr>
                    <w:t>改建</w:t>
                  </w:r>
                </w:p>
              </w:tc>
            </w:tr>
          </w:tbl>
          <w:p w14:paraId="5CB5467E">
            <w:pPr>
              <w:pStyle w:val="46"/>
              <w:rPr>
                <w:rFonts w:hint="eastAsia"/>
                <w:bCs/>
                <w:color w:val="auto"/>
                <w:sz w:val="24"/>
                <w:highlight w:val="none"/>
              </w:rPr>
            </w:pPr>
            <w:r>
              <w:rPr>
                <w:rFonts w:hint="eastAsia"/>
                <w:bCs/>
                <w:color w:val="auto"/>
                <w:sz w:val="24"/>
                <w:highlight w:val="none"/>
                <w:lang w:eastAsia="zh-CN"/>
              </w:rPr>
              <w:t>（五）</w:t>
            </w:r>
            <w:r>
              <w:rPr>
                <w:rFonts w:hint="eastAsia"/>
                <w:bCs/>
                <w:color w:val="auto"/>
                <w:sz w:val="24"/>
                <w:highlight w:val="none"/>
              </w:rPr>
              <w:t>污水管道</w:t>
            </w:r>
          </w:p>
          <w:p w14:paraId="315E2AAA">
            <w:pPr>
              <w:pStyle w:val="46"/>
              <w:rPr>
                <w:bCs/>
                <w:color w:val="auto"/>
                <w:sz w:val="24"/>
                <w:highlight w:val="none"/>
              </w:rPr>
            </w:pPr>
            <w:r>
              <w:rPr>
                <w:rFonts w:hint="eastAsia"/>
                <w:bCs/>
                <w:color w:val="auto"/>
                <w:sz w:val="24"/>
                <w:highlight w:val="none"/>
              </w:rPr>
              <w:t>本次设计拟对涝淄河新建截污管道，以满足河道沿岸地块污水排放。具体情况如下：</w:t>
            </w:r>
          </w:p>
          <w:p w14:paraId="4278EC9D">
            <w:pPr>
              <w:pStyle w:val="46"/>
              <w:rPr>
                <w:bCs/>
                <w:color w:val="auto"/>
                <w:sz w:val="24"/>
                <w:highlight w:val="none"/>
              </w:rPr>
            </w:pPr>
            <w:r>
              <w:rPr>
                <w:rFonts w:hint="eastAsia"/>
                <w:bCs/>
                <w:color w:val="auto"/>
                <w:sz w:val="24"/>
                <w:highlight w:val="none"/>
              </w:rPr>
              <w:t>涝淄河：胶济铁路至昌国路段，河道右岸新建污水管道，管径为d400~d500，管长约900米。昌国路至向阳路段，河道右岸新建污水管道，管径为d400~d500，管长约950米。</w:t>
            </w:r>
          </w:p>
          <w:p w14:paraId="618A1DFC">
            <w:pPr>
              <w:pStyle w:val="46"/>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lang w:eastAsia="zh-CN"/>
              </w:rPr>
              <w:t>（六）雨水</w:t>
            </w:r>
            <w:r>
              <w:rPr>
                <w:rFonts w:hint="eastAsia" w:ascii="Times New Roman" w:hAnsi="Times New Roman" w:eastAsia="宋体" w:cs="Times New Roman"/>
                <w:bCs/>
                <w:color w:val="auto"/>
                <w:sz w:val="24"/>
                <w:highlight w:val="none"/>
              </w:rPr>
              <w:t>管道</w:t>
            </w:r>
          </w:p>
          <w:p w14:paraId="71D987F7">
            <w:pPr>
              <w:pStyle w:val="46"/>
              <w:rPr>
                <w:rFonts w:hint="eastAsia" w:ascii="Times New Roman" w:hAnsi="Times New Roman" w:eastAsia="宋体" w:cs="Times New Roman"/>
                <w:bCs/>
                <w:color w:val="auto"/>
                <w:sz w:val="24"/>
                <w:highlight w:val="none"/>
                <w:lang w:eastAsia="zh-CN"/>
              </w:rPr>
            </w:pPr>
            <w:r>
              <w:rPr>
                <w:rFonts w:hint="eastAsia" w:ascii="Times New Roman" w:hAnsi="Times New Roman" w:eastAsia="宋体" w:cs="Times New Roman"/>
                <w:bCs/>
                <w:color w:val="auto"/>
                <w:sz w:val="24"/>
                <w:highlight w:val="none"/>
              </w:rPr>
              <w:t>猪龙河上游西支</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rPr>
              <w:t>鲁山大道至东四路段新建一条d1650雨水管道，用于分流部分雨水，分流量约5.7m3/s。</w:t>
            </w:r>
          </w:p>
          <w:p w14:paraId="26B3E04F">
            <w:pPr>
              <w:pStyle w:val="46"/>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天津路排涝沟</w:t>
            </w:r>
            <w:r>
              <w:rPr>
                <w:rFonts w:hint="eastAsia" w:ascii="Times New Roman" w:hAnsi="Times New Roman" w:eastAsia="宋体" w:cs="Times New Roman"/>
                <w:bCs/>
                <w:color w:val="auto"/>
                <w:sz w:val="24"/>
                <w:highlight w:val="none"/>
                <w:lang w:eastAsia="zh-CN"/>
              </w:rPr>
              <w:t>：</w:t>
            </w:r>
            <w:r>
              <w:rPr>
                <w:rFonts w:ascii="Times New Roman" w:hAnsi="Times New Roman" w:eastAsia="宋体" w:cs="Times New Roman"/>
                <w:bCs/>
                <w:color w:val="auto"/>
                <w:sz w:val="24"/>
                <w:highlight w:val="none"/>
              </w:rPr>
              <w:t>沿淄河大道南侧辅道下新建雨水方沟，方沟断面为3000×2000，长约800米。方沟排水量11.8m</w:t>
            </w:r>
            <w:r>
              <w:rPr>
                <w:rFonts w:ascii="Times New Roman" w:hAnsi="Times New Roman" w:eastAsia="宋体" w:cs="Times New Roman"/>
                <w:bCs/>
                <w:color w:val="auto"/>
                <w:sz w:val="24"/>
                <w:highlight w:val="none"/>
                <w:vertAlign w:val="superscript"/>
              </w:rPr>
              <w:t>3</w:t>
            </w:r>
            <w:r>
              <w:rPr>
                <w:rFonts w:ascii="Times New Roman" w:hAnsi="Times New Roman" w:eastAsia="宋体" w:cs="Times New Roman"/>
                <w:bCs/>
                <w:color w:val="auto"/>
                <w:sz w:val="24"/>
                <w:highlight w:val="none"/>
              </w:rPr>
              <w:t>/s，与现状d1500、d1800雨水管道共同排放天津路排涝沟雨水。</w:t>
            </w:r>
          </w:p>
          <w:p w14:paraId="0BF3A608">
            <w:pPr>
              <w:pStyle w:val="46"/>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小旦村排涝沟</w:t>
            </w:r>
            <w:r>
              <w:rPr>
                <w:rFonts w:hint="eastAsia" w:ascii="Times New Roman" w:hAnsi="Times New Roman" w:eastAsia="宋体" w:cs="Times New Roman"/>
                <w:bCs/>
                <w:color w:val="auto"/>
                <w:sz w:val="24"/>
                <w:highlight w:val="none"/>
                <w:lang w:eastAsia="zh-CN"/>
              </w:rPr>
              <w:t>：</w:t>
            </w:r>
            <w:r>
              <w:rPr>
                <w:rFonts w:ascii="Times New Roman" w:hAnsi="Times New Roman" w:eastAsia="宋体" w:cs="Times New Roman"/>
                <w:bCs/>
                <w:color w:val="auto"/>
                <w:sz w:val="24"/>
                <w:highlight w:val="none"/>
              </w:rPr>
              <w:t>沿南北向道路新建雨水沟，向北排至漫泗河。新建雨水沟断面为1200×1000，总长约1000米。受道路两侧建筑影响，排水沟敷设于车行道下，车行道拆除及恢复面积约5000m</w:t>
            </w:r>
            <w:r>
              <w:rPr>
                <w:rFonts w:ascii="Times New Roman" w:hAnsi="Times New Roman" w:eastAsia="宋体" w:cs="Times New Roman"/>
                <w:bCs/>
                <w:color w:val="auto"/>
                <w:sz w:val="24"/>
                <w:highlight w:val="none"/>
                <w:vertAlign w:val="superscript"/>
              </w:rPr>
              <w:t>2</w:t>
            </w:r>
            <w:r>
              <w:rPr>
                <w:rFonts w:ascii="Times New Roman" w:hAnsi="Times New Roman" w:eastAsia="宋体" w:cs="Times New Roman"/>
                <w:bCs/>
                <w:color w:val="auto"/>
                <w:sz w:val="24"/>
                <w:highlight w:val="none"/>
              </w:rPr>
              <w:t>。</w:t>
            </w:r>
          </w:p>
          <w:p w14:paraId="3E99766F">
            <w:pPr>
              <w:pStyle w:val="46"/>
              <w:rPr>
                <w:rFonts w:hint="eastAsia" w:ascii="Times New Roman" w:hAnsi="Times New Roman" w:eastAsia="宋体" w:cs="Times New Roman"/>
                <w:bCs/>
                <w:color w:val="auto"/>
                <w:sz w:val="24"/>
                <w:highlight w:val="none"/>
                <w:lang w:eastAsia="zh-CN"/>
              </w:rPr>
            </w:pPr>
            <w:r>
              <w:rPr>
                <w:rFonts w:ascii="Times New Roman" w:hAnsi="Times New Roman" w:eastAsia="宋体" w:cs="Times New Roman"/>
                <w:bCs/>
                <w:color w:val="auto"/>
                <w:sz w:val="24"/>
                <w:highlight w:val="none"/>
              </w:rPr>
              <w:t>大高村排涝沟</w:t>
            </w:r>
            <w:r>
              <w:rPr>
                <w:rFonts w:hint="eastAsia" w:ascii="Times New Roman" w:hAnsi="Times New Roman" w:eastAsia="宋体" w:cs="Times New Roman"/>
                <w:bCs/>
                <w:color w:val="auto"/>
                <w:sz w:val="24"/>
                <w:highlight w:val="none"/>
                <w:lang w:eastAsia="zh-CN"/>
              </w:rPr>
              <w:t>：</w:t>
            </w:r>
            <w:r>
              <w:rPr>
                <w:rFonts w:ascii="Times New Roman" w:hAnsi="Times New Roman" w:eastAsia="宋体" w:cs="Times New Roman"/>
                <w:bCs/>
                <w:color w:val="auto"/>
                <w:sz w:val="24"/>
                <w:highlight w:val="none"/>
              </w:rPr>
              <w:t>沿大高村西侧南北向路，建设雨水沟渠，自南向北排至炒米村排涝沟。新建沟渠断面为1200×1000，总长约600米</w:t>
            </w:r>
            <w:r>
              <w:rPr>
                <w:rFonts w:hint="eastAsia" w:ascii="Times New Roman" w:hAnsi="Times New Roman" w:eastAsia="宋体" w:cs="Times New Roman"/>
                <w:bCs/>
                <w:color w:val="auto"/>
                <w:sz w:val="24"/>
                <w:highlight w:val="none"/>
                <w:lang w:eastAsia="zh-CN"/>
              </w:rPr>
              <w:t>。</w:t>
            </w:r>
          </w:p>
          <w:p w14:paraId="03DC7F36">
            <w:pPr>
              <w:widowControl/>
              <w:spacing w:line="360" w:lineRule="auto"/>
              <w:ind w:left="420"/>
              <w:rPr>
                <w:b/>
                <w:bCs/>
                <w:color w:val="auto"/>
                <w:kern w:val="0"/>
                <w:sz w:val="24"/>
                <w:highlight w:val="none"/>
                <w:lang w:bidi="ar"/>
              </w:rPr>
            </w:pPr>
            <w:r>
              <w:rPr>
                <w:b/>
                <w:bCs/>
                <w:color w:val="auto"/>
                <w:kern w:val="0"/>
                <w:sz w:val="24"/>
                <w:highlight w:val="none"/>
                <w:lang w:bidi="ar"/>
              </w:rPr>
              <w:t>二、施工现场平面布置</w:t>
            </w:r>
          </w:p>
          <w:p w14:paraId="3D08F97C">
            <w:pPr>
              <w:widowControl/>
              <w:spacing w:line="360" w:lineRule="auto"/>
              <w:ind w:firstLine="480" w:firstLineChars="200"/>
              <w:jc w:val="left"/>
              <w:rPr>
                <w:rFonts w:hint="eastAsia" w:eastAsia="宋体"/>
                <w:bCs/>
                <w:color w:val="auto"/>
                <w:sz w:val="24"/>
                <w:highlight w:val="none"/>
                <w:lang w:eastAsia="zh-CN"/>
              </w:rPr>
            </w:pPr>
            <w:r>
              <w:rPr>
                <w:bCs/>
                <w:color w:val="auto"/>
                <w:sz w:val="24"/>
                <w:highlight w:val="none"/>
              </w:rPr>
              <w:t>1、施工</w:t>
            </w:r>
            <w:r>
              <w:rPr>
                <w:rFonts w:hint="eastAsia"/>
                <w:bCs/>
                <w:color w:val="auto"/>
                <w:sz w:val="24"/>
                <w:highlight w:val="none"/>
                <w:lang w:eastAsia="zh-CN"/>
              </w:rPr>
              <w:t>布局原则</w:t>
            </w:r>
          </w:p>
          <w:p w14:paraId="6A925FCA">
            <w:pPr>
              <w:widowControl/>
              <w:spacing w:line="360" w:lineRule="auto"/>
              <w:ind w:firstLine="480" w:firstLineChars="200"/>
              <w:rPr>
                <w:color w:val="auto"/>
                <w:sz w:val="24"/>
                <w:highlight w:val="none"/>
              </w:rPr>
            </w:pPr>
            <w:r>
              <w:rPr>
                <w:color w:val="auto"/>
                <w:sz w:val="24"/>
                <w:highlight w:val="none"/>
              </w:rPr>
              <w:t>（1）在满足施工要求的前提下布置紧凑、将占地范围减少到最低限度，尤其不挤占交通道路；</w:t>
            </w:r>
          </w:p>
          <w:p w14:paraId="0C71BD20">
            <w:pPr>
              <w:widowControl/>
              <w:spacing w:line="360" w:lineRule="auto"/>
              <w:ind w:firstLine="480" w:firstLineChars="200"/>
              <w:rPr>
                <w:color w:val="auto"/>
                <w:sz w:val="24"/>
                <w:highlight w:val="none"/>
              </w:rPr>
            </w:pPr>
            <w:r>
              <w:rPr>
                <w:color w:val="auto"/>
                <w:sz w:val="24"/>
                <w:highlight w:val="none"/>
              </w:rPr>
              <w:t>（2）最大限度的缩短场内运输，尽可能避免场内二次搬运；</w:t>
            </w:r>
          </w:p>
          <w:p w14:paraId="027127F4">
            <w:pPr>
              <w:widowControl/>
              <w:spacing w:line="360" w:lineRule="auto"/>
              <w:ind w:firstLine="480" w:firstLineChars="200"/>
              <w:rPr>
                <w:color w:val="auto"/>
                <w:sz w:val="24"/>
                <w:highlight w:val="none"/>
              </w:rPr>
            </w:pPr>
            <w:r>
              <w:rPr>
                <w:color w:val="auto"/>
                <w:sz w:val="24"/>
                <w:highlight w:val="none"/>
              </w:rPr>
              <w:t>（3）尽量减少临时设施的工程量，最大限度的降低临时工程费；</w:t>
            </w:r>
          </w:p>
          <w:p w14:paraId="4A167F60">
            <w:pPr>
              <w:widowControl/>
              <w:spacing w:line="360" w:lineRule="auto"/>
              <w:ind w:firstLine="480" w:firstLineChars="200"/>
              <w:rPr>
                <w:color w:val="auto"/>
                <w:sz w:val="24"/>
                <w:highlight w:val="none"/>
              </w:rPr>
            </w:pPr>
            <w:r>
              <w:rPr>
                <w:color w:val="auto"/>
                <w:sz w:val="24"/>
                <w:highlight w:val="none"/>
              </w:rPr>
              <w:t>（4）临时设施的布置应便利于生产和生活，减少往返现场的时间；</w:t>
            </w:r>
          </w:p>
          <w:p w14:paraId="5C216782">
            <w:pPr>
              <w:widowControl/>
              <w:spacing w:line="360" w:lineRule="auto"/>
              <w:ind w:firstLine="480" w:firstLineChars="200"/>
              <w:rPr>
                <w:color w:val="auto"/>
                <w:sz w:val="24"/>
                <w:highlight w:val="none"/>
              </w:rPr>
            </w:pPr>
            <w:r>
              <w:rPr>
                <w:color w:val="auto"/>
                <w:sz w:val="24"/>
                <w:highlight w:val="none"/>
              </w:rPr>
              <w:t>（5）充分考虑生产、生活设施和施工中的劳动保护、技术安全等；</w:t>
            </w:r>
          </w:p>
          <w:p w14:paraId="088CCAB6">
            <w:pPr>
              <w:widowControl/>
              <w:spacing w:line="360" w:lineRule="auto"/>
              <w:ind w:firstLine="480" w:firstLineChars="200"/>
              <w:rPr>
                <w:color w:val="auto"/>
                <w:sz w:val="24"/>
                <w:highlight w:val="none"/>
              </w:rPr>
            </w:pPr>
            <w:r>
              <w:rPr>
                <w:color w:val="auto"/>
                <w:sz w:val="24"/>
                <w:highlight w:val="none"/>
              </w:rPr>
              <w:t>（6）遵守环境保护条例的要求，避免</w:t>
            </w:r>
            <w:r>
              <w:rPr>
                <w:rFonts w:hint="eastAsia"/>
                <w:color w:val="auto"/>
                <w:sz w:val="24"/>
                <w:highlight w:val="none"/>
              </w:rPr>
              <w:t>产生环境</w:t>
            </w:r>
            <w:r>
              <w:rPr>
                <w:color w:val="auto"/>
                <w:sz w:val="24"/>
                <w:highlight w:val="none"/>
              </w:rPr>
              <w:t>污染。</w:t>
            </w:r>
          </w:p>
          <w:p w14:paraId="5681BB00">
            <w:pPr>
              <w:widowControl/>
              <w:spacing w:line="360" w:lineRule="auto"/>
              <w:ind w:firstLine="480" w:firstLineChars="200"/>
              <w:jc w:val="left"/>
              <w:rPr>
                <w:color w:val="auto"/>
                <w:kern w:val="0"/>
                <w:sz w:val="24"/>
                <w:highlight w:val="none"/>
                <w:lang w:bidi="ar"/>
              </w:rPr>
            </w:pPr>
            <w:r>
              <w:rPr>
                <w:bCs/>
                <w:color w:val="auto"/>
                <w:sz w:val="24"/>
                <w:highlight w:val="none"/>
              </w:rPr>
              <w:t>根据上述原则；</w:t>
            </w:r>
            <w:r>
              <w:rPr>
                <w:rFonts w:hint="eastAsia"/>
                <w:bCs/>
                <w:color w:val="auto"/>
                <w:sz w:val="24"/>
                <w:highlight w:val="none"/>
              </w:rPr>
              <w:t>根据</w:t>
            </w:r>
            <w:r>
              <w:rPr>
                <w:bCs/>
                <w:color w:val="auto"/>
                <w:sz w:val="24"/>
                <w:highlight w:val="none"/>
              </w:rPr>
              <w:t>河渠工程共计</w:t>
            </w:r>
            <w:r>
              <w:rPr>
                <w:rFonts w:hint="eastAsia"/>
                <w:bCs/>
                <w:color w:val="auto"/>
                <w:sz w:val="24"/>
                <w:highlight w:val="none"/>
                <w:lang w:val="en-US" w:eastAsia="zh-CN"/>
              </w:rPr>
              <w:t>2</w:t>
            </w:r>
            <w:r>
              <w:rPr>
                <w:bCs/>
                <w:color w:val="auto"/>
                <w:sz w:val="24"/>
                <w:highlight w:val="none"/>
              </w:rPr>
              <w:t>处施工分区。</w:t>
            </w:r>
          </w:p>
          <w:p w14:paraId="08E33B6E">
            <w:pPr>
              <w:widowControl/>
              <w:spacing w:line="360" w:lineRule="auto"/>
              <w:ind w:firstLine="480" w:firstLineChars="200"/>
              <w:jc w:val="left"/>
              <w:rPr>
                <w:rFonts w:hint="eastAsia" w:eastAsia="宋体"/>
                <w:color w:val="auto"/>
                <w:kern w:val="0"/>
                <w:sz w:val="24"/>
                <w:highlight w:val="none"/>
                <w:lang w:eastAsia="zh-CN" w:bidi="ar"/>
              </w:rPr>
            </w:pPr>
            <w:r>
              <w:rPr>
                <w:rFonts w:hint="eastAsia"/>
                <w:color w:val="auto"/>
                <w:kern w:val="0"/>
                <w:sz w:val="24"/>
                <w:highlight w:val="none"/>
                <w:lang w:bidi="ar"/>
              </w:rPr>
              <w:t>2</w:t>
            </w:r>
            <w:r>
              <w:rPr>
                <w:color w:val="auto"/>
                <w:kern w:val="0"/>
                <w:sz w:val="24"/>
                <w:highlight w:val="none"/>
                <w:lang w:bidi="ar"/>
              </w:rPr>
              <w:t>、</w:t>
            </w:r>
            <w:r>
              <w:rPr>
                <w:rFonts w:hint="eastAsia"/>
                <w:color w:val="auto"/>
                <w:kern w:val="0"/>
                <w:sz w:val="24"/>
                <w:highlight w:val="none"/>
                <w:lang w:eastAsia="zh-CN" w:bidi="ar"/>
              </w:rPr>
              <w:t>施工总体布置</w:t>
            </w:r>
          </w:p>
          <w:p w14:paraId="49EFE011">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eastAsia="zh-CN" w:bidi="ar"/>
              </w:rPr>
              <w:t>（</w:t>
            </w:r>
            <w:r>
              <w:rPr>
                <w:rFonts w:hint="eastAsia"/>
                <w:color w:val="auto"/>
                <w:kern w:val="0"/>
                <w:sz w:val="24"/>
                <w:highlight w:val="none"/>
                <w:lang w:val="en-US" w:eastAsia="zh-CN" w:bidi="ar"/>
              </w:rPr>
              <w:t>1</w:t>
            </w:r>
            <w:r>
              <w:rPr>
                <w:rFonts w:hint="eastAsia"/>
                <w:color w:val="auto"/>
                <w:kern w:val="0"/>
                <w:sz w:val="24"/>
                <w:highlight w:val="none"/>
                <w:lang w:eastAsia="zh-CN" w:bidi="ar"/>
              </w:rPr>
              <w:t>）</w:t>
            </w:r>
            <w:r>
              <w:rPr>
                <w:color w:val="auto"/>
                <w:kern w:val="0"/>
                <w:sz w:val="24"/>
                <w:highlight w:val="none"/>
                <w:lang w:bidi="ar"/>
              </w:rPr>
              <w:t>施工临时设施</w:t>
            </w:r>
          </w:p>
          <w:p w14:paraId="65B5B7F5">
            <w:pPr>
              <w:widowControl/>
              <w:spacing w:line="360" w:lineRule="auto"/>
              <w:ind w:firstLine="480" w:firstLineChars="200"/>
              <w:jc w:val="left"/>
              <w:rPr>
                <w:color w:val="auto"/>
                <w:sz w:val="24"/>
                <w:highlight w:val="none"/>
              </w:rPr>
            </w:pPr>
            <w:r>
              <w:rPr>
                <w:rFonts w:hint="eastAsia"/>
                <w:color w:val="auto"/>
                <w:sz w:val="24"/>
                <w:highlight w:val="none"/>
              </w:rPr>
              <w:t>根据本工程建设内容和施工场地条件，</w:t>
            </w:r>
            <w:r>
              <w:rPr>
                <w:rFonts w:hint="eastAsia"/>
                <w:color w:val="auto"/>
                <w:sz w:val="24"/>
                <w:highlight w:val="none"/>
                <w:lang w:eastAsia="zh-CN"/>
              </w:rPr>
              <w:t>布设</w:t>
            </w:r>
            <w:r>
              <w:rPr>
                <w:rFonts w:hint="eastAsia"/>
                <w:color w:val="auto"/>
                <w:sz w:val="24"/>
                <w:highlight w:val="none"/>
                <w:lang w:val="en-US" w:eastAsia="zh-CN"/>
              </w:rPr>
              <w:t>2</w:t>
            </w:r>
            <w:r>
              <w:rPr>
                <w:rFonts w:hint="eastAsia"/>
                <w:color w:val="auto"/>
                <w:sz w:val="24"/>
                <w:highlight w:val="none"/>
              </w:rPr>
              <w:t>个临时</w:t>
            </w:r>
            <w:r>
              <w:rPr>
                <w:rFonts w:hint="eastAsia"/>
                <w:color w:val="auto"/>
                <w:sz w:val="24"/>
                <w:highlight w:val="none"/>
                <w:lang w:eastAsia="zh-CN"/>
              </w:rPr>
              <w:t>设施区，</w:t>
            </w:r>
            <w:r>
              <w:rPr>
                <w:rFonts w:hint="eastAsia"/>
                <w:color w:val="auto"/>
                <w:kern w:val="0"/>
                <w:sz w:val="24"/>
                <w:highlight w:val="none"/>
                <w:lang w:eastAsia="zh-CN" w:bidi="ar"/>
              </w:rPr>
              <w:t>临时设施区沿河道布设</w:t>
            </w:r>
            <w:r>
              <w:rPr>
                <w:rFonts w:hint="eastAsia"/>
                <w:color w:val="auto"/>
                <w:kern w:val="0"/>
                <w:sz w:val="24"/>
                <w:highlight w:val="none"/>
                <w:lang w:val="en-US" w:eastAsia="zh-CN" w:bidi="ar"/>
              </w:rPr>
              <w:t>，</w:t>
            </w:r>
            <w:r>
              <w:rPr>
                <w:color w:val="auto"/>
                <w:kern w:val="0"/>
                <w:sz w:val="24"/>
                <w:highlight w:val="none"/>
                <w:lang w:bidi="ar"/>
              </w:rPr>
              <w:t>建筑面积按</w:t>
            </w:r>
            <w:r>
              <w:rPr>
                <w:rFonts w:hint="eastAsia"/>
                <w:color w:val="auto"/>
                <w:kern w:val="0"/>
                <w:sz w:val="24"/>
                <w:highlight w:val="none"/>
                <w:lang w:val="en-US" w:eastAsia="zh-CN" w:bidi="ar"/>
              </w:rPr>
              <w:t>10</w:t>
            </w:r>
            <w:r>
              <w:rPr>
                <w:color w:val="auto"/>
                <w:kern w:val="0"/>
                <w:sz w:val="24"/>
                <w:highlight w:val="none"/>
                <w:lang w:bidi="ar"/>
              </w:rPr>
              <w:t>00m</w:t>
            </w:r>
            <w:r>
              <w:rPr>
                <w:color w:val="auto"/>
                <w:kern w:val="0"/>
                <w:sz w:val="24"/>
                <w:highlight w:val="none"/>
                <w:vertAlign w:val="superscript"/>
                <w:lang w:bidi="ar"/>
              </w:rPr>
              <w:t>2</w:t>
            </w:r>
            <w:r>
              <w:rPr>
                <w:color w:val="auto"/>
                <w:kern w:val="0"/>
                <w:sz w:val="24"/>
                <w:highlight w:val="none"/>
                <w:lang w:bidi="ar"/>
              </w:rPr>
              <w:t>计算，占地面积计算指标按建筑面积3倍计算，临时占地面积</w:t>
            </w:r>
            <w:r>
              <w:rPr>
                <w:rFonts w:hint="eastAsia"/>
                <w:color w:val="auto"/>
                <w:kern w:val="0"/>
                <w:sz w:val="24"/>
                <w:highlight w:val="none"/>
                <w:lang w:val="en-US" w:eastAsia="zh-CN" w:bidi="ar"/>
              </w:rPr>
              <w:t>9</w:t>
            </w:r>
            <w:r>
              <w:rPr>
                <w:color w:val="auto"/>
                <w:kern w:val="0"/>
                <w:sz w:val="24"/>
                <w:highlight w:val="none"/>
                <w:lang w:bidi="ar"/>
              </w:rPr>
              <w:t>亩，占用期</w:t>
            </w:r>
            <w:r>
              <w:rPr>
                <w:rFonts w:hint="eastAsia"/>
                <w:color w:val="auto"/>
                <w:kern w:val="0"/>
                <w:sz w:val="24"/>
                <w:highlight w:val="none"/>
                <w:lang w:val="en-US" w:eastAsia="zh-CN" w:bidi="ar"/>
              </w:rPr>
              <w:t>21</w:t>
            </w:r>
            <w:r>
              <w:rPr>
                <w:color w:val="auto"/>
                <w:kern w:val="0"/>
                <w:sz w:val="24"/>
                <w:highlight w:val="none"/>
                <w:lang w:bidi="ar"/>
              </w:rPr>
              <w:t>个月。</w:t>
            </w:r>
          </w:p>
          <w:p w14:paraId="1273C9B0">
            <w:pPr>
              <w:widowControl/>
              <w:spacing w:line="360" w:lineRule="auto"/>
              <w:ind w:firstLine="480" w:firstLineChars="200"/>
              <w:jc w:val="left"/>
              <w:rPr>
                <w:rFonts w:hint="default" w:eastAsia="宋体"/>
                <w:color w:val="auto"/>
                <w:sz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施工临时设施区主要包括施工临时仓库、临时生活区及机械临时停放区。河道清淤、河道护坡、污水管网等工程施工时，尽量利用河底堆放原材料，以减少临时占地。施工仓库和机械临时停放区在不影响施工的前提下尽量靠近河堤，临时占用期21个月。</w:t>
            </w:r>
          </w:p>
          <w:p w14:paraId="496CAEA4">
            <w:pPr>
              <w:widowControl/>
              <w:spacing w:line="360" w:lineRule="auto"/>
              <w:ind w:firstLine="480" w:firstLineChars="200"/>
              <w:jc w:val="left"/>
              <w:rPr>
                <w:rFonts w:hint="eastAsia" w:ascii="Times New Roman" w:hAnsi="Times New Roman" w:eastAsia="宋体" w:cs="Times New Roman"/>
                <w:color w:val="auto"/>
                <w:kern w:val="0"/>
                <w:sz w:val="24"/>
                <w:highlight w:val="none"/>
                <w:lang w:val="en-US" w:eastAsia="zh-CN" w:bidi="ar"/>
              </w:rPr>
            </w:pPr>
            <w:r>
              <w:rPr>
                <w:rFonts w:hint="eastAsia" w:ascii="Times New Roman" w:hAnsi="Times New Roman" w:eastAsia="宋体" w:cs="Times New Roman"/>
                <w:color w:val="auto"/>
                <w:kern w:val="0"/>
                <w:sz w:val="24"/>
                <w:highlight w:val="none"/>
                <w:lang w:val="en-US" w:eastAsia="zh-CN" w:bidi="ar"/>
              </w:rPr>
              <w:t>3、料场布置</w:t>
            </w:r>
          </w:p>
          <w:p w14:paraId="03135CFD">
            <w:pPr>
              <w:widowControl/>
              <w:spacing w:line="360" w:lineRule="auto"/>
              <w:ind w:firstLine="480" w:firstLineChars="200"/>
              <w:jc w:val="left"/>
              <w:rPr>
                <w:rFonts w:hint="default" w:ascii="Times New Roman" w:hAnsi="Times New Roman" w:eastAsia="宋体" w:cs="Times New Roman"/>
                <w:color w:val="auto"/>
                <w:kern w:val="0"/>
                <w:sz w:val="24"/>
                <w:highlight w:val="none"/>
                <w:lang w:val="en-US" w:eastAsia="zh-CN" w:bidi="ar"/>
              </w:rPr>
            </w:pPr>
            <w:r>
              <w:rPr>
                <w:rFonts w:hint="eastAsia" w:ascii="Times New Roman" w:hAnsi="Times New Roman" w:eastAsia="宋体" w:cs="Times New Roman"/>
                <w:color w:val="auto"/>
                <w:kern w:val="0"/>
                <w:sz w:val="24"/>
                <w:highlight w:val="none"/>
                <w:lang w:val="en-US" w:eastAsia="zh-CN" w:bidi="ar"/>
              </w:rPr>
              <w:t>本项目施工过程中需要的砂石料等随用随购，不建设大型存储料场，零星材料在施工临时设施区暂存。</w:t>
            </w:r>
          </w:p>
          <w:p w14:paraId="469CFCD5">
            <w:pPr>
              <w:widowControl/>
              <w:spacing w:line="360" w:lineRule="auto"/>
              <w:ind w:firstLine="480" w:firstLineChars="200"/>
              <w:jc w:val="left"/>
              <w:rPr>
                <w:rFonts w:hint="eastAsia"/>
                <w:color w:val="auto"/>
                <w:kern w:val="0"/>
                <w:sz w:val="24"/>
                <w:highlight w:val="none"/>
                <w:lang w:val="en-US" w:eastAsia="zh-CN" w:bidi="ar"/>
              </w:rPr>
            </w:pPr>
            <w:r>
              <w:rPr>
                <w:rFonts w:hint="eastAsia"/>
                <w:color w:val="auto"/>
                <w:kern w:val="0"/>
                <w:sz w:val="24"/>
                <w:highlight w:val="none"/>
                <w:lang w:val="en-US" w:eastAsia="zh-CN" w:bidi="ar"/>
              </w:rPr>
              <w:t>4、</w:t>
            </w:r>
            <w:r>
              <w:rPr>
                <w:rFonts w:hint="default" w:ascii="Times New Roman" w:hAnsi="Times New Roman" w:eastAsia="宋体" w:cs="Times New Roman"/>
                <w:b w:val="0"/>
                <w:bCs w:val="0"/>
                <w:color w:val="auto"/>
                <w:kern w:val="2"/>
                <w:sz w:val="24"/>
                <w:szCs w:val="24"/>
                <w:highlight w:val="none"/>
                <w:lang w:val="en-US" w:eastAsia="zh-CN" w:bidi="ar-SA"/>
              </w:rPr>
              <w:t>临时堆土区布置</w:t>
            </w:r>
          </w:p>
          <w:p w14:paraId="30D93E4C">
            <w:pPr>
              <w:pStyle w:val="5"/>
              <w:adjustRightInd w:val="0"/>
              <w:spacing w:line="360" w:lineRule="auto"/>
              <w:ind w:firstLine="480"/>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color w:val="auto"/>
                <w:sz w:val="24"/>
                <w:highlight w:val="none"/>
                <w:lang w:val="en-US" w:eastAsia="zh-CN"/>
              </w:rPr>
              <w:t>工程</w:t>
            </w:r>
            <w:r>
              <w:rPr>
                <w:rFonts w:hint="default" w:ascii="Times New Roman" w:hAnsi="Times New Roman" w:eastAsia="宋体" w:cs="Times New Roman"/>
                <w:color w:val="auto"/>
                <w:sz w:val="24"/>
                <w:highlight w:val="none"/>
                <w:lang w:val="en-US" w:eastAsia="zh-CN"/>
              </w:rPr>
              <w:t>治理前，对临时堆土区、施工临时设施区占用具备剥离表土条件的区域进行了表土剥离，根据设计资料，</w:t>
            </w:r>
            <w:r>
              <w:rPr>
                <w:color w:val="auto"/>
                <w:kern w:val="0"/>
                <w:sz w:val="24"/>
                <w:highlight w:val="none"/>
                <w:lang w:bidi="ar"/>
              </w:rPr>
              <w:t>本工程土方开挖约</w:t>
            </w:r>
            <w:r>
              <w:rPr>
                <w:rFonts w:hint="eastAsia"/>
                <w:color w:val="auto"/>
                <w:kern w:val="0"/>
                <w:sz w:val="24"/>
                <w:highlight w:val="none"/>
                <w:lang w:bidi="ar"/>
              </w:rPr>
              <w:t>18.63</w:t>
            </w:r>
            <w:r>
              <w:rPr>
                <w:color w:val="auto"/>
                <w:kern w:val="0"/>
                <w:sz w:val="24"/>
                <w:highlight w:val="none"/>
                <w:lang w:bidi="ar"/>
              </w:rPr>
              <w:t>万m</w:t>
            </w:r>
            <w:r>
              <w:rPr>
                <w:color w:val="auto"/>
                <w:kern w:val="0"/>
                <w:sz w:val="24"/>
                <w:highlight w:val="none"/>
                <w:vertAlign w:val="superscript"/>
                <w:lang w:bidi="ar"/>
              </w:rPr>
              <w:t>3</w:t>
            </w:r>
            <w:r>
              <w:rPr>
                <w:color w:val="auto"/>
                <w:kern w:val="0"/>
                <w:sz w:val="24"/>
                <w:highlight w:val="none"/>
                <w:lang w:bidi="ar"/>
              </w:rPr>
              <w:t>，回填</w:t>
            </w:r>
            <w:r>
              <w:rPr>
                <w:rFonts w:hint="eastAsia"/>
                <w:color w:val="auto"/>
                <w:kern w:val="0"/>
                <w:sz w:val="24"/>
                <w:highlight w:val="none"/>
                <w:lang w:bidi="ar"/>
              </w:rPr>
              <w:t>9</w:t>
            </w:r>
            <w:r>
              <w:rPr>
                <w:color w:val="auto"/>
                <w:kern w:val="0"/>
                <w:sz w:val="24"/>
                <w:highlight w:val="none"/>
                <w:lang w:bidi="ar"/>
              </w:rPr>
              <w:t>.13万m</w:t>
            </w:r>
            <w:r>
              <w:rPr>
                <w:color w:val="auto"/>
                <w:kern w:val="0"/>
                <w:sz w:val="24"/>
                <w:highlight w:val="none"/>
                <w:vertAlign w:val="superscript"/>
                <w:lang w:bidi="ar"/>
              </w:rPr>
              <w:t>3</w:t>
            </w:r>
            <w:r>
              <w:rPr>
                <w:color w:val="auto"/>
                <w:kern w:val="0"/>
                <w:sz w:val="24"/>
                <w:highlight w:val="none"/>
                <w:lang w:bidi="ar"/>
              </w:rPr>
              <w:t>（实方），弃土方和淤泥外运</w:t>
            </w:r>
            <w:r>
              <w:rPr>
                <w:rFonts w:hint="eastAsia"/>
                <w:color w:val="auto"/>
                <w:kern w:val="0"/>
                <w:sz w:val="24"/>
                <w:highlight w:val="none"/>
                <w:lang w:bidi="ar"/>
              </w:rPr>
              <w:t>10.34</w:t>
            </w:r>
            <w:r>
              <w:rPr>
                <w:color w:val="auto"/>
                <w:kern w:val="0"/>
                <w:sz w:val="24"/>
                <w:highlight w:val="none"/>
                <w:lang w:bidi="ar"/>
              </w:rPr>
              <w:t>万m</w:t>
            </w:r>
            <w:r>
              <w:rPr>
                <w:color w:val="auto"/>
                <w:kern w:val="0"/>
                <w:sz w:val="24"/>
                <w:highlight w:val="none"/>
                <w:vertAlign w:val="superscript"/>
                <w:lang w:bidi="ar"/>
              </w:rPr>
              <w:t>3</w:t>
            </w:r>
            <w:r>
              <w:rPr>
                <w:color w:val="auto"/>
                <w:kern w:val="0"/>
                <w:sz w:val="24"/>
                <w:highlight w:val="none"/>
                <w:lang w:bidi="ar"/>
              </w:rPr>
              <w:t>；回填土方需进行临时堆土，堆土区设于河道两岸规划范围内，剩余土方和淤泥</w:t>
            </w:r>
            <w:r>
              <w:rPr>
                <w:color w:val="auto"/>
                <w:spacing w:val="9"/>
                <w:sz w:val="24"/>
                <w:highlight w:val="none"/>
              </w:rPr>
              <w:t>按照环卫部门的规定进行利用或者处置</w:t>
            </w:r>
            <w:r>
              <w:rPr>
                <w:rFonts w:hint="eastAsia"/>
                <w:color w:val="auto"/>
                <w:spacing w:val="9"/>
                <w:sz w:val="24"/>
                <w:highlight w:val="none"/>
              </w:rPr>
              <w:t>。</w:t>
            </w:r>
            <w:r>
              <w:rPr>
                <w:rFonts w:hint="default" w:ascii="Times New Roman" w:hAnsi="Times New Roman" w:eastAsia="宋体" w:cs="Times New Roman"/>
                <w:color w:val="auto"/>
                <w:sz w:val="24"/>
                <w:highlight w:val="none"/>
                <w:lang w:val="en-US" w:eastAsia="zh-CN"/>
              </w:rPr>
              <w:t>土方堆放期间对堆土表面进行防尘网覆盖并在堆土坡脚采用草袋装土进行拦挡，治理后期将该区堆放土方全部回填结束后，对该区进行了土地整治并进行复耕和植被恢复。</w:t>
            </w:r>
            <w:r>
              <w:rPr>
                <w:rFonts w:hint="default" w:ascii="Times New Roman" w:hAnsi="Times New Roman" w:eastAsia="宋体" w:cs="Times New Roman"/>
                <w:b w:val="0"/>
                <w:bCs w:val="0"/>
                <w:color w:val="auto"/>
                <w:kern w:val="2"/>
                <w:sz w:val="24"/>
                <w:szCs w:val="24"/>
                <w:highlight w:val="none"/>
                <w:lang w:val="en-US" w:eastAsia="zh-CN" w:bidi="ar-SA"/>
              </w:rPr>
              <w:t>占地面积约</w:t>
            </w:r>
            <w:r>
              <w:rPr>
                <w:rFonts w:hint="eastAsia" w:ascii="Times New Roman" w:hAnsi="Times New Roman" w:eastAsia="宋体" w:cs="Times New Roman"/>
                <w:b w:val="0"/>
                <w:bCs w:val="0"/>
                <w:color w:val="auto"/>
                <w:kern w:val="2"/>
                <w:sz w:val="24"/>
                <w:szCs w:val="24"/>
                <w:highlight w:val="none"/>
                <w:lang w:val="en-US" w:eastAsia="zh-CN" w:bidi="ar-SA"/>
              </w:rPr>
              <w:t>21亩</w:t>
            </w:r>
            <w:r>
              <w:rPr>
                <w:rFonts w:hint="default" w:ascii="Times New Roman" w:hAnsi="Times New Roman" w:eastAsia="宋体" w:cs="Times New Roman"/>
                <w:b w:val="0"/>
                <w:bCs w:val="0"/>
                <w:color w:val="auto"/>
                <w:kern w:val="2"/>
                <w:sz w:val="24"/>
                <w:szCs w:val="24"/>
                <w:highlight w:val="none"/>
                <w:lang w:val="en-US" w:eastAsia="zh-CN" w:bidi="ar-SA"/>
              </w:rPr>
              <w:t>，临时占用期约</w:t>
            </w:r>
            <w:r>
              <w:rPr>
                <w:rFonts w:hint="eastAsia" w:ascii="Times New Roman" w:hAnsi="Times New Roman" w:eastAsia="宋体" w:cs="Times New Roman"/>
                <w:b w:val="0"/>
                <w:bCs w:val="0"/>
                <w:color w:val="auto"/>
                <w:kern w:val="2"/>
                <w:sz w:val="24"/>
                <w:szCs w:val="24"/>
                <w:highlight w:val="none"/>
                <w:lang w:val="en-US" w:eastAsia="zh-CN" w:bidi="ar-SA"/>
              </w:rPr>
              <w:t>21</w:t>
            </w:r>
            <w:r>
              <w:rPr>
                <w:rFonts w:hint="default" w:ascii="Times New Roman" w:hAnsi="Times New Roman" w:eastAsia="宋体" w:cs="Times New Roman"/>
                <w:b w:val="0"/>
                <w:bCs w:val="0"/>
                <w:color w:val="auto"/>
                <w:kern w:val="2"/>
                <w:sz w:val="24"/>
                <w:szCs w:val="24"/>
                <w:highlight w:val="none"/>
                <w:lang w:val="en-US" w:eastAsia="zh-CN" w:bidi="ar-SA"/>
              </w:rPr>
              <w:t>个月。施工期结束后对占地进行恢复，不降低土地的利用功能，对占地影响较小。</w:t>
            </w:r>
          </w:p>
          <w:p w14:paraId="639705C9">
            <w:pPr>
              <w:widowControl/>
              <w:spacing w:line="360" w:lineRule="auto"/>
              <w:ind w:left="420" w:leftChars="200"/>
              <w:jc w:val="left"/>
              <w:rPr>
                <w:color w:val="auto"/>
                <w:kern w:val="0"/>
                <w:sz w:val="24"/>
                <w:highlight w:val="none"/>
                <w:lang w:bidi="ar"/>
              </w:rPr>
            </w:pPr>
            <w:r>
              <w:rPr>
                <w:rFonts w:hint="eastAsia"/>
                <w:color w:val="auto"/>
                <w:kern w:val="0"/>
                <w:sz w:val="24"/>
                <w:highlight w:val="none"/>
                <w:lang w:bidi="ar"/>
              </w:rPr>
              <w:t>弃土去向合理性分析：</w:t>
            </w:r>
          </w:p>
          <w:p w14:paraId="3B0F84B8">
            <w:pPr>
              <w:pStyle w:val="5"/>
              <w:adjustRightInd w:val="0"/>
              <w:spacing w:line="360" w:lineRule="auto"/>
              <w:ind w:firstLine="480"/>
              <w:rPr>
                <w:rFonts w:hint="eastAsia"/>
                <w:color w:val="auto"/>
                <w:kern w:val="0"/>
                <w:sz w:val="24"/>
                <w:highlight w:val="none"/>
                <w:lang w:val="en-US" w:eastAsia="zh-CN" w:bidi="ar"/>
              </w:rPr>
            </w:pPr>
            <w:r>
              <w:rPr>
                <w:rFonts w:hint="eastAsia"/>
                <w:color w:val="auto"/>
                <w:kern w:val="0"/>
                <w:sz w:val="24"/>
                <w:highlight w:val="none"/>
                <w:lang w:bidi="ar"/>
              </w:rPr>
              <w:t>该工程剩余废弃土方量共计</w:t>
            </w:r>
            <w:r>
              <w:rPr>
                <w:rFonts w:hint="eastAsia"/>
                <w:color w:val="auto"/>
                <w:kern w:val="0"/>
                <w:sz w:val="24"/>
                <w:highlight w:val="none"/>
                <w:lang w:val="en-US" w:eastAsia="zh-CN" w:bidi="ar"/>
              </w:rPr>
              <w:t>10.34万</w:t>
            </w:r>
            <w:r>
              <w:rPr>
                <w:rFonts w:hint="eastAsia" w:cs="Times New Roman"/>
                <w:color w:val="auto"/>
                <w:kern w:val="0"/>
                <w:sz w:val="24"/>
                <w:highlight w:val="none"/>
                <w:lang w:val="en-US" w:eastAsia="zh-CN" w:bidi="ar"/>
              </w:rPr>
              <w:t>m</w:t>
            </w:r>
            <w:r>
              <w:rPr>
                <w:rFonts w:hint="eastAsia" w:cs="Times New Roman"/>
                <w:color w:val="auto"/>
                <w:kern w:val="0"/>
                <w:sz w:val="24"/>
                <w:highlight w:val="none"/>
                <w:vertAlign w:val="superscript"/>
                <w:lang w:val="en-US" w:eastAsia="zh-CN" w:bidi="ar"/>
              </w:rPr>
              <w:t>3</w:t>
            </w:r>
            <w:r>
              <w:rPr>
                <w:rFonts w:hint="eastAsia"/>
                <w:color w:val="auto"/>
                <w:kern w:val="0"/>
                <w:sz w:val="24"/>
                <w:highlight w:val="none"/>
                <w:lang w:bidi="ar"/>
              </w:rPr>
              <w:t>，临时就近堆放与河（渠）道两侧，优先修路、园林、农田土壤的改良和土地复垦，其余可以用于区域周边低洼处填平、建筑材料等无害化、减量化综合利用。施工期结束后对占地进行恢复，不降低土地的利用功能，对占地影响较小。</w:t>
            </w:r>
          </w:p>
          <w:p w14:paraId="5E241AE5">
            <w:pPr>
              <w:pStyle w:val="5"/>
              <w:adjustRightInd w:val="0"/>
              <w:spacing w:line="360" w:lineRule="auto"/>
              <w:ind w:firstLine="480"/>
              <w:rPr>
                <w:rFonts w:hint="default" w:ascii="Times New Roman" w:hAnsi="Times New Roman" w:eastAsia="宋体" w:cs="Times New Roman"/>
                <w:b w:val="0"/>
                <w:bCs w:val="0"/>
                <w:color w:val="auto"/>
                <w:kern w:val="2"/>
                <w:sz w:val="24"/>
                <w:szCs w:val="24"/>
                <w:highlight w:val="none"/>
                <w:lang w:val="en-US" w:eastAsia="zh-CN" w:bidi="ar-SA"/>
              </w:rPr>
            </w:pPr>
            <w:r>
              <w:rPr>
                <w:rFonts w:hint="eastAsia"/>
                <w:color w:val="auto"/>
                <w:kern w:val="0"/>
                <w:sz w:val="24"/>
                <w:highlight w:val="none"/>
                <w:lang w:val="en-US" w:eastAsia="zh-CN" w:bidi="ar"/>
              </w:rPr>
              <w:t>5、</w:t>
            </w:r>
            <w:r>
              <w:rPr>
                <w:rFonts w:hint="default" w:ascii="Times New Roman" w:hAnsi="Times New Roman" w:eastAsia="宋体" w:cs="Times New Roman"/>
                <w:b w:val="0"/>
                <w:bCs w:val="0"/>
                <w:color w:val="auto"/>
                <w:kern w:val="2"/>
                <w:sz w:val="24"/>
                <w:szCs w:val="24"/>
                <w:highlight w:val="none"/>
                <w:lang w:val="en-US" w:eastAsia="zh-CN" w:bidi="ar-SA"/>
              </w:rPr>
              <w:t>临时占地情况</w:t>
            </w:r>
          </w:p>
          <w:p w14:paraId="06FB029C">
            <w:pPr>
              <w:pStyle w:val="5"/>
              <w:adjustRightInd w:val="0"/>
              <w:spacing w:line="360" w:lineRule="auto"/>
              <w:ind w:firstLine="48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根据主体工程设计，本工程临时占地</w:t>
            </w:r>
            <w:r>
              <w:rPr>
                <w:rFonts w:hint="eastAsia" w:ascii="Times New Roman" w:hAnsi="Times New Roman" w:eastAsia="宋体" w:cs="Times New Roman"/>
                <w:b w:val="0"/>
                <w:bCs w:val="0"/>
                <w:color w:val="auto"/>
                <w:kern w:val="2"/>
                <w:sz w:val="24"/>
                <w:szCs w:val="24"/>
                <w:highlight w:val="none"/>
                <w:lang w:val="en-US" w:eastAsia="zh-CN" w:bidi="ar-SA"/>
              </w:rPr>
              <w:t>共计</w:t>
            </w:r>
            <w:r>
              <w:rPr>
                <w:rFonts w:hint="eastAsia" w:cs="Times New Roman"/>
                <w:b w:val="0"/>
                <w:bCs w:val="0"/>
                <w:color w:val="auto"/>
                <w:kern w:val="2"/>
                <w:sz w:val="24"/>
                <w:szCs w:val="24"/>
                <w:highlight w:val="none"/>
                <w:lang w:val="en-US" w:eastAsia="zh-CN" w:bidi="ar-SA"/>
              </w:rPr>
              <w:t>30</w:t>
            </w:r>
            <w:r>
              <w:rPr>
                <w:rFonts w:hint="eastAsia" w:ascii="Times New Roman" w:hAnsi="Times New Roman" w:eastAsia="宋体" w:cs="Times New Roman"/>
                <w:b w:val="0"/>
                <w:bCs w:val="0"/>
                <w:color w:val="auto"/>
                <w:kern w:val="2"/>
                <w:sz w:val="24"/>
                <w:szCs w:val="24"/>
                <w:highlight w:val="none"/>
                <w:lang w:val="en-US" w:eastAsia="zh-CN" w:bidi="ar-SA"/>
              </w:rPr>
              <w:t>亩，</w:t>
            </w:r>
            <w:r>
              <w:rPr>
                <w:rFonts w:hint="default" w:ascii="Times New Roman" w:hAnsi="Times New Roman" w:eastAsia="宋体" w:cs="Times New Roman"/>
                <w:b w:val="0"/>
                <w:bCs w:val="0"/>
                <w:color w:val="auto"/>
                <w:kern w:val="2"/>
                <w:sz w:val="24"/>
                <w:szCs w:val="24"/>
                <w:highlight w:val="none"/>
                <w:lang w:val="en-US" w:eastAsia="zh-CN" w:bidi="ar-SA"/>
              </w:rPr>
              <w:t>占地类型</w:t>
            </w:r>
            <w:r>
              <w:rPr>
                <w:rFonts w:hint="eastAsia" w:ascii="Times New Roman" w:hAnsi="Times New Roman" w:eastAsia="宋体" w:cs="Times New Roman"/>
                <w:b w:val="0"/>
                <w:bCs w:val="0"/>
                <w:color w:val="auto"/>
                <w:kern w:val="2"/>
                <w:sz w:val="24"/>
                <w:szCs w:val="24"/>
                <w:highlight w:val="none"/>
                <w:lang w:val="en-US" w:eastAsia="zh-CN" w:bidi="ar-SA"/>
              </w:rPr>
              <w:t>主</w:t>
            </w:r>
            <w:r>
              <w:rPr>
                <w:rFonts w:hint="default" w:ascii="Times New Roman" w:hAnsi="Times New Roman" w:eastAsia="宋体" w:cs="Times New Roman"/>
                <w:b w:val="0"/>
                <w:bCs w:val="0"/>
                <w:color w:val="auto"/>
                <w:kern w:val="2"/>
                <w:sz w:val="24"/>
                <w:szCs w:val="24"/>
                <w:highlight w:val="none"/>
                <w:lang w:val="en-US" w:eastAsia="zh-CN" w:bidi="ar-SA"/>
              </w:rPr>
              <w:t>要为</w:t>
            </w:r>
            <w:r>
              <w:rPr>
                <w:rFonts w:hint="eastAsia" w:ascii="Times New Roman" w:hAnsi="Times New Roman" w:eastAsia="宋体" w:cs="Times New Roman"/>
                <w:b w:val="0"/>
                <w:bCs w:val="0"/>
                <w:color w:val="auto"/>
                <w:kern w:val="2"/>
                <w:sz w:val="24"/>
                <w:szCs w:val="24"/>
                <w:highlight w:val="none"/>
                <w:lang w:val="en-US" w:eastAsia="zh-CN" w:bidi="ar-SA"/>
              </w:rPr>
              <w:t>水域及水利设施用地、</w:t>
            </w:r>
            <w:r>
              <w:rPr>
                <w:rFonts w:hint="eastAsia" w:cs="Times New Roman"/>
                <w:b w:val="0"/>
                <w:bCs w:val="0"/>
                <w:color w:val="auto"/>
                <w:kern w:val="2"/>
                <w:sz w:val="24"/>
                <w:szCs w:val="24"/>
                <w:highlight w:val="none"/>
                <w:lang w:val="en-US" w:eastAsia="zh-CN" w:bidi="ar-SA"/>
              </w:rPr>
              <w:t>工业用地、</w:t>
            </w:r>
            <w:r>
              <w:rPr>
                <w:rFonts w:hint="eastAsia" w:ascii="Times New Roman" w:hAnsi="Times New Roman" w:eastAsia="宋体" w:cs="Times New Roman"/>
                <w:b w:val="0"/>
                <w:bCs w:val="0"/>
                <w:color w:val="auto"/>
                <w:kern w:val="2"/>
                <w:sz w:val="24"/>
                <w:szCs w:val="24"/>
                <w:highlight w:val="none"/>
                <w:lang w:val="en-US" w:eastAsia="zh-CN" w:bidi="ar-SA"/>
              </w:rPr>
              <w:t>其他</w:t>
            </w:r>
            <w:r>
              <w:rPr>
                <w:rFonts w:hint="eastAsia" w:cs="Times New Roman"/>
                <w:b w:val="0"/>
                <w:bCs w:val="0"/>
                <w:color w:val="auto"/>
                <w:kern w:val="2"/>
                <w:sz w:val="24"/>
                <w:szCs w:val="24"/>
                <w:highlight w:val="none"/>
                <w:lang w:val="en-US" w:eastAsia="zh-CN" w:bidi="ar-SA"/>
              </w:rPr>
              <w:t>未利用</w:t>
            </w:r>
            <w:r>
              <w:rPr>
                <w:rFonts w:hint="eastAsia" w:ascii="Times New Roman" w:hAnsi="Times New Roman" w:eastAsia="宋体" w:cs="Times New Roman"/>
                <w:b w:val="0"/>
                <w:bCs w:val="0"/>
                <w:color w:val="auto"/>
                <w:kern w:val="2"/>
                <w:sz w:val="24"/>
                <w:szCs w:val="24"/>
                <w:highlight w:val="none"/>
                <w:lang w:val="en-US" w:eastAsia="zh-CN" w:bidi="ar-SA"/>
              </w:rPr>
              <w:t>土地</w:t>
            </w:r>
            <w:r>
              <w:rPr>
                <w:rFonts w:hint="default" w:ascii="Times New Roman" w:hAnsi="Times New Roman" w:eastAsia="宋体" w:cs="Times New Roman"/>
                <w:b w:val="0"/>
                <w:bCs w:val="0"/>
                <w:color w:val="auto"/>
                <w:kern w:val="2"/>
                <w:sz w:val="24"/>
                <w:szCs w:val="24"/>
                <w:highlight w:val="none"/>
                <w:lang w:val="en-US" w:eastAsia="zh-CN" w:bidi="ar-SA"/>
              </w:rPr>
              <w:t>等。本项目河道清淤底泥临时堆存在河岸两侧位于河道工程区范围内，随施工过程边开挖边清运，临时堆存时间不超过三个月</w:t>
            </w:r>
            <w:r>
              <w:rPr>
                <w:rFonts w:hint="eastAsia" w:ascii="Times New Roman" w:hAnsi="Times New Roman" w:eastAsia="宋体" w:cs="Times New Roman"/>
                <w:b w:val="0"/>
                <w:bCs w:val="0"/>
                <w:color w:val="auto"/>
                <w:kern w:val="2"/>
                <w:sz w:val="24"/>
                <w:szCs w:val="24"/>
                <w:highlight w:val="none"/>
                <w:lang w:val="en-US" w:eastAsia="zh-CN" w:bidi="ar-SA"/>
              </w:rPr>
              <w:t>，不单独设置分区</w:t>
            </w:r>
            <w:r>
              <w:rPr>
                <w:rFonts w:hint="default" w:ascii="Times New Roman" w:hAnsi="Times New Roman" w:eastAsia="宋体" w:cs="Times New Roman"/>
                <w:b w:val="0"/>
                <w:bCs w:val="0"/>
                <w:color w:val="auto"/>
                <w:kern w:val="2"/>
                <w:sz w:val="24"/>
                <w:szCs w:val="24"/>
                <w:highlight w:val="none"/>
                <w:lang w:val="en-US" w:eastAsia="zh-CN" w:bidi="ar-SA"/>
              </w:rPr>
              <w:t>。施工临建区及</w:t>
            </w:r>
            <w:r>
              <w:rPr>
                <w:rFonts w:hint="eastAsia" w:ascii="Times New Roman" w:hAnsi="Times New Roman" w:eastAsia="宋体" w:cs="Times New Roman"/>
                <w:b w:val="0"/>
                <w:bCs w:val="0"/>
                <w:color w:val="auto"/>
                <w:kern w:val="2"/>
                <w:sz w:val="24"/>
                <w:szCs w:val="24"/>
                <w:highlight w:val="none"/>
                <w:lang w:val="en-US" w:eastAsia="zh-CN" w:bidi="ar-SA"/>
              </w:rPr>
              <w:t>生态护岸</w:t>
            </w:r>
            <w:r>
              <w:rPr>
                <w:rFonts w:hint="default" w:ascii="Times New Roman" w:hAnsi="Times New Roman" w:eastAsia="宋体" w:cs="Times New Roman"/>
                <w:b w:val="0"/>
                <w:bCs w:val="0"/>
                <w:color w:val="auto"/>
                <w:kern w:val="2"/>
                <w:sz w:val="24"/>
                <w:szCs w:val="24"/>
                <w:highlight w:val="none"/>
                <w:lang w:val="en-US" w:eastAsia="zh-CN" w:bidi="ar-SA"/>
              </w:rPr>
              <w:t>剥离表土，堆存时间</w:t>
            </w:r>
            <w:r>
              <w:rPr>
                <w:rFonts w:hint="eastAsia" w:cs="Times New Roman"/>
                <w:b w:val="0"/>
                <w:bCs w:val="0"/>
                <w:color w:val="auto"/>
                <w:kern w:val="2"/>
                <w:sz w:val="24"/>
                <w:szCs w:val="24"/>
                <w:highlight w:val="none"/>
                <w:lang w:val="en-US" w:eastAsia="zh-CN" w:bidi="ar-SA"/>
              </w:rPr>
              <w:t>不</w:t>
            </w:r>
            <w:r>
              <w:rPr>
                <w:rFonts w:hint="default" w:ascii="Times New Roman" w:hAnsi="Times New Roman" w:eastAsia="宋体" w:cs="Times New Roman"/>
                <w:b w:val="0"/>
                <w:bCs w:val="0"/>
                <w:color w:val="auto"/>
                <w:kern w:val="2"/>
                <w:sz w:val="24"/>
                <w:szCs w:val="24"/>
                <w:highlight w:val="none"/>
                <w:lang w:val="en-US" w:eastAsia="zh-CN" w:bidi="ar-SA"/>
              </w:rPr>
              <w:t>超三个月。本工程临时占地情况详见表2-1</w:t>
            </w:r>
            <w:r>
              <w:rPr>
                <w:rFonts w:hint="eastAsia" w:ascii="Times New Roman" w:hAnsi="Times New Roman" w:eastAsia="宋体" w:cs="Times New Roman"/>
                <w:b w:val="0"/>
                <w:bCs w:val="0"/>
                <w:color w:val="auto"/>
                <w:kern w:val="2"/>
                <w:sz w:val="24"/>
                <w:szCs w:val="24"/>
                <w:highlight w:val="none"/>
                <w:lang w:val="en-US" w:eastAsia="zh-CN" w:bidi="ar-SA"/>
              </w:rPr>
              <w:t>1</w:t>
            </w:r>
            <w:r>
              <w:rPr>
                <w:rFonts w:hint="default" w:ascii="Times New Roman" w:hAnsi="Times New Roman" w:eastAsia="宋体" w:cs="Times New Roman"/>
                <w:b w:val="0"/>
                <w:bCs w:val="0"/>
                <w:color w:val="auto"/>
                <w:kern w:val="2"/>
                <w:sz w:val="24"/>
                <w:szCs w:val="24"/>
                <w:highlight w:val="none"/>
                <w:lang w:val="en-US" w:eastAsia="zh-CN" w:bidi="ar-SA"/>
              </w:rPr>
              <w:t>。</w:t>
            </w:r>
          </w:p>
          <w:p w14:paraId="7E44D1C8">
            <w:pPr>
              <w:pStyle w:val="19"/>
              <w:spacing w:after="0"/>
              <w:ind w:firstLine="2741" w:firstLineChars="1300"/>
              <w:rPr>
                <w:b/>
                <w:bCs w:val="0"/>
                <w:color w:val="auto"/>
                <w:sz w:val="21"/>
                <w:szCs w:val="21"/>
                <w:highlight w:val="none"/>
              </w:rPr>
            </w:pPr>
            <w:r>
              <w:rPr>
                <w:b/>
                <w:bCs w:val="0"/>
                <w:color w:val="auto"/>
                <w:sz w:val="21"/>
                <w:szCs w:val="21"/>
                <w:highlight w:val="none"/>
                <w:lang w:bidi="ar"/>
              </w:rPr>
              <w:t>表2-</w:t>
            </w:r>
            <w:r>
              <w:rPr>
                <w:rFonts w:hint="eastAsia"/>
                <w:b/>
                <w:bCs w:val="0"/>
                <w:color w:val="auto"/>
                <w:sz w:val="21"/>
                <w:szCs w:val="21"/>
                <w:highlight w:val="none"/>
                <w:lang w:val="en-US" w:eastAsia="zh-CN" w:bidi="ar"/>
              </w:rPr>
              <w:t>5</w:t>
            </w:r>
            <w:r>
              <w:rPr>
                <w:b/>
                <w:bCs w:val="0"/>
                <w:color w:val="auto"/>
                <w:sz w:val="21"/>
                <w:szCs w:val="21"/>
                <w:highlight w:val="none"/>
                <w:lang w:bidi="ar"/>
              </w:rPr>
              <w:t xml:space="preserve">  施工临时占地汇总表</w:t>
            </w:r>
          </w:p>
          <w:tbl>
            <w:tblPr>
              <w:tblStyle w:val="21"/>
              <w:tblW w:w="82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670"/>
              <w:gridCol w:w="1361"/>
              <w:gridCol w:w="2620"/>
              <w:gridCol w:w="1896"/>
            </w:tblGrid>
            <w:tr w14:paraId="4C51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dxa"/>
                </w:tcPr>
                <w:p w14:paraId="1DB712A0">
                  <w:pPr>
                    <w:widowControl/>
                    <w:jc w:val="center"/>
                    <w:textAlignment w:val="center"/>
                    <w:rPr>
                      <w:color w:val="auto"/>
                      <w:szCs w:val="21"/>
                      <w:highlight w:val="none"/>
                    </w:rPr>
                  </w:pPr>
                  <w:r>
                    <w:rPr>
                      <w:color w:val="auto"/>
                      <w:szCs w:val="21"/>
                      <w:highlight w:val="none"/>
                    </w:rPr>
                    <w:t>序号</w:t>
                  </w:r>
                </w:p>
              </w:tc>
              <w:tc>
                <w:tcPr>
                  <w:tcW w:w="1670" w:type="dxa"/>
                </w:tcPr>
                <w:p w14:paraId="60029A04">
                  <w:pPr>
                    <w:widowControl/>
                    <w:jc w:val="center"/>
                    <w:textAlignment w:val="center"/>
                    <w:rPr>
                      <w:color w:val="auto"/>
                      <w:szCs w:val="21"/>
                      <w:highlight w:val="none"/>
                    </w:rPr>
                  </w:pPr>
                  <w:r>
                    <w:rPr>
                      <w:color w:val="auto"/>
                      <w:szCs w:val="21"/>
                      <w:highlight w:val="none"/>
                    </w:rPr>
                    <w:t>项目名称</w:t>
                  </w:r>
                </w:p>
              </w:tc>
              <w:tc>
                <w:tcPr>
                  <w:tcW w:w="1361" w:type="dxa"/>
                </w:tcPr>
                <w:p w14:paraId="6FBA5FD2">
                  <w:pPr>
                    <w:widowControl/>
                    <w:jc w:val="center"/>
                    <w:textAlignment w:val="center"/>
                    <w:rPr>
                      <w:color w:val="auto"/>
                      <w:szCs w:val="21"/>
                      <w:highlight w:val="none"/>
                    </w:rPr>
                  </w:pPr>
                  <w:r>
                    <w:rPr>
                      <w:color w:val="auto"/>
                      <w:szCs w:val="21"/>
                      <w:highlight w:val="none"/>
                    </w:rPr>
                    <w:t>占地（亩）</w:t>
                  </w:r>
                </w:p>
              </w:tc>
              <w:tc>
                <w:tcPr>
                  <w:tcW w:w="2620" w:type="dxa"/>
                </w:tcPr>
                <w:p w14:paraId="63B98AB8">
                  <w:pPr>
                    <w:widowControl/>
                    <w:jc w:val="center"/>
                    <w:textAlignment w:val="center"/>
                    <w:rPr>
                      <w:rFonts w:hint="eastAsia" w:eastAsia="宋体"/>
                      <w:color w:val="auto"/>
                      <w:szCs w:val="21"/>
                      <w:highlight w:val="none"/>
                      <w:lang w:eastAsia="zh-CN"/>
                    </w:rPr>
                  </w:pPr>
                  <w:r>
                    <w:rPr>
                      <w:rFonts w:hint="eastAsia"/>
                      <w:color w:val="auto"/>
                      <w:szCs w:val="21"/>
                      <w:highlight w:val="none"/>
                      <w:lang w:eastAsia="zh-CN"/>
                    </w:rPr>
                    <w:t>占地类型</w:t>
                  </w:r>
                </w:p>
              </w:tc>
              <w:tc>
                <w:tcPr>
                  <w:tcW w:w="1896" w:type="dxa"/>
                </w:tcPr>
                <w:p w14:paraId="0285962A">
                  <w:pPr>
                    <w:widowControl/>
                    <w:jc w:val="center"/>
                    <w:textAlignment w:val="center"/>
                    <w:rPr>
                      <w:color w:val="auto"/>
                      <w:szCs w:val="21"/>
                      <w:highlight w:val="none"/>
                    </w:rPr>
                  </w:pPr>
                  <w:r>
                    <w:rPr>
                      <w:color w:val="auto"/>
                      <w:szCs w:val="21"/>
                      <w:highlight w:val="none"/>
                    </w:rPr>
                    <w:t>占用期</w:t>
                  </w:r>
                </w:p>
              </w:tc>
            </w:tr>
            <w:tr w14:paraId="037C4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2" w:type="dxa"/>
                </w:tcPr>
                <w:p w14:paraId="008DAC2F">
                  <w:pPr>
                    <w:widowControl/>
                    <w:jc w:val="center"/>
                    <w:textAlignment w:val="center"/>
                    <w:rPr>
                      <w:color w:val="auto"/>
                      <w:szCs w:val="21"/>
                      <w:highlight w:val="none"/>
                    </w:rPr>
                  </w:pPr>
                  <w:r>
                    <w:rPr>
                      <w:color w:val="auto"/>
                      <w:szCs w:val="21"/>
                      <w:highlight w:val="none"/>
                    </w:rPr>
                    <w:t>1</w:t>
                  </w:r>
                </w:p>
              </w:tc>
              <w:tc>
                <w:tcPr>
                  <w:tcW w:w="1670" w:type="dxa"/>
                </w:tcPr>
                <w:p w14:paraId="47691007">
                  <w:pPr>
                    <w:widowControl/>
                    <w:jc w:val="center"/>
                    <w:textAlignment w:val="center"/>
                    <w:rPr>
                      <w:color w:val="auto"/>
                      <w:szCs w:val="21"/>
                      <w:highlight w:val="none"/>
                    </w:rPr>
                  </w:pPr>
                  <w:r>
                    <w:rPr>
                      <w:color w:val="auto"/>
                      <w:szCs w:val="21"/>
                      <w:highlight w:val="none"/>
                    </w:rPr>
                    <w:t>临时堆土</w:t>
                  </w:r>
                </w:p>
              </w:tc>
              <w:tc>
                <w:tcPr>
                  <w:tcW w:w="1361" w:type="dxa"/>
                </w:tcPr>
                <w:p w14:paraId="3B839149">
                  <w:pPr>
                    <w:widowControl/>
                    <w:jc w:val="center"/>
                    <w:textAlignment w:val="center"/>
                    <w:rPr>
                      <w:color w:val="auto"/>
                      <w:szCs w:val="21"/>
                      <w:highlight w:val="none"/>
                    </w:rPr>
                  </w:pPr>
                  <w:r>
                    <w:rPr>
                      <w:rFonts w:hint="eastAsia"/>
                      <w:color w:val="auto"/>
                      <w:szCs w:val="21"/>
                      <w:highlight w:val="none"/>
                    </w:rPr>
                    <w:t>21</w:t>
                  </w:r>
                </w:p>
              </w:tc>
              <w:tc>
                <w:tcPr>
                  <w:tcW w:w="2620" w:type="dxa"/>
                </w:tcPr>
                <w:p w14:paraId="4D573886">
                  <w:pPr>
                    <w:widowControl/>
                    <w:jc w:val="center"/>
                    <w:textAlignment w:val="center"/>
                    <w:rPr>
                      <w:rFonts w:hint="eastAsia"/>
                      <w:color w:val="auto"/>
                      <w:szCs w:val="21"/>
                      <w:highlight w:val="none"/>
                      <w:lang w:eastAsia="zh-CN"/>
                    </w:rPr>
                  </w:pPr>
                  <w:r>
                    <w:rPr>
                      <w:rFonts w:hint="eastAsia"/>
                      <w:color w:val="auto"/>
                      <w:szCs w:val="21"/>
                      <w:highlight w:val="none"/>
                      <w:lang w:val="en-US" w:eastAsia="zh-CN"/>
                    </w:rPr>
                    <w:t>水域及水利设施用地</w:t>
                  </w:r>
                </w:p>
              </w:tc>
              <w:tc>
                <w:tcPr>
                  <w:tcW w:w="1896" w:type="dxa"/>
                </w:tcPr>
                <w:p w14:paraId="1D367026">
                  <w:pPr>
                    <w:widowControl/>
                    <w:jc w:val="center"/>
                    <w:textAlignment w:val="center"/>
                    <w:rPr>
                      <w:color w:val="auto"/>
                      <w:szCs w:val="21"/>
                      <w:highlight w:val="none"/>
                    </w:rPr>
                  </w:pPr>
                  <w:r>
                    <w:rPr>
                      <w:rFonts w:hint="eastAsia"/>
                      <w:color w:val="auto"/>
                      <w:szCs w:val="21"/>
                      <w:highlight w:val="none"/>
                      <w:lang w:val="en-US" w:eastAsia="zh-CN"/>
                    </w:rPr>
                    <w:t>21</w:t>
                  </w:r>
                  <w:r>
                    <w:rPr>
                      <w:color w:val="auto"/>
                      <w:szCs w:val="21"/>
                      <w:highlight w:val="none"/>
                    </w:rPr>
                    <w:t>个月</w:t>
                  </w:r>
                </w:p>
              </w:tc>
            </w:tr>
            <w:tr w14:paraId="17AEF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702" w:type="dxa"/>
                </w:tcPr>
                <w:p w14:paraId="660DF7C6">
                  <w:pPr>
                    <w:widowControl/>
                    <w:jc w:val="center"/>
                    <w:textAlignment w:val="center"/>
                    <w:rPr>
                      <w:rFonts w:hint="eastAsia" w:eastAsia="宋体"/>
                      <w:color w:val="auto"/>
                      <w:szCs w:val="21"/>
                      <w:highlight w:val="none"/>
                      <w:lang w:eastAsia="zh-CN"/>
                    </w:rPr>
                  </w:pPr>
                  <w:r>
                    <w:rPr>
                      <w:rFonts w:hint="eastAsia"/>
                      <w:color w:val="auto"/>
                      <w:szCs w:val="21"/>
                      <w:highlight w:val="none"/>
                      <w:lang w:val="en-US" w:eastAsia="zh-CN"/>
                    </w:rPr>
                    <w:t>2</w:t>
                  </w:r>
                </w:p>
              </w:tc>
              <w:tc>
                <w:tcPr>
                  <w:tcW w:w="1670" w:type="dxa"/>
                </w:tcPr>
                <w:p w14:paraId="621BCD2C">
                  <w:pPr>
                    <w:widowControl/>
                    <w:jc w:val="center"/>
                    <w:textAlignment w:val="center"/>
                    <w:rPr>
                      <w:rFonts w:hint="eastAsia" w:eastAsia="宋体"/>
                      <w:color w:val="auto"/>
                      <w:szCs w:val="21"/>
                      <w:highlight w:val="none"/>
                      <w:lang w:val="en-US" w:eastAsia="zh-CN"/>
                    </w:rPr>
                  </w:pPr>
                  <w:r>
                    <w:rPr>
                      <w:rFonts w:hint="eastAsia"/>
                      <w:color w:val="auto"/>
                      <w:szCs w:val="21"/>
                      <w:highlight w:val="none"/>
                      <w:lang w:eastAsia="zh-CN"/>
                    </w:rPr>
                    <w:t>施工营地</w:t>
                  </w:r>
                  <w:r>
                    <w:rPr>
                      <w:rFonts w:hint="eastAsia"/>
                      <w:color w:val="auto"/>
                      <w:szCs w:val="21"/>
                      <w:highlight w:val="none"/>
                      <w:lang w:val="en-US" w:eastAsia="zh-CN"/>
                    </w:rPr>
                    <w:t>1</w:t>
                  </w:r>
                </w:p>
              </w:tc>
              <w:tc>
                <w:tcPr>
                  <w:tcW w:w="1361" w:type="dxa"/>
                </w:tcPr>
                <w:p w14:paraId="069FEA92">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4.5</w:t>
                  </w:r>
                </w:p>
              </w:tc>
              <w:tc>
                <w:tcPr>
                  <w:tcW w:w="2620" w:type="dxa"/>
                </w:tcPr>
                <w:p w14:paraId="43C17FFD">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工业用地</w:t>
                  </w:r>
                </w:p>
              </w:tc>
              <w:tc>
                <w:tcPr>
                  <w:tcW w:w="1896" w:type="dxa"/>
                </w:tcPr>
                <w:p w14:paraId="5F2D1582">
                  <w:pPr>
                    <w:widowControl/>
                    <w:jc w:val="center"/>
                    <w:textAlignment w:val="center"/>
                    <w:rPr>
                      <w:color w:val="auto"/>
                      <w:szCs w:val="21"/>
                      <w:highlight w:val="none"/>
                    </w:rPr>
                  </w:pPr>
                  <w:r>
                    <w:rPr>
                      <w:rFonts w:hint="eastAsia"/>
                      <w:color w:val="auto"/>
                      <w:szCs w:val="21"/>
                      <w:highlight w:val="none"/>
                      <w:lang w:val="en-US" w:eastAsia="zh-CN"/>
                    </w:rPr>
                    <w:t>21</w:t>
                  </w:r>
                  <w:r>
                    <w:rPr>
                      <w:color w:val="auto"/>
                      <w:szCs w:val="21"/>
                      <w:highlight w:val="none"/>
                    </w:rPr>
                    <w:t>个月</w:t>
                  </w:r>
                </w:p>
              </w:tc>
            </w:tr>
            <w:tr w14:paraId="27E39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702" w:type="dxa"/>
                </w:tcPr>
                <w:p w14:paraId="0ACB0ED6">
                  <w:pPr>
                    <w:widowControl/>
                    <w:jc w:val="center"/>
                    <w:textAlignment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1670" w:type="dxa"/>
                </w:tcPr>
                <w:p w14:paraId="46F58AFA">
                  <w:pPr>
                    <w:widowControl/>
                    <w:jc w:val="center"/>
                    <w:textAlignment w:val="center"/>
                    <w:rPr>
                      <w:rFonts w:hint="default"/>
                      <w:color w:val="auto"/>
                      <w:szCs w:val="21"/>
                      <w:highlight w:val="none"/>
                      <w:lang w:val="en-US" w:eastAsia="zh-CN"/>
                    </w:rPr>
                  </w:pPr>
                  <w:r>
                    <w:rPr>
                      <w:rFonts w:hint="eastAsia"/>
                      <w:color w:val="auto"/>
                      <w:szCs w:val="21"/>
                      <w:highlight w:val="none"/>
                      <w:lang w:eastAsia="zh-CN"/>
                    </w:rPr>
                    <w:t>施工营地</w:t>
                  </w:r>
                  <w:r>
                    <w:rPr>
                      <w:rFonts w:hint="eastAsia"/>
                      <w:color w:val="auto"/>
                      <w:szCs w:val="21"/>
                      <w:highlight w:val="none"/>
                      <w:lang w:val="en-US" w:eastAsia="zh-CN"/>
                    </w:rPr>
                    <w:t>2</w:t>
                  </w:r>
                </w:p>
              </w:tc>
              <w:tc>
                <w:tcPr>
                  <w:tcW w:w="1361" w:type="dxa"/>
                </w:tcPr>
                <w:p w14:paraId="0168CBFF">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4.5</w:t>
                  </w:r>
                </w:p>
              </w:tc>
              <w:tc>
                <w:tcPr>
                  <w:tcW w:w="2620" w:type="dxa"/>
                </w:tcPr>
                <w:p w14:paraId="16D4D23B">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其他未利用地</w:t>
                  </w:r>
                </w:p>
              </w:tc>
              <w:tc>
                <w:tcPr>
                  <w:tcW w:w="1896" w:type="dxa"/>
                </w:tcPr>
                <w:p w14:paraId="10C46D8B">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21</w:t>
                  </w:r>
                  <w:r>
                    <w:rPr>
                      <w:color w:val="auto"/>
                      <w:szCs w:val="21"/>
                      <w:highlight w:val="none"/>
                    </w:rPr>
                    <w:t>个月</w:t>
                  </w:r>
                </w:p>
              </w:tc>
            </w:tr>
            <w:tr w14:paraId="71300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2" w:type="dxa"/>
                  <w:gridSpan w:val="2"/>
                </w:tcPr>
                <w:p w14:paraId="4ED05778">
                  <w:pPr>
                    <w:widowControl/>
                    <w:jc w:val="center"/>
                    <w:textAlignment w:val="center"/>
                    <w:rPr>
                      <w:color w:val="auto"/>
                      <w:szCs w:val="21"/>
                      <w:highlight w:val="none"/>
                    </w:rPr>
                  </w:pPr>
                  <w:r>
                    <w:rPr>
                      <w:color w:val="auto"/>
                      <w:szCs w:val="21"/>
                      <w:highlight w:val="none"/>
                    </w:rPr>
                    <w:t>合计</w:t>
                  </w:r>
                </w:p>
              </w:tc>
              <w:tc>
                <w:tcPr>
                  <w:tcW w:w="1361" w:type="dxa"/>
                </w:tcPr>
                <w:p w14:paraId="1D84CBB9">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30</w:t>
                  </w:r>
                </w:p>
              </w:tc>
              <w:tc>
                <w:tcPr>
                  <w:tcW w:w="2620" w:type="dxa"/>
                </w:tcPr>
                <w:p w14:paraId="10BFD583">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w:t>
                  </w:r>
                </w:p>
              </w:tc>
              <w:tc>
                <w:tcPr>
                  <w:tcW w:w="1896" w:type="dxa"/>
                </w:tcPr>
                <w:p w14:paraId="125670B9">
                  <w:pPr>
                    <w:widowControl/>
                    <w:jc w:val="center"/>
                    <w:textAlignment w:val="center"/>
                    <w:rPr>
                      <w:color w:val="auto"/>
                      <w:szCs w:val="21"/>
                      <w:highlight w:val="none"/>
                    </w:rPr>
                  </w:pPr>
                </w:p>
              </w:tc>
            </w:tr>
          </w:tbl>
          <w:p w14:paraId="5F2F761C">
            <w:pPr>
              <w:spacing w:line="360" w:lineRule="auto"/>
              <w:ind w:firstLine="480" w:firstLineChars="200"/>
              <w:rPr>
                <w:color w:val="auto"/>
                <w:sz w:val="24"/>
                <w:highlight w:val="none"/>
              </w:rPr>
            </w:pPr>
            <w:r>
              <w:rPr>
                <w:color w:val="auto"/>
                <w:sz w:val="24"/>
                <w:highlight w:val="none"/>
              </w:rPr>
              <w:t>临时占地管理要求及控制措施：</w:t>
            </w:r>
          </w:p>
          <w:p w14:paraId="3AD30390">
            <w:pPr>
              <w:spacing w:line="360" w:lineRule="auto"/>
              <w:ind w:firstLine="480" w:firstLineChars="200"/>
              <w:rPr>
                <w:color w:val="auto"/>
                <w:sz w:val="24"/>
                <w:highlight w:val="none"/>
              </w:rPr>
            </w:pPr>
            <w:r>
              <w:rPr>
                <w:color w:val="auto"/>
                <w:sz w:val="24"/>
                <w:highlight w:val="none"/>
              </w:rPr>
              <w:t>根据《山东省临时用地管理暂行办法》中要求，</w:t>
            </w:r>
            <w:r>
              <w:rPr>
                <w:rFonts w:hint="eastAsia"/>
                <w:color w:val="auto"/>
                <w:sz w:val="24"/>
                <w:highlight w:val="none"/>
              </w:rPr>
              <w:t>“</w:t>
            </w:r>
            <w:r>
              <w:rPr>
                <w:color w:val="auto"/>
                <w:sz w:val="24"/>
                <w:highlight w:val="none"/>
              </w:rPr>
              <w:t>临时用地选址应当坚持</w:t>
            </w:r>
            <w:r>
              <w:rPr>
                <w:rFonts w:hint="eastAsia"/>
                <w:color w:val="auto"/>
                <w:sz w:val="24"/>
                <w:highlight w:val="none"/>
              </w:rPr>
              <w:t>“</w:t>
            </w:r>
            <w:r>
              <w:rPr>
                <w:color w:val="auto"/>
                <w:sz w:val="24"/>
                <w:highlight w:val="none"/>
              </w:rPr>
              <w:t>用多少、批多少，占多少、恢复多少</w:t>
            </w:r>
            <w:r>
              <w:rPr>
                <w:rFonts w:hint="eastAsia"/>
                <w:color w:val="auto"/>
                <w:sz w:val="24"/>
                <w:highlight w:val="none"/>
              </w:rPr>
              <w:t>”</w:t>
            </w:r>
            <w:r>
              <w:rPr>
                <w:color w:val="auto"/>
                <w:sz w:val="24"/>
                <w:highlight w:val="none"/>
              </w:rPr>
              <w:t>，科学合理选址，坚持节约原则，尽量不占或少占耕地，严格控制占用永久基本农田，尽量避让生态保护红线。</w:t>
            </w:r>
            <w:r>
              <w:rPr>
                <w:rFonts w:hint="eastAsia"/>
                <w:color w:val="auto"/>
                <w:sz w:val="24"/>
                <w:highlight w:val="none"/>
                <w:lang w:eastAsia="zh-CN"/>
              </w:rPr>
              <w:t>”</w:t>
            </w:r>
            <w:r>
              <w:rPr>
                <w:color w:val="auto"/>
                <w:sz w:val="24"/>
                <w:highlight w:val="none"/>
              </w:rPr>
              <w:t>、</w:t>
            </w:r>
            <w:r>
              <w:rPr>
                <w:rFonts w:hint="eastAsia"/>
                <w:color w:val="auto"/>
                <w:sz w:val="24"/>
                <w:highlight w:val="none"/>
              </w:rPr>
              <w:t>“</w:t>
            </w:r>
            <w:r>
              <w:rPr>
                <w:color w:val="auto"/>
                <w:sz w:val="24"/>
                <w:highlight w:val="none"/>
              </w:rPr>
              <w:t>制梁场、拌合站等难以恢复原种植条件的不得以临时用地方式占用耕地和永久基本农田。</w:t>
            </w:r>
            <w:r>
              <w:rPr>
                <w:rFonts w:hint="eastAsia"/>
                <w:color w:val="auto"/>
                <w:sz w:val="24"/>
                <w:highlight w:val="none"/>
              </w:rPr>
              <w:t>”</w:t>
            </w:r>
            <w:r>
              <w:rPr>
                <w:color w:val="auto"/>
                <w:sz w:val="24"/>
                <w:highlight w:val="none"/>
              </w:rPr>
              <w:t>、</w:t>
            </w:r>
            <w:r>
              <w:rPr>
                <w:rFonts w:hint="eastAsia"/>
                <w:color w:val="auto"/>
                <w:sz w:val="24"/>
                <w:highlight w:val="none"/>
              </w:rPr>
              <w:t>“</w:t>
            </w:r>
            <w:r>
              <w:rPr>
                <w:color w:val="auto"/>
                <w:sz w:val="24"/>
                <w:highlight w:val="none"/>
              </w:rPr>
              <w:t>生态保护红线内允许的有限人为活动和国家重大项目占用生态保护红线涉及临时用地的，参照临时占用永久基本农田规定办理，严格落实恢复责任。</w:t>
            </w:r>
            <w:r>
              <w:rPr>
                <w:rFonts w:hint="eastAsia"/>
                <w:color w:val="auto"/>
                <w:sz w:val="24"/>
                <w:highlight w:val="none"/>
              </w:rPr>
              <w:t>”</w:t>
            </w:r>
          </w:p>
          <w:p w14:paraId="01D0E82F">
            <w:pPr>
              <w:spacing w:line="360" w:lineRule="auto"/>
              <w:ind w:firstLine="480" w:firstLineChars="200"/>
              <w:rPr>
                <w:color w:val="auto"/>
                <w:highlight w:val="none"/>
              </w:rPr>
            </w:pPr>
            <w:r>
              <w:rPr>
                <w:rFonts w:hint="eastAsia"/>
                <w:color w:val="auto"/>
                <w:sz w:val="24"/>
                <w:highlight w:val="none"/>
                <w:lang w:eastAsia="zh-CN"/>
              </w:rPr>
              <w:t>防洪除涝</w:t>
            </w:r>
            <w:r>
              <w:rPr>
                <w:rFonts w:hint="eastAsia"/>
                <w:color w:val="auto"/>
                <w:sz w:val="24"/>
                <w:highlight w:val="none"/>
              </w:rPr>
              <w:t>工程用地不会改变土地功能，临时占地主要包括</w:t>
            </w:r>
            <w:r>
              <w:rPr>
                <w:color w:val="auto"/>
                <w:sz w:val="24"/>
                <w:highlight w:val="none"/>
              </w:rPr>
              <w:t>施工</w:t>
            </w:r>
            <w:r>
              <w:rPr>
                <w:rFonts w:hint="eastAsia" w:ascii="Times New Roman" w:hAnsi="Times New Roman" w:eastAsia="宋体" w:cs="Times New Roman"/>
                <w:b w:val="0"/>
                <w:bCs w:val="0"/>
                <w:color w:val="auto"/>
                <w:sz w:val="24"/>
                <w:szCs w:val="24"/>
                <w:highlight w:val="none"/>
                <w:lang w:val="en-US" w:eastAsia="zh-CN"/>
              </w:rPr>
              <w:t>临时设施区</w:t>
            </w:r>
            <w:r>
              <w:rPr>
                <w:color w:val="auto"/>
                <w:sz w:val="24"/>
                <w:highlight w:val="none"/>
              </w:rPr>
              <w:t>、</w:t>
            </w:r>
            <w:r>
              <w:rPr>
                <w:rFonts w:hint="eastAsia"/>
                <w:color w:val="auto"/>
                <w:sz w:val="24"/>
                <w:highlight w:val="none"/>
              </w:rPr>
              <w:t>施工临时占地、临时堆放区</w:t>
            </w:r>
            <w:r>
              <w:rPr>
                <w:color w:val="auto"/>
                <w:sz w:val="24"/>
                <w:highlight w:val="none"/>
              </w:rPr>
              <w:t>等</w:t>
            </w:r>
            <w:r>
              <w:rPr>
                <w:rFonts w:hint="eastAsia"/>
                <w:color w:val="auto"/>
                <w:sz w:val="24"/>
                <w:highlight w:val="none"/>
              </w:rPr>
              <w:t>临时占地区。临时占地区在施工结束后将通过复植绿化等措施恢复其原有土地功能，对土地利用的影响是短暂的、可恢复的。因此，本工程占地不会导致土地利用类型彻底，仅会使土地利用类型暂时转变，本项目占地面积较小，且可恢复原有土地利用功能，不会引起土地利用的结构性变化。</w:t>
            </w:r>
          </w:p>
        </w:tc>
      </w:tr>
      <w:tr w14:paraId="55EDD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11" w:type="pct"/>
            <w:vAlign w:val="center"/>
          </w:tcPr>
          <w:p w14:paraId="01CED570">
            <w:pPr>
              <w:jc w:val="center"/>
              <w:rPr>
                <w:color w:val="auto"/>
                <w:kern w:val="0"/>
                <w:sz w:val="24"/>
                <w:highlight w:val="none"/>
              </w:rPr>
            </w:pPr>
            <w:r>
              <w:rPr>
                <w:color w:val="auto"/>
                <w:kern w:val="0"/>
                <w:sz w:val="24"/>
                <w:highlight w:val="none"/>
              </w:rPr>
              <w:t>施工方案</w:t>
            </w:r>
          </w:p>
        </w:tc>
        <w:tc>
          <w:tcPr>
            <w:tcW w:w="4688" w:type="pct"/>
            <w:vAlign w:val="center"/>
          </w:tcPr>
          <w:p w14:paraId="566170B5">
            <w:pPr>
              <w:numPr>
                <w:ilvl w:val="0"/>
                <w:numId w:val="3"/>
              </w:numPr>
              <w:spacing w:line="360" w:lineRule="auto"/>
              <w:rPr>
                <w:rFonts w:hint="eastAsia"/>
                <w:b/>
                <w:bCs/>
                <w:color w:val="auto"/>
                <w:sz w:val="24"/>
                <w:highlight w:val="none"/>
                <w:lang w:val="en-US" w:eastAsia="zh-CN"/>
              </w:rPr>
            </w:pPr>
            <w:r>
              <w:rPr>
                <w:rFonts w:hint="eastAsia"/>
                <w:b/>
                <w:bCs/>
                <w:color w:val="auto"/>
                <w:sz w:val="24"/>
                <w:highlight w:val="none"/>
                <w:lang w:val="en-US" w:eastAsia="zh-CN"/>
              </w:rPr>
              <w:t>施工分期</w:t>
            </w:r>
          </w:p>
          <w:p w14:paraId="6B74ED90">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本工程总工期为</w:t>
            </w:r>
            <w:r>
              <w:rPr>
                <w:rFonts w:hint="eastAsia"/>
                <w:color w:val="auto"/>
                <w:kern w:val="0"/>
                <w:sz w:val="24"/>
                <w:highlight w:val="none"/>
                <w:lang w:val="en-US" w:eastAsia="zh-CN" w:bidi="ar"/>
              </w:rPr>
              <w:t>21</w:t>
            </w:r>
            <w:r>
              <w:rPr>
                <w:rFonts w:hint="eastAsia"/>
                <w:color w:val="auto"/>
                <w:kern w:val="0"/>
                <w:sz w:val="24"/>
                <w:highlight w:val="none"/>
                <w:lang w:bidi="ar"/>
              </w:rPr>
              <w:t>个月，分施工准备期、主体工程施工期以及竣工清理验收期，其中主体工程均安排于非汛期及非灌溉期施工。</w:t>
            </w:r>
          </w:p>
          <w:p w14:paraId="28F6473B">
            <w:pPr>
              <w:pStyle w:val="19"/>
              <w:numPr>
                <w:ilvl w:val="0"/>
                <w:numId w:val="0"/>
              </w:numPr>
              <w:ind w:firstLine="480" w:firstLineChars="200"/>
              <w:rPr>
                <w:rFonts w:hint="eastAsia"/>
                <w:color w:val="auto"/>
                <w:kern w:val="0"/>
                <w:sz w:val="24"/>
                <w:highlight w:val="none"/>
                <w:lang w:bidi="ar"/>
              </w:rPr>
            </w:pPr>
            <w:r>
              <w:rPr>
                <w:rFonts w:hint="eastAsia"/>
                <w:color w:val="auto"/>
                <w:kern w:val="0"/>
                <w:sz w:val="24"/>
                <w:highlight w:val="none"/>
                <w:lang w:bidi="ar"/>
              </w:rPr>
              <w:t>具体施工季度安排详见</w:t>
            </w:r>
            <w:r>
              <w:rPr>
                <w:rFonts w:hint="eastAsia"/>
                <w:color w:val="auto"/>
                <w:kern w:val="0"/>
                <w:sz w:val="24"/>
                <w:highlight w:val="none"/>
                <w:lang w:val="en-US" w:eastAsia="zh-CN" w:bidi="ar"/>
              </w:rPr>
              <w:t>下表</w:t>
            </w:r>
            <w:r>
              <w:rPr>
                <w:rFonts w:hint="eastAsia"/>
                <w:color w:val="auto"/>
                <w:kern w:val="0"/>
                <w:sz w:val="24"/>
                <w:highlight w:val="none"/>
                <w:lang w:bidi="ar"/>
              </w:rPr>
              <w:t>。</w:t>
            </w:r>
          </w:p>
          <w:p w14:paraId="351EBD19">
            <w:pPr>
              <w:rPr>
                <w:rFonts w:hint="eastAsia"/>
                <w:color w:val="auto"/>
                <w:kern w:val="0"/>
                <w:sz w:val="24"/>
                <w:highlight w:val="none"/>
                <w:lang w:bidi="ar"/>
              </w:rPr>
            </w:pPr>
          </w:p>
          <w:p w14:paraId="7B1A6CB5">
            <w:pPr>
              <w:pStyle w:val="19"/>
              <w:rPr>
                <w:rFonts w:hint="eastAsia"/>
                <w:color w:val="auto"/>
                <w:kern w:val="0"/>
                <w:sz w:val="24"/>
                <w:highlight w:val="none"/>
                <w:lang w:bidi="ar"/>
              </w:rPr>
            </w:pPr>
          </w:p>
          <w:p w14:paraId="6B023D9B">
            <w:pPr>
              <w:rPr>
                <w:rFonts w:hint="eastAsia"/>
                <w:color w:val="auto"/>
                <w:kern w:val="0"/>
                <w:sz w:val="24"/>
                <w:highlight w:val="none"/>
                <w:lang w:bidi="ar"/>
              </w:rPr>
            </w:pPr>
          </w:p>
          <w:p w14:paraId="6F684A23">
            <w:pPr>
              <w:pStyle w:val="19"/>
              <w:rPr>
                <w:rFonts w:hint="eastAsia"/>
                <w:color w:val="auto"/>
                <w:kern w:val="0"/>
                <w:sz w:val="24"/>
                <w:highlight w:val="none"/>
                <w:lang w:bidi="ar"/>
              </w:rPr>
            </w:pPr>
          </w:p>
          <w:p w14:paraId="554EFA7F">
            <w:pPr>
              <w:rPr>
                <w:rFonts w:hint="eastAsia"/>
                <w:color w:val="auto"/>
                <w:kern w:val="0"/>
                <w:sz w:val="24"/>
                <w:highlight w:val="none"/>
                <w:lang w:bidi="ar"/>
              </w:rPr>
            </w:pPr>
          </w:p>
          <w:p w14:paraId="2021FC78">
            <w:pPr>
              <w:pStyle w:val="19"/>
              <w:rPr>
                <w:rFonts w:hint="eastAsia"/>
                <w:color w:val="auto"/>
                <w:kern w:val="0"/>
                <w:sz w:val="24"/>
                <w:highlight w:val="none"/>
                <w:lang w:bidi="ar"/>
              </w:rPr>
            </w:pPr>
          </w:p>
          <w:p w14:paraId="4D20A067">
            <w:pPr>
              <w:rPr>
                <w:rFonts w:hint="eastAsia"/>
                <w:color w:val="auto"/>
                <w:kern w:val="0"/>
                <w:sz w:val="24"/>
                <w:highlight w:val="none"/>
                <w:lang w:bidi="ar"/>
              </w:rPr>
            </w:pPr>
          </w:p>
          <w:p w14:paraId="724348AB">
            <w:pPr>
              <w:pStyle w:val="19"/>
              <w:rPr>
                <w:rFonts w:hint="eastAsia"/>
                <w:color w:val="auto"/>
                <w:kern w:val="0"/>
                <w:sz w:val="24"/>
                <w:highlight w:val="none"/>
                <w:lang w:bidi="ar"/>
              </w:rPr>
            </w:pPr>
          </w:p>
          <w:p w14:paraId="67C63ACD">
            <w:pPr>
              <w:rPr>
                <w:rFonts w:hint="eastAsia"/>
                <w:color w:val="auto"/>
                <w:kern w:val="0"/>
                <w:sz w:val="24"/>
                <w:highlight w:val="none"/>
                <w:lang w:bidi="ar"/>
              </w:rPr>
            </w:pPr>
          </w:p>
          <w:p w14:paraId="3D8EEC8D">
            <w:pPr>
              <w:pStyle w:val="19"/>
              <w:rPr>
                <w:rFonts w:hint="eastAsia"/>
                <w:color w:val="auto"/>
                <w:kern w:val="0"/>
                <w:sz w:val="24"/>
                <w:highlight w:val="none"/>
                <w:lang w:bidi="ar"/>
              </w:rPr>
            </w:pPr>
          </w:p>
          <w:p w14:paraId="41864088">
            <w:pPr>
              <w:rPr>
                <w:rFonts w:hint="eastAsia"/>
                <w:color w:val="auto"/>
                <w:kern w:val="0"/>
                <w:sz w:val="24"/>
                <w:highlight w:val="none"/>
                <w:lang w:bidi="ar"/>
              </w:rPr>
            </w:pPr>
          </w:p>
          <w:p w14:paraId="44BFABC3">
            <w:pPr>
              <w:pStyle w:val="19"/>
              <w:rPr>
                <w:rFonts w:hint="eastAsia"/>
                <w:color w:val="auto"/>
                <w:kern w:val="0"/>
                <w:sz w:val="24"/>
                <w:highlight w:val="none"/>
                <w:lang w:bidi="ar"/>
              </w:rPr>
            </w:pPr>
          </w:p>
          <w:p w14:paraId="01DD51C7">
            <w:pPr>
              <w:rPr>
                <w:rFonts w:hint="eastAsia"/>
                <w:color w:val="auto"/>
                <w:kern w:val="0"/>
                <w:sz w:val="24"/>
                <w:highlight w:val="none"/>
                <w:lang w:bidi="ar"/>
              </w:rPr>
            </w:pPr>
          </w:p>
          <w:p w14:paraId="22205FAF">
            <w:pPr>
              <w:pStyle w:val="19"/>
              <w:rPr>
                <w:rFonts w:hint="eastAsia"/>
                <w:color w:val="auto"/>
                <w:lang w:eastAsia="zh-CN"/>
              </w:rPr>
            </w:pPr>
          </w:p>
        </w:tc>
      </w:tr>
    </w:tbl>
    <w:p w14:paraId="55F8F776">
      <w:pPr>
        <w:adjustRightInd w:val="0"/>
        <w:snapToGrid w:val="0"/>
        <w:jc w:val="center"/>
        <w:rPr>
          <w:color w:val="auto"/>
          <w:kern w:val="0"/>
          <w:sz w:val="24"/>
        </w:rPr>
        <w:sectPr>
          <w:pgSz w:w="11905" w:h="16838"/>
          <w:pgMar w:top="1417" w:right="1417" w:bottom="1417" w:left="1417" w:header="851" w:footer="1077" w:gutter="0"/>
          <w:cols w:space="720" w:num="1"/>
          <w:docGrid w:linePitch="312" w:charSpace="0"/>
        </w:sectPr>
      </w:pPr>
    </w:p>
    <w:p w14:paraId="16815BD6">
      <w:pPr>
        <w:pStyle w:val="19"/>
        <w:ind w:left="0" w:leftChars="0" w:firstLine="0" w:firstLineChars="0"/>
        <w:jc w:val="center"/>
        <w:rPr>
          <w:rFonts w:hint="default" w:eastAsia="宋体"/>
          <w:color w:val="auto"/>
          <w:lang w:val="en-US" w:eastAsia="zh-CN"/>
        </w:rPr>
      </w:pPr>
      <w:r>
        <w:rPr>
          <w:rFonts w:hint="eastAsia"/>
          <w:color w:val="auto"/>
          <w:lang w:eastAsia="zh-CN"/>
        </w:rPr>
        <w:t>表</w:t>
      </w:r>
      <w:r>
        <w:rPr>
          <w:rFonts w:hint="eastAsia"/>
          <w:color w:val="auto"/>
          <w:lang w:val="en-US" w:eastAsia="zh-CN"/>
        </w:rPr>
        <w:t>2-6 施工进度计划表</w:t>
      </w:r>
    </w:p>
    <w:tbl>
      <w:tblPr>
        <w:tblStyle w:val="20"/>
        <w:tblW w:w="50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8"/>
        <w:gridCol w:w="1843"/>
        <w:gridCol w:w="509"/>
        <w:gridCol w:w="509"/>
        <w:gridCol w:w="512"/>
        <w:gridCol w:w="512"/>
        <w:gridCol w:w="512"/>
        <w:gridCol w:w="512"/>
        <w:gridCol w:w="616"/>
        <w:gridCol w:w="616"/>
        <w:gridCol w:w="681"/>
        <w:gridCol w:w="512"/>
        <w:gridCol w:w="512"/>
        <w:gridCol w:w="512"/>
        <w:gridCol w:w="512"/>
        <w:gridCol w:w="512"/>
        <w:gridCol w:w="512"/>
        <w:gridCol w:w="512"/>
        <w:gridCol w:w="515"/>
        <w:gridCol w:w="516"/>
        <w:gridCol w:w="620"/>
        <w:gridCol w:w="620"/>
        <w:gridCol w:w="707"/>
      </w:tblGrid>
      <w:tr w14:paraId="2E474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241" w:type="pct"/>
            <w:vMerge w:val="restart"/>
            <w:vAlign w:val="center"/>
          </w:tcPr>
          <w:p w14:paraId="32B3BCC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w:t>序号</w:t>
            </w:r>
          </w:p>
        </w:tc>
        <w:tc>
          <w:tcPr>
            <w:tcW w:w="655" w:type="pct"/>
            <w:vMerge w:val="restart"/>
            <w:vAlign w:val="center"/>
          </w:tcPr>
          <w:p w14:paraId="345EB54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w:t>工作内容</w:t>
            </w:r>
          </w:p>
        </w:tc>
        <w:tc>
          <w:tcPr>
            <w:tcW w:w="1770" w:type="pct"/>
            <w:gridSpan w:val="9"/>
            <w:vAlign w:val="center"/>
          </w:tcPr>
          <w:p w14:paraId="664A640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w:t>2026年</w:t>
            </w:r>
          </w:p>
        </w:tc>
        <w:tc>
          <w:tcPr>
            <w:tcW w:w="2331" w:type="pct"/>
            <w:gridSpan w:val="12"/>
            <w:vAlign w:val="center"/>
          </w:tcPr>
          <w:p w14:paraId="2D1B56F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w:t>2027年</w:t>
            </w:r>
          </w:p>
        </w:tc>
      </w:tr>
      <w:tr w14:paraId="5ECC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tblHeader/>
          <w:jc w:val="center"/>
        </w:trPr>
        <w:tc>
          <w:tcPr>
            <w:tcW w:w="241" w:type="pct"/>
            <w:vMerge w:val="continue"/>
            <w:vAlign w:val="center"/>
          </w:tcPr>
          <w:p w14:paraId="73EB4C5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655" w:type="pct"/>
            <w:vMerge w:val="continue"/>
            <w:vAlign w:val="center"/>
          </w:tcPr>
          <w:p w14:paraId="24DC696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1" w:type="pct"/>
            <w:vAlign w:val="center"/>
          </w:tcPr>
          <w:p w14:paraId="36C4F02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r>
              <w:rPr>
                <w:rFonts w:hint="default" w:ascii="Times New Roman" w:hAnsi="Times New Roman" w:eastAsia="宋体" w:cs="Times New Roman"/>
                <w:color w:val="auto"/>
                <w:sz w:val="18"/>
                <w:szCs w:val="18"/>
                <w:lang w:val="en-US"/>
              </w:rPr>
              <w:t>月</w:t>
            </w:r>
          </w:p>
        </w:tc>
        <w:tc>
          <w:tcPr>
            <w:tcW w:w="181" w:type="pct"/>
            <w:shd w:val="clear" w:color="auto" w:fill="auto"/>
            <w:vAlign w:val="center"/>
          </w:tcPr>
          <w:p w14:paraId="3C3F0B66">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59A5171A">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6</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6EC1BC65">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7</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2D74327D">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8</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1819D9FE">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9</w:t>
            </w:r>
            <w:r>
              <w:rPr>
                <w:rFonts w:hint="default" w:ascii="Times New Roman" w:hAnsi="Times New Roman" w:eastAsia="宋体" w:cs="Times New Roman"/>
                <w:color w:val="auto"/>
                <w:sz w:val="18"/>
                <w:szCs w:val="18"/>
                <w:lang w:val="en-US"/>
              </w:rPr>
              <w:t>月</w:t>
            </w:r>
          </w:p>
        </w:tc>
        <w:tc>
          <w:tcPr>
            <w:tcW w:w="219" w:type="pct"/>
            <w:shd w:val="clear" w:color="auto" w:fill="auto"/>
            <w:vAlign w:val="center"/>
          </w:tcPr>
          <w:p w14:paraId="5DC1AA6B">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10</w:t>
            </w:r>
            <w:r>
              <w:rPr>
                <w:rFonts w:hint="default" w:ascii="Times New Roman" w:hAnsi="Times New Roman" w:eastAsia="宋体" w:cs="Times New Roman"/>
                <w:color w:val="auto"/>
                <w:sz w:val="18"/>
                <w:szCs w:val="18"/>
                <w:lang w:val="en-US"/>
              </w:rPr>
              <w:t>月</w:t>
            </w:r>
          </w:p>
        </w:tc>
        <w:tc>
          <w:tcPr>
            <w:tcW w:w="219" w:type="pct"/>
            <w:shd w:val="clear" w:color="auto" w:fill="auto"/>
            <w:vAlign w:val="center"/>
          </w:tcPr>
          <w:p w14:paraId="5AF70BC3">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11</w:t>
            </w:r>
            <w:r>
              <w:rPr>
                <w:rFonts w:hint="default" w:ascii="Times New Roman" w:hAnsi="Times New Roman" w:eastAsia="宋体" w:cs="Times New Roman"/>
                <w:color w:val="auto"/>
                <w:sz w:val="18"/>
                <w:szCs w:val="18"/>
                <w:lang w:val="en-US"/>
              </w:rPr>
              <w:t>月</w:t>
            </w:r>
          </w:p>
        </w:tc>
        <w:tc>
          <w:tcPr>
            <w:tcW w:w="240" w:type="pct"/>
            <w:shd w:val="clear" w:color="auto" w:fill="auto"/>
            <w:vAlign w:val="center"/>
          </w:tcPr>
          <w:p w14:paraId="69B3AFDF">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12</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1467A7F2">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2D6EF885">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2</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41B2E020">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3</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1540DF7C">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4</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7FB24987">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74CA515D">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6</w:t>
            </w:r>
            <w:r>
              <w:rPr>
                <w:rFonts w:hint="default" w:ascii="Times New Roman" w:hAnsi="Times New Roman" w:eastAsia="宋体" w:cs="Times New Roman"/>
                <w:color w:val="auto"/>
                <w:sz w:val="18"/>
                <w:szCs w:val="18"/>
                <w:lang w:val="en-US"/>
              </w:rPr>
              <w:t>月</w:t>
            </w:r>
          </w:p>
        </w:tc>
        <w:tc>
          <w:tcPr>
            <w:tcW w:w="182" w:type="pct"/>
            <w:shd w:val="clear" w:color="auto" w:fill="auto"/>
            <w:vAlign w:val="center"/>
          </w:tcPr>
          <w:p w14:paraId="0260BAC7">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7</w:t>
            </w:r>
            <w:r>
              <w:rPr>
                <w:rFonts w:hint="default" w:ascii="Times New Roman" w:hAnsi="Times New Roman" w:eastAsia="宋体" w:cs="Times New Roman"/>
                <w:color w:val="auto"/>
                <w:sz w:val="18"/>
                <w:szCs w:val="18"/>
                <w:lang w:val="en-US"/>
              </w:rPr>
              <w:t>月</w:t>
            </w:r>
          </w:p>
        </w:tc>
        <w:tc>
          <w:tcPr>
            <w:tcW w:w="183" w:type="pct"/>
            <w:shd w:val="clear" w:color="auto" w:fill="auto"/>
            <w:vAlign w:val="center"/>
          </w:tcPr>
          <w:p w14:paraId="7FE1829C">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8</w:t>
            </w:r>
            <w:r>
              <w:rPr>
                <w:rFonts w:hint="default" w:ascii="Times New Roman" w:hAnsi="Times New Roman" w:eastAsia="宋体" w:cs="Times New Roman"/>
                <w:color w:val="auto"/>
                <w:sz w:val="18"/>
                <w:szCs w:val="18"/>
                <w:lang w:val="en-US"/>
              </w:rPr>
              <w:t>月</w:t>
            </w:r>
          </w:p>
        </w:tc>
        <w:tc>
          <w:tcPr>
            <w:tcW w:w="183" w:type="pct"/>
            <w:shd w:val="clear" w:color="auto" w:fill="auto"/>
            <w:vAlign w:val="center"/>
          </w:tcPr>
          <w:p w14:paraId="0CA19BB5">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9</w:t>
            </w:r>
            <w:r>
              <w:rPr>
                <w:rFonts w:hint="default" w:ascii="Times New Roman" w:hAnsi="Times New Roman" w:eastAsia="宋体" w:cs="Times New Roman"/>
                <w:color w:val="auto"/>
                <w:sz w:val="18"/>
                <w:szCs w:val="18"/>
                <w:lang w:val="en-US"/>
              </w:rPr>
              <w:t>月</w:t>
            </w:r>
          </w:p>
        </w:tc>
        <w:tc>
          <w:tcPr>
            <w:tcW w:w="220" w:type="pct"/>
            <w:shd w:val="clear" w:color="auto" w:fill="auto"/>
            <w:vAlign w:val="center"/>
          </w:tcPr>
          <w:p w14:paraId="6BCE6D3E">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10</w:t>
            </w:r>
            <w:r>
              <w:rPr>
                <w:rFonts w:hint="default" w:ascii="Times New Roman" w:hAnsi="Times New Roman" w:eastAsia="宋体" w:cs="Times New Roman"/>
                <w:color w:val="auto"/>
                <w:sz w:val="18"/>
                <w:szCs w:val="18"/>
                <w:lang w:val="en-US"/>
              </w:rPr>
              <w:t>月</w:t>
            </w:r>
          </w:p>
        </w:tc>
        <w:tc>
          <w:tcPr>
            <w:tcW w:w="220" w:type="pct"/>
            <w:shd w:val="clear" w:color="auto" w:fill="auto"/>
            <w:vAlign w:val="center"/>
          </w:tcPr>
          <w:p w14:paraId="59B90006">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11</w:t>
            </w:r>
            <w:r>
              <w:rPr>
                <w:rFonts w:hint="default" w:ascii="Times New Roman" w:hAnsi="Times New Roman" w:eastAsia="宋体" w:cs="Times New Roman"/>
                <w:color w:val="auto"/>
                <w:sz w:val="18"/>
                <w:szCs w:val="18"/>
                <w:lang w:val="en-US"/>
              </w:rPr>
              <w:t>月</w:t>
            </w:r>
          </w:p>
        </w:tc>
        <w:tc>
          <w:tcPr>
            <w:tcW w:w="246" w:type="pct"/>
            <w:shd w:val="clear" w:color="auto" w:fill="auto"/>
            <w:vAlign w:val="center"/>
          </w:tcPr>
          <w:p w14:paraId="265B2285">
            <w:pPr>
              <w:pStyle w:val="8"/>
              <w:snapToGrid w:val="0"/>
              <w:spacing w:after="0" w:line="400" w:lineRule="exact"/>
              <w:ind w:left="0" w:leftChars="0" w:right="113" w:rightChars="0"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lang w:val="en-US" w:eastAsia="zh-CN"/>
              </w:rPr>
              <w:t>12</w:t>
            </w:r>
            <w:r>
              <w:rPr>
                <w:rFonts w:hint="default" w:ascii="Times New Roman" w:hAnsi="Times New Roman" w:eastAsia="宋体" w:cs="Times New Roman"/>
                <w:color w:val="auto"/>
                <w:sz w:val="18"/>
                <w:szCs w:val="18"/>
                <w:lang w:val="en-US"/>
              </w:rPr>
              <w:t>月</w:t>
            </w:r>
          </w:p>
        </w:tc>
      </w:tr>
      <w:tr w14:paraId="2C874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41" w:type="pct"/>
            <w:shd w:val="clear" w:color="auto" w:fill="auto"/>
            <w:vAlign w:val="center"/>
          </w:tcPr>
          <w:p w14:paraId="72DA0A8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Ⅰ</w:t>
            </w:r>
          </w:p>
        </w:tc>
        <w:tc>
          <w:tcPr>
            <w:tcW w:w="655" w:type="pct"/>
            <w:vAlign w:val="center"/>
          </w:tcPr>
          <w:p w14:paraId="31D3D50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施工准备</w:t>
            </w:r>
          </w:p>
        </w:tc>
        <w:tc>
          <w:tcPr>
            <w:tcW w:w="181" w:type="pct"/>
            <w:vAlign w:val="center"/>
          </w:tcPr>
          <w:p w14:paraId="26A0800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2336" behindDoc="0" locked="0" layoutInCell="1" allowOverlap="1">
                      <wp:simplePos x="0" y="0"/>
                      <wp:positionH relativeFrom="column">
                        <wp:posOffset>3810</wp:posOffset>
                      </wp:positionH>
                      <wp:positionV relativeFrom="paragraph">
                        <wp:posOffset>141605</wp:posOffset>
                      </wp:positionV>
                      <wp:extent cx="636270" cy="6985"/>
                      <wp:effectExtent l="0" t="0" r="0" b="0"/>
                      <wp:wrapNone/>
                      <wp:docPr id="1471840459" name="直接连接符 14"/>
                      <wp:cNvGraphicFramePr/>
                      <a:graphic xmlns:a="http://schemas.openxmlformats.org/drawingml/2006/main">
                        <a:graphicData uri="http://schemas.microsoft.com/office/word/2010/wordprocessingShape">
                          <wps:wsp>
                            <wps:cNvCnPr/>
                            <wps:spPr>
                              <a:xfrm>
                                <a:off x="0" y="0"/>
                                <a:ext cx="636270" cy="6985"/>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14" o:spid="_x0000_s1026" o:spt="20" style="position:absolute;left:0pt;margin-left:0.3pt;margin-top:11.15pt;height:0.55pt;width:50.1pt;z-index:251662336;mso-width-relative:page;mso-height-relative:page;" filled="f" stroked="t" coordsize="21600,21600" o:gfxdata="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x&#10;zXsu1QAAAAYBAAAPAAAAAAAAAAEAIAAAACIAAABkcnMvZG93bnJldi54bWxQSwECFAAUAAAACACH&#10;TuJAh4bwBO4BAAC+AwAADgAAAAAAAAABACAAAAAkAQAAZHJzL2Uyb0RvYy54bWxQSwUGAAAAAAYA&#10;BgBZAQAAhAUAAAAA&#10;">
                      <v:fill on="f" focussize="0,0"/>
                      <v:stroke weight="1.75pt" color="#000000 [3200]" miterlimit="8" joinstyle="miter"/>
                      <v:imagedata o:title=""/>
                      <o:lock v:ext="edit" aspectratio="f"/>
                    </v:line>
                  </w:pict>
                </mc:Fallback>
              </mc:AlternateContent>
            </w:r>
          </w:p>
        </w:tc>
        <w:tc>
          <w:tcPr>
            <w:tcW w:w="181" w:type="pct"/>
            <w:vAlign w:val="center"/>
          </w:tcPr>
          <w:p w14:paraId="765C6A8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26EA82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92BF98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DA9638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AABAD8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52E5A74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55B89F3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0" w:type="pct"/>
            <w:vAlign w:val="center"/>
          </w:tcPr>
          <w:p w14:paraId="0A99D95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99BD66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35C5D3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0025B3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CA5631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F0D361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8DC2B0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550D68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2EBD54E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21348E1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69CE2F6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28EFC1F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6" w:type="pct"/>
            <w:vAlign w:val="center"/>
          </w:tcPr>
          <w:p w14:paraId="05A5941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252C4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41" w:type="pct"/>
            <w:shd w:val="clear" w:color="auto" w:fill="auto"/>
            <w:vAlign w:val="center"/>
          </w:tcPr>
          <w:p w14:paraId="5D9DBE0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Ⅱ</w:t>
            </w:r>
          </w:p>
        </w:tc>
        <w:tc>
          <w:tcPr>
            <w:tcW w:w="655" w:type="pct"/>
            <w:shd w:val="clear" w:color="auto" w:fill="auto"/>
            <w:vAlign w:val="center"/>
          </w:tcPr>
          <w:p w14:paraId="078F02E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工程内容</w:t>
            </w:r>
          </w:p>
        </w:tc>
        <w:tc>
          <w:tcPr>
            <w:tcW w:w="181" w:type="pct"/>
            <w:vAlign w:val="center"/>
          </w:tcPr>
          <w:p w14:paraId="146F504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1" w:type="pct"/>
            <w:vAlign w:val="center"/>
          </w:tcPr>
          <w:p w14:paraId="0D669C8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48F31B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A334D2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63AA9B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15B26B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22A3B75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0D69660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0" w:type="pct"/>
            <w:vAlign w:val="center"/>
          </w:tcPr>
          <w:p w14:paraId="2EF6852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D99373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029D4BB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A5ED4F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2C3659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00F58C63">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B12771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057E6D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413AA69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54A76D3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22734BC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6F4ED50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6" w:type="pct"/>
            <w:vAlign w:val="center"/>
          </w:tcPr>
          <w:p w14:paraId="576CE12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3C5D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41" w:type="pct"/>
            <w:shd w:val="clear" w:color="auto" w:fill="auto"/>
            <w:vAlign w:val="center"/>
          </w:tcPr>
          <w:p w14:paraId="6718E0B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1</w:t>
            </w:r>
          </w:p>
        </w:tc>
        <w:tc>
          <w:tcPr>
            <w:tcW w:w="655" w:type="pct"/>
            <w:shd w:val="clear" w:color="auto" w:fill="auto"/>
            <w:vAlign w:val="center"/>
          </w:tcPr>
          <w:p w14:paraId="4071D2D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疏浚工程</w:t>
            </w:r>
          </w:p>
        </w:tc>
        <w:tc>
          <w:tcPr>
            <w:tcW w:w="181" w:type="pct"/>
            <w:vAlign w:val="center"/>
          </w:tcPr>
          <w:p w14:paraId="69B1DCA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1" w:type="pct"/>
            <w:vAlign w:val="center"/>
          </w:tcPr>
          <w:p w14:paraId="676A604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6FDA3A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481575B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047FB1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1609AD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1312" behindDoc="0" locked="0" layoutInCell="1" allowOverlap="1">
                      <wp:simplePos x="0" y="0"/>
                      <wp:positionH relativeFrom="column">
                        <wp:posOffset>310515</wp:posOffset>
                      </wp:positionH>
                      <wp:positionV relativeFrom="paragraph">
                        <wp:posOffset>126365</wp:posOffset>
                      </wp:positionV>
                      <wp:extent cx="1231265" cy="4445"/>
                      <wp:effectExtent l="0" t="0" r="0" b="0"/>
                      <wp:wrapNone/>
                      <wp:docPr id="1876640276" name="直接连接符 13"/>
                      <wp:cNvGraphicFramePr/>
                      <a:graphic xmlns:a="http://schemas.openxmlformats.org/drawingml/2006/main">
                        <a:graphicData uri="http://schemas.microsoft.com/office/word/2010/wordprocessingShape">
                          <wps:wsp>
                            <wps:cNvCnPr/>
                            <wps:spPr>
                              <a:xfrm>
                                <a:off x="0" y="0"/>
                                <a:ext cx="1231265" cy="444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3" o:spid="_x0000_s1026" o:spt="20" style="position:absolute;left:0pt;margin-left:24.45pt;margin-top:9.95pt;height:0.35pt;width:96.95pt;z-index:251661312;mso-width-relative:page;mso-height-relative:page;" filled="f" stroked="t" coordsize="21600,21600" o:gfxdata="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KiyF7UAAAACAEAAA8AAAAAAAAAAQAgAAAAIgAAAGRy&#10;cy9kb3ducmV2LnhtbFBLAQIUABQAAAAIAIdO4kBMk/G7CQIAAPcDAAAOAAAAAAAAAAEAIAAAACMB&#10;AABkcnMvZTJvRG9jLnhtbFBLBQYAAAAABgAGAFkBAACeBQAAAAA=&#10;">
                      <v:fill on="f" focussize="0,0"/>
                      <v:stroke weight="1.75pt" color="#0D0D0D [3069]" miterlimit="8" joinstyle="miter"/>
                      <v:imagedata o:title=""/>
                      <o:lock v:ext="edit" aspectratio="f"/>
                    </v:line>
                  </w:pict>
                </mc:Fallback>
              </mc:AlternateContent>
            </w:r>
          </w:p>
        </w:tc>
        <w:tc>
          <w:tcPr>
            <w:tcW w:w="219" w:type="pct"/>
            <w:vAlign w:val="center"/>
          </w:tcPr>
          <w:p w14:paraId="5CE2613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75004F5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0" w:type="pct"/>
            <w:vAlign w:val="center"/>
          </w:tcPr>
          <w:p w14:paraId="5915902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8C1DA7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3FC3A4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0F5AB8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22579E6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74D4ED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309EA0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4F939A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5E407563">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0CDCAD8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482D495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42DD596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6" w:type="pct"/>
            <w:vAlign w:val="center"/>
          </w:tcPr>
          <w:p w14:paraId="67EC12A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46A44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41" w:type="pct"/>
            <w:shd w:val="clear" w:color="auto" w:fill="auto"/>
            <w:vAlign w:val="center"/>
          </w:tcPr>
          <w:p w14:paraId="337504B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2</w:t>
            </w:r>
          </w:p>
        </w:tc>
        <w:tc>
          <w:tcPr>
            <w:tcW w:w="655" w:type="pct"/>
            <w:shd w:val="clear" w:color="auto" w:fill="auto"/>
            <w:vAlign w:val="center"/>
          </w:tcPr>
          <w:p w14:paraId="2B43095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衬砌工程</w:t>
            </w:r>
          </w:p>
        </w:tc>
        <w:tc>
          <w:tcPr>
            <w:tcW w:w="181" w:type="pct"/>
            <w:vAlign w:val="center"/>
          </w:tcPr>
          <w:p w14:paraId="45CB450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1" w:type="pct"/>
            <w:vAlign w:val="center"/>
          </w:tcPr>
          <w:p w14:paraId="2223C3E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11F751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3F426A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2BDD459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E4A4F83">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0BE9039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0413ECF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0" w:type="pct"/>
            <w:vAlign w:val="center"/>
          </w:tcPr>
          <w:p w14:paraId="4C5FB68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318C3F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3360" behindDoc="0" locked="0" layoutInCell="1" allowOverlap="1">
                      <wp:simplePos x="0" y="0"/>
                      <wp:positionH relativeFrom="column">
                        <wp:posOffset>-1214120</wp:posOffset>
                      </wp:positionH>
                      <wp:positionV relativeFrom="paragraph">
                        <wp:posOffset>139700</wp:posOffset>
                      </wp:positionV>
                      <wp:extent cx="2834005" cy="14605"/>
                      <wp:effectExtent l="0" t="0" r="0" b="0"/>
                      <wp:wrapNone/>
                      <wp:docPr id="2030945570" name="直接连接符 16"/>
                      <wp:cNvGraphicFramePr/>
                      <a:graphic xmlns:a="http://schemas.openxmlformats.org/drawingml/2006/main">
                        <a:graphicData uri="http://schemas.microsoft.com/office/word/2010/wordprocessingShape">
                          <wps:wsp>
                            <wps:cNvCnPr/>
                            <wps:spPr>
                              <a:xfrm flipV="1">
                                <a:off x="0" y="0"/>
                                <a:ext cx="2834005" cy="1460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6" o:spid="_x0000_s1026" o:spt="20" style="position:absolute;left:0pt;flip:y;margin-left:-95.6pt;margin-top:11pt;height:1.15pt;width:223.15pt;z-index:251663360;mso-width-relative:page;mso-height-relative:page;" filled="f" stroked="t" coordsize="21600,21600" o:gfxdata="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ZtipPWAAAACgEAAA8AAAAAAAAAAQAg&#10;AAAAIgAAAGRycy9kb3ducmV2LnhtbFBLAQIUABQAAAAIAIdO4kCqahcnEAIAAAIEAAAOAAAAAAAA&#10;AAEAIAAAACUBAABkcnMvZTJvRG9jLnhtbFBLBQYAAAAABgAGAFkBAACnBQAAAAA=&#10;">
                      <v:fill on="f" focussize="0,0"/>
                      <v:stroke weight="1.75pt" color="#0D0D0D [3069]" miterlimit="8" joinstyle="miter"/>
                      <v:imagedata o:title=""/>
                      <o:lock v:ext="edit" aspectratio="f"/>
                    </v:line>
                  </w:pict>
                </mc:Fallback>
              </mc:AlternateContent>
            </w:r>
          </w:p>
        </w:tc>
        <w:tc>
          <w:tcPr>
            <w:tcW w:w="182" w:type="pct"/>
            <w:vAlign w:val="center"/>
          </w:tcPr>
          <w:p w14:paraId="2FCC2FE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49E5194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6721052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9E2252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42C882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47D6D33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2057BC3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3" w:type="pct"/>
            <w:vAlign w:val="center"/>
          </w:tcPr>
          <w:p w14:paraId="53E2764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4384" behindDoc="0" locked="0" layoutInCell="1" allowOverlap="1">
                      <wp:simplePos x="0" y="0"/>
                      <wp:positionH relativeFrom="column">
                        <wp:posOffset>322580</wp:posOffset>
                      </wp:positionH>
                      <wp:positionV relativeFrom="paragraph">
                        <wp:posOffset>139700</wp:posOffset>
                      </wp:positionV>
                      <wp:extent cx="791210" cy="20955"/>
                      <wp:effectExtent l="0" t="0" r="0" b="0"/>
                      <wp:wrapNone/>
                      <wp:docPr id="1899352410" name="直接连接符 5"/>
                      <wp:cNvGraphicFramePr/>
                      <a:graphic xmlns:a="http://schemas.openxmlformats.org/drawingml/2006/main">
                        <a:graphicData uri="http://schemas.microsoft.com/office/word/2010/wordprocessingShape">
                          <wps:wsp>
                            <wps:cNvCnPr/>
                            <wps:spPr>
                              <a:xfrm flipV="1">
                                <a:off x="0" y="0"/>
                                <a:ext cx="791210" cy="2095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flip:y;margin-left:25.4pt;margin-top:11pt;height:1.65pt;width:62.3pt;z-index:251664384;mso-width-relative:page;mso-height-relative:page;" filled="f" stroked="t" coordsize="21600,21600" o:gfxdata="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grqh/1AAAAAgBAAAPAAAAAAAAAAEAIAAAACIA&#10;AABkcnMvZG93bnJldi54bWxQSwECFAAUAAAACACHTuJAqmnz/Q0CAAAABAAADgAAAAAAAAABACAA&#10;AAAjAQAAZHJzL2Uyb0RvYy54bWxQSwUGAAAAAAYABgBZAQAAogUAAAAA&#10;">
                      <v:fill on="f" focussize="0,0"/>
                      <v:stroke weight="1.75pt" color="#0D0D0D [3069]" miterlimit="8" joinstyle="miter"/>
                      <v:imagedata o:title=""/>
                      <o:lock v:ext="edit" aspectratio="f"/>
                    </v:line>
                  </w:pict>
                </mc:Fallback>
              </mc:AlternateContent>
            </w:r>
          </w:p>
        </w:tc>
        <w:tc>
          <w:tcPr>
            <w:tcW w:w="220" w:type="pct"/>
            <w:vAlign w:val="center"/>
          </w:tcPr>
          <w:p w14:paraId="09B6B41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20" w:type="pct"/>
            <w:vAlign w:val="center"/>
          </w:tcPr>
          <w:p w14:paraId="419D3F5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46" w:type="pct"/>
            <w:vAlign w:val="center"/>
          </w:tcPr>
          <w:p w14:paraId="438278C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0B45F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shd w:val="clear" w:color="auto" w:fill="auto"/>
            <w:vAlign w:val="center"/>
          </w:tcPr>
          <w:p w14:paraId="4E2ECDA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0" w:type="auto"/>
            <w:shd w:val="clear" w:color="auto" w:fill="auto"/>
            <w:vAlign w:val="center"/>
          </w:tcPr>
          <w:p w14:paraId="23F2CB6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桥涵工程</w:t>
            </w:r>
          </w:p>
        </w:tc>
        <w:tc>
          <w:tcPr>
            <w:tcW w:w="0" w:type="auto"/>
            <w:vAlign w:val="center"/>
          </w:tcPr>
          <w:p w14:paraId="6B59AEC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179B93E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710C8E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4C71316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F3D130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9AE202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79CAD5C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399D747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6F1FC3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B05915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5408" behindDoc="0" locked="0" layoutInCell="1" allowOverlap="1">
                      <wp:simplePos x="0" y="0"/>
                      <wp:positionH relativeFrom="column">
                        <wp:posOffset>-1220470</wp:posOffset>
                      </wp:positionH>
                      <wp:positionV relativeFrom="paragraph">
                        <wp:posOffset>161925</wp:posOffset>
                      </wp:positionV>
                      <wp:extent cx="2847340" cy="8890"/>
                      <wp:effectExtent l="0" t="0" r="0" b="0"/>
                      <wp:wrapNone/>
                      <wp:docPr id="18" name="直接连接符 16"/>
                      <wp:cNvGraphicFramePr/>
                      <a:graphic xmlns:a="http://schemas.openxmlformats.org/drawingml/2006/main">
                        <a:graphicData uri="http://schemas.microsoft.com/office/word/2010/wordprocessingShape">
                          <wps:wsp>
                            <wps:cNvCnPr/>
                            <wps:spPr>
                              <a:xfrm flipV="1">
                                <a:off x="0" y="0"/>
                                <a:ext cx="2847340" cy="8890"/>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6" o:spid="_x0000_s1026" o:spt="20" style="position:absolute;left:0pt;flip:y;margin-left:-96.1pt;margin-top:12.75pt;height:0.7pt;width:224.2pt;z-index:251665408;mso-width-relative:page;mso-height-relative:page;" filled="f" stroked="t" coordsize="21600,21600" o:gfxdata="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&#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yscIz1QAAAAoBAAAPAAAAAAAAAAEAIAAAACIAAABk&#10;cnMvZG93bnJldi54bWxQSwECFAAUAAAACACHTuJA1e5K6AkCAAD5AwAADgAAAAAAAAABACAAAAAk&#10;AQAAZHJzL2Uyb0RvYy54bWxQSwUGAAAAAAYABgBZAQAAnwUAAAAA&#10;">
                      <v:fill on="f" focussize="0,0"/>
                      <v:stroke weight="1.75pt" color="#0D0D0D [3069]" miterlimit="8" joinstyle="miter"/>
                      <v:imagedata o:title=""/>
                      <o:lock v:ext="edit" aspectratio="f"/>
                    </v:line>
                  </w:pict>
                </mc:Fallback>
              </mc:AlternateContent>
            </w:r>
          </w:p>
        </w:tc>
        <w:tc>
          <w:tcPr>
            <w:tcW w:w="0" w:type="auto"/>
            <w:vAlign w:val="center"/>
          </w:tcPr>
          <w:p w14:paraId="5B65E95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3A2490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CA4823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194949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AD1E16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9E8695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4B41E2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D6AC13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2BF101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7456" behindDoc="0" locked="0" layoutInCell="1" allowOverlap="1">
                      <wp:simplePos x="0" y="0"/>
                      <wp:positionH relativeFrom="column">
                        <wp:posOffset>-3175</wp:posOffset>
                      </wp:positionH>
                      <wp:positionV relativeFrom="paragraph">
                        <wp:posOffset>147955</wp:posOffset>
                      </wp:positionV>
                      <wp:extent cx="788670" cy="8255"/>
                      <wp:effectExtent l="0" t="0" r="0" b="0"/>
                      <wp:wrapNone/>
                      <wp:docPr id="21" name="直接连接符 5"/>
                      <wp:cNvGraphicFramePr/>
                      <a:graphic xmlns:a="http://schemas.openxmlformats.org/drawingml/2006/main">
                        <a:graphicData uri="http://schemas.microsoft.com/office/word/2010/wordprocessingShape">
                          <wps:wsp>
                            <wps:cNvCnPr/>
                            <wps:spPr>
                              <a:xfrm flipV="1">
                                <a:off x="0" y="0"/>
                                <a:ext cx="788670" cy="825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flip:y;margin-left:-0.25pt;margin-top:11.65pt;height:0.65pt;width:62.1pt;z-index:251667456;mso-width-relative:page;mso-height-relative:page;" filled="f" stroked="t" coordsize="21600,21600" o:gfxdata="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yboBjTAAAABwEAAA8AAAAAAAAAAQAgAAAAIgAAAGRycy9k&#10;b3ducmV2LnhtbFBLAQIUABQAAAAIAIdO4kAUhcbDBwIAAPcDAAAOAAAAAAAAAAEAIAAAACIBAABk&#10;cnMvZTJvRG9jLnhtbFBLBQYAAAAABgAGAFkBAACbBQAAAAA=&#10;">
                      <v:fill on="f" focussize="0,0"/>
                      <v:stroke weight="1.75pt" color="#0D0D0D [3069]" miterlimit="8" joinstyle="miter"/>
                      <v:imagedata o:title=""/>
                      <o:lock v:ext="edit" aspectratio="f"/>
                    </v:line>
                  </w:pict>
                </mc:Fallback>
              </mc:AlternateContent>
            </w:r>
          </w:p>
        </w:tc>
        <w:tc>
          <w:tcPr>
            <w:tcW w:w="0" w:type="auto"/>
            <w:vAlign w:val="center"/>
          </w:tcPr>
          <w:p w14:paraId="6F7DB56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99940E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3A0A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shd w:val="clear" w:color="auto" w:fill="auto"/>
            <w:vAlign w:val="center"/>
          </w:tcPr>
          <w:p w14:paraId="103FD36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0" w:type="auto"/>
            <w:shd w:val="clear" w:color="auto" w:fill="auto"/>
            <w:vAlign w:val="center"/>
          </w:tcPr>
          <w:p w14:paraId="385736A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雨污管道</w:t>
            </w:r>
            <w:r>
              <w:rPr>
                <w:rFonts w:hint="default" w:ascii="Times New Roman" w:hAnsi="Times New Roman" w:eastAsia="宋体" w:cs="Times New Roman"/>
                <w:color w:val="auto"/>
                <w:sz w:val="18"/>
                <w:szCs w:val="18"/>
                <w:lang w:val="en-US"/>
              </w:rPr>
              <w:t>工程</w:t>
            </w:r>
          </w:p>
        </w:tc>
        <w:tc>
          <w:tcPr>
            <w:tcW w:w="0" w:type="auto"/>
            <w:vAlign w:val="center"/>
          </w:tcPr>
          <w:p w14:paraId="1EDEA75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5962F1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13BED62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3D2C32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0204D6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266D781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6432" behindDoc="0" locked="0" layoutInCell="1" allowOverlap="1">
                      <wp:simplePos x="0" y="0"/>
                      <wp:positionH relativeFrom="column">
                        <wp:posOffset>332740</wp:posOffset>
                      </wp:positionH>
                      <wp:positionV relativeFrom="paragraph">
                        <wp:posOffset>147320</wp:posOffset>
                      </wp:positionV>
                      <wp:extent cx="2838450" cy="10795"/>
                      <wp:effectExtent l="0" t="0" r="0" b="0"/>
                      <wp:wrapNone/>
                      <wp:docPr id="19" name="直接连接符 16"/>
                      <wp:cNvGraphicFramePr/>
                      <a:graphic xmlns:a="http://schemas.openxmlformats.org/drawingml/2006/main">
                        <a:graphicData uri="http://schemas.microsoft.com/office/word/2010/wordprocessingShape">
                          <wps:wsp>
                            <wps:cNvCnPr/>
                            <wps:spPr>
                              <a:xfrm flipV="1">
                                <a:off x="0" y="0"/>
                                <a:ext cx="2838450" cy="1079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6" o:spid="_x0000_s1026" o:spt="20" style="position:absolute;left:0pt;flip:y;margin-left:26.2pt;margin-top:11.6pt;height:0.85pt;width:223.5pt;z-index:251666432;mso-width-relative:page;mso-height-relative:page;" filled="f" stroked="t" coordsize="21600,21600" o:gfxdata="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pIlFR1AAAAAgBAAAPAAAAAAAAAAEAIAAAACIAAABk&#10;cnMvZG93bnJldi54bWxQSwECFAAUAAAACACHTuJA/+mtLwoCAAD6AwAADgAAAAAAAAABACAAAAAj&#10;AQAAZHJzL2Uyb0RvYy54bWxQSwUGAAAAAAYABgBZAQAAnwUAAAAA&#10;">
                      <v:fill on="f" focussize="0,0"/>
                      <v:stroke weight="1.75pt" color="#0D0D0D [3069]" miterlimit="8" joinstyle="miter"/>
                      <v:imagedata o:title=""/>
                      <o:lock v:ext="edit" aspectratio="f"/>
                    </v:line>
                  </w:pict>
                </mc:Fallback>
              </mc:AlternateContent>
            </w:r>
          </w:p>
        </w:tc>
        <w:tc>
          <w:tcPr>
            <w:tcW w:w="219" w:type="pct"/>
            <w:vAlign w:val="center"/>
          </w:tcPr>
          <w:p w14:paraId="64251AE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EBB660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F470CC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438CB1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231E70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FF752C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C0BA25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58FAF8F">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080FE29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1CF21A8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8B4212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51F91964">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FF3702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8480" behindDoc="0" locked="0" layoutInCell="1" allowOverlap="1">
                      <wp:simplePos x="0" y="0"/>
                      <wp:positionH relativeFrom="column">
                        <wp:posOffset>-2540</wp:posOffset>
                      </wp:positionH>
                      <wp:positionV relativeFrom="paragraph">
                        <wp:posOffset>164465</wp:posOffset>
                      </wp:positionV>
                      <wp:extent cx="781050" cy="8255"/>
                      <wp:effectExtent l="0" t="0" r="0" b="0"/>
                      <wp:wrapNone/>
                      <wp:docPr id="23" name="直接连接符 5"/>
                      <wp:cNvGraphicFramePr/>
                      <a:graphic xmlns:a="http://schemas.openxmlformats.org/drawingml/2006/main">
                        <a:graphicData uri="http://schemas.microsoft.com/office/word/2010/wordprocessingShape">
                          <wps:wsp>
                            <wps:cNvCnPr/>
                            <wps:spPr>
                              <a:xfrm flipV="1">
                                <a:off x="0" y="0"/>
                                <a:ext cx="781050" cy="825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flip:y;margin-left:-0.2pt;margin-top:12.95pt;height:0.65pt;width:61.5pt;z-index:251668480;mso-width-relative:page;mso-height-relative:page;" filled="f" stroked="t" coordsize="21600,21600" o:gfxdata="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2WCLtIAAAAHAQAADwAAAAAAAAABACAAAAAiAAAAZHJzL2Rv&#10;d25yZXYueG1sUEsBAhQAFAAAAAgAh07iQP9zLmIHAgAA9wMAAA4AAAAAAAAAAQAgAAAAIQEAAGRy&#10;cy9lMm9Eb2MueG1sUEsFBgAAAAAGAAYAWQEAAJoFAAAAAA==&#10;">
                      <v:fill on="f" focussize="0,0"/>
                      <v:stroke weight="1.75pt" color="#0D0D0D [3069]" miterlimit="8" joinstyle="miter"/>
                      <v:imagedata o:title=""/>
                      <o:lock v:ext="edit" aspectratio="f"/>
                    </v:line>
                  </w:pict>
                </mc:Fallback>
              </mc:AlternateContent>
            </w:r>
          </w:p>
        </w:tc>
        <w:tc>
          <w:tcPr>
            <w:tcW w:w="0" w:type="auto"/>
            <w:vAlign w:val="center"/>
          </w:tcPr>
          <w:p w14:paraId="3DB2DA7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2727523">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r w14:paraId="75DD4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shd w:val="clear" w:color="auto" w:fill="auto"/>
            <w:vAlign w:val="center"/>
          </w:tcPr>
          <w:p w14:paraId="695DCD6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Ⅲ</w:t>
            </w:r>
          </w:p>
        </w:tc>
        <w:tc>
          <w:tcPr>
            <w:tcW w:w="0" w:type="auto"/>
            <w:shd w:val="clear" w:color="auto" w:fill="auto"/>
            <w:vAlign w:val="center"/>
          </w:tcPr>
          <w:p w14:paraId="07A2992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rPr>
              <w:t>竣工清理</w:t>
            </w:r>
          </w:p>
        </w:tc>
        <w:tc>
          <w:tcPr>
            <w:tcW w:w="0" w:type="auto"/>
            <w:vAlign w:val="center"/>
          </w:tcPr>
          <w:p w14:paraId="7AABA9B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43F1E0F3">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4221B3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0E3410B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75B7A78B">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52C532B2">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219" w:type="pct"/>
            <w:vAlign w:val="center"/>
          </w:tcPr>
          <w:p w14:paraId="7A507151">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16AC93C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6B2B9785">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7E9E516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31FC9AC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6A1D180">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321AC5CC">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2D3338D">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3ECD9476">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182" w:type="pct"/>
            <w:vAlign w:val="center"/>
          </w:tcPr>
          <w:p w14:paraId="407447DE">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0919C738">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471D45F9">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2FF9640A">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c>
          <w:tcPr>
            <w:tcW w:w="0" w:type="auto"/>
            <w:vAlign w:val="center"/>
          </w:tcPr>
          <w:p w14:paraId="3C12B50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mc:AlternateContent>
                <mc:Choice Requires="wps">
                  <w:drawing>
                    <wp:anchor distT="0" distB="0" distL="114300" distR="114300" simplePos="0" relativeHeight="251669504" behindDoc="0" locked="0" layoutInCell="1" allowOverlap="1">
                      <wp:simplePos x="0" y="0"/>
                      <wp:positionH relativeFrom="column">
                        <wp:posOffset>21590</wp:posOffset>
                      </wp:positionH>
                      <wp:positionV relativeFrom="paragraph">
                        <wp:posOffset>123825</wp:posOffset>
                      </wp:positionV>
                      <wp:extent cx="816610" cy="15875"/>
                      <wp:effectExtent l="0" t="0" r="0" b="0"/>
                      <wp:wrapNone/>
                      <wp:docPr id="24" name="直接连接符 5"/>
                      <wp:cNvGraphicFramePr/>
                      <a:graphic xmlns:a="http://schemas.openxmlformats.org/drawingml/2006/main">
                        <a:graphicData uri="http://schemas.microsoft.com/office/word/2010/wordprocessingShape">
                          <wps:wsp>
                            <wps:cNvCnPr/>
                            <wps:spPr>
                              <a:xfrm flipV="1">
                                <a:off x="0" y="0"/>
                                <a:ext cx="816610" cy="15875"/>
                              </a:xfrm>
                              <a:prstGeom prst="line">
                                <a:avLst/>
                              </a:prstGeom>
                              <a:ln w="222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flip:y;margin-left:1.7pt;margin-top:9.75pt;height:1.25pt;width:64.3pt;z-index:251669504;mso-width-relative:page;mso-height-relative:page;" filled="f" stroked="t" coordsize="21600,21600" o:gfxdata="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&#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4qs0PUAAAABwEAAA8AAAAAAAAAAQAgAAAAIgAAAGRy&#10;cy9kb3ducmV2LnhtbFBLAQIUABQAAAAIAIdO4kDPXNeBCQIAAPgDAAAOAAAAAAAAAAEAIAAAACMB&#10;AABkcnMvZTJvRG9jLnhtbFBLBQYAAAAABgAGAFkBAACeBQAAAAA=&#10;">
                      <v:fill on="f" focussize="0,0"/>
                      <v:stroke weight="1.75pt" color="#0D0D0D [3069]" miterlimit="8" joinstyle="miter"/>
                      <v:imagedata o:title=""/>
                      <o:lock v:ext="edit" aspectratio="f"/>
                    </v:line>
                  </w:pict>
                </mc:Fallback>
              </mc:AlternateContent>
            </w:r>
          </w:p>
        </w:tc>
        <w:tc>
          <w:tcPr>
            <w:tcW w:w="0" w:type="auto"/>
            <w:vAlign w:val="center"/>
          </w:tcPr>
          <w:p w14:paraId="377E22E7">
            <w:pPr>
              <w:pStyle w:val="8"/>
              <w:snapToGrid w:val="0"/>
              <w:spacing w:after="0" w:line="400" w:lineRule="exact"/>
              <w:ind w:left="0" w:firstLine="0" w:firstLineChars="0"/>
              <w:jc w:val="center"/>
              <w:rPr>
                <w:rFonts w:hint="default" w:ascii="Times New Roman" w:hAnsi="Times New Roman" w:eastAsia="宋体" w:cs="Times New Roman"/>
                <w:color w:val="auto"/>
                <w:sz w:val="18"/>
                <w:szCs w:val="18"/>
                <w:lang w:val="en-US"/>
              </w:rPr>
            </w:pPr>
          </w:p>
        </w:tc>
      </w:tr>
    </w:tbl>
    <w:p w14:paraId="2ABAA2CC">
      <w:pPr>
        <w:rPr>
          <w:color w:val="auto"/>
        </w:rPr>
      </w:pPr>
    </w:p>
    <w:p w14:paraId="7114670A">
      <w:pPr>
        <w:rPr>
          <w:color w:val="auto"/>
        </w:rPr>
        <w:sectPr>
          <w:pgSz w:w="16838" w:h="11905" w:orient="landscape"/>
          <w:pgMar w:top="1417" w:right="1417" w:bottom="1417" w:left="1417" w:header="851" w:footer="1077" w:gutter="0"/>
          <w:cols w:space="720" w:num="1"/>
          <w:docGrid w:linePitch="312" w:charSpace="0"/>
        </w:sectPr>
      </w:pP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709"/>
      </w:tblGrid>
      <w:tr w14:paraId="01FA20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311" w:type="pct"/>
            <w:vAlign w:val="center"/>
          </w:tcPr>
          <w:p w14:paraId="5D512D1C">
            <w:pPr>
              <w:adjustRightInd w:val="0"/>
              <w:snapToGrid w:val="0"/>
              <w:jc w:val="center"/>
              <w:rPr>
                <w:color w:val="auto"/>
                <w:kern w:val="0"/>
                <w:szCs w:val="21"/>
                <w:highlight w:val="yellow"/>
              </w:rPr>
            </w:pPr>
            <w:r>
              <w:rPr>
                <w:color w:val="auto"/>
                <w:kern w:val="0"/>
                <w:sz w:val="24"/>
              </w:rPr>
              <w:t>施工方案</w:t>
            </w:r>
          </w:p>
        </w:tc>
        <w:tc>
          <w:tcPr>
            <w:tcW w:w="4688" w:type="pct"/>
            <w:vAlign w:val="center"/>
          </w:tcPr>
          <w:p w14:paraId="36349DFE">
            <w:pPr>
              <w:numPr>
                <w:ilvl w:val="0"/>
                <w:numId w:val="0"/>
              </w:numPr>
              <w:spacing w:line="360" w:lineRule="auto"/>
              <w:rPr>
                <w:rFonts w:hint="eastAsia"/>
                <w:b/>
                <w:bCs/>
                <w:color w:val="auto"/>
                <w:sz w:val="24"/>
                <w:lang w:val="en-US" w:eastAsia="zh-CN"/>
              </w:rPr>
            </w:pPr>
            <w:r>
              <w:rPr>
                <w:rFonts w:hint="eastAsia"/>
                <w:b/>
                <w:bCs/>
                <w:color w:val="auto"/>
                <w:sz w:val="24"/>
                <w:lang w:val="en-US" w:eastAsia="zh-CN"/>
              </w:rPr>
              <w:t>二、施工条件</w:t>
            </w:r>
          </w:p>
          <w:p w14:paraId="59329397">
            <w:pPr>
              <w:numPr>
                <w:ilvl w:val="0"/>
                <w:numId w:val="0"/>
              </w:numPr>
              <w:spacing w:line="360" w:lineRule="auto"/>
              <w:ind w:firstLine="482" w:firstLineChars="200"/>
              <w:rPr>
                <w:rFonts w:hint="default"/>
                <w:b/>
                <w:bCs/>
                <w:color w:val="auto"/>
                <w:sz w:val="24"/>
                <w:lang w:val="en-US" w:eastAsia="zh-CN"/>
              </w:rPr>
            </w:pPr>
            <w:r>
              <w:rPr>
                <w:rFonts w:hint="eastAsia"/>
                <w:b/>
                <w:bCs/>
                <w:color w:val="auto"/>
                <w:sz w:val="24"/>
                <w:lang w:val="en-US" w:eastAsia="zh-CN"/>
              </w:rPr>
              <w:t>1、施工交通</w:t>
            </w:r>
          </w:p>
          <w:p w14:paraId="37AABAFB">
            <w:pPr>
              <w:pStyle w:val="46"/>
              <w:rPr>
                <w:rFonts w:hint="eastAsia"/>
                <w:color w:val="auto"/>
                <w:kern w:val="0"/>
                <w:sz w:val="24"/>
              </w:rPr>
            </w:pPr>
            <w:r>
              <w:rPr>
                <w:rFonts w:hint="eastAsia"/>
                <w:color w:val="auto"/>
                <w:kern w:val="0"/>
                <w:sz w:val="24"/>
              </w:rPr>
              <w:t>本工程项目区位于</w:t>
            </w:r>
            <w:r>
              <w:rPr>
                <w:rFonts w:hint="eastAsia"/>
                <w:color w:val="auto"/>
                <w:kern w:val="0"/>
                <w:sz w:val="24"/>
                <w:lang w:eastAsia="zh-CN"/>
              </w:rPr>
              <w:t>淄博市经开区内</w:t>
            </w:r>
            <w:r>
              <w:rPr>
                <w:rFonts w:hint="eastAsia"/>
                <w:color w:val="auto"/>
                <w:kern w:val="0"/>
                <w:sz w:val="24"/>
              </w:rPr>
              <w:t>，工程沿线有</w:t>
            </w:r>
            <w:bookmarkStart w:id="2" w:name="OLE_LINK16"/>
            <w:r>
              <w:rPr>
                <w:rFonts w:hint="eastAsia"/>
                <w:color w:val="auto"/>
                <w:kern w:val="0"/>
                <w:sz w:val="24"/>
              </w:rPr>
              <w:t>柳泉路、南京路、华福大道、淄河大道</w:t>
            </w:r>
            <w:bookmarkEnd w:id="2"/>
            <w:r>
              <w:rPr>
                <w:rFonts w:hint="eastAsia"/>
                <w:color w:val="auto"/>
                <w:kern w:val="0"/>
                <w:sz w:val="24"/>
              </w:rPr>
              <w:t>等多条交通要道、城区主干道条件良好，可作为项目区的对外交通道路，工程物资、施工机械、设备、建筑材料等可通过以上道路直接运抵工地，施工区对外交通便利。</w:t>
            </w:r>
          </w:p>
          <w:p w14:paraId="639BEE60">
            <w:pPr>
              <w:numPr>
                <w:ilvl w:val="0"/>
                <w:numId w:val="4"/>
              </w:numPr>
              <w:spacing w:line="360" w:lineRule="auto"/>
              <w:ind w:firstLine="482" w:firstLineChars="200"/>
              <w:rPr>
                <w:rFonts w:hint="eastAsia"/>
                <w:b/>
                <w:bCs/>
                <w:color w:val="auto"/>
                <w:sz w:val="24"/>
                <w:lang w:val="en-US" w:eastAsia="zh-CN"/>
              </w:rPr>
            </w:pPr>
            <w:r>
              <w:rPr>
                <w:rFonts w:hint="eastAsia"/>
                <w:b/>
                <w:bCs/>
                <w:color w:val="auto"/>
                <w:sz w:val="24"/>
                <w:lang w:val="en-US" w:eastAsia="zh-CN"/>
              </w:rPr>
              <w:t>施工供水</w:t>
            </w:r>
          </w:p>
          <w:p w14:paraId="20664646">
            <w:pPr>
              <w:spacing w:line="360" w:lineRule="auto"/>
              <w:ind w:firstLine="516" w:firstLineChars="200"/>
              <w:rPr>
                <w:color w:val="auto"/>
                <w:sz w:val="24"/>
              </w:rPr>
            </w:pPr>
            <w:r>
              <w:rPr>
                <w:color w:val="auto"/>
                <w:spacing w:val="9"/>
                <w:sz w:val="24"/>
              </w:rPr>
              <w:t>本工程施工供水及生活用水以附近村庄、工厂接运自来水水方式解决；项目运营期不配备工作人员，无需供水。</w:t>
            </w:r>
          </w:p>
          <w:p w14:paraId="172A40B8">
            <w:pPr>
              <w:numPr>
                <w:ilvl w:val="0"/>
                <w:numId w:val="4"/>
              </w:numPr>
              <w:spacing w:line="360" w:lineRule="auto"/>
              <w:ind w:firstLine="482" w:firstLineChars="200"/>
              <w:rPr>
                <w:rFonts w:hint="default"/>
                <w:b/>
                <w:bCs/>
                <w:color w:val="auto"/>
                <w:sz w:val="24"/>
                <w:lang w:val="en-US" w:eastAsia="zh-CN"/>
              </w:rPr>
            </w:pPr>
            <w:r>
              <w:rPr>
                <w:rFonts w:hint="eastAsia"/>
                <w:b/>
                <w:bCs/>
                <w:color w:val="auto"/>
                <w:sz w:val="24"/>
                <w:lang w:val="en-US" w:eastAsia="zh-CN"/>
              </w:rPr>
              <w:t>施工供电</w:t>
            </w:r>
          </w:p>
          <w:p w14:paraId="6B5F0DC3">
            <w:pPr>
              <w:pStyle w:val="19"/>
              <w:ind w:left="0" w:leftChars="0" w:firstLine="516" w:firstLineChars="200"/>
              <w:rPr>
                <w:rFonts w:hint="default"/>
                <w:color w:val="auto"/>
                <w:lang w:val="en-US" w:eastAsia="zh-CN"/>
              </w:rPr>
            </w:pPr>
            <w:r>
              <w:rPr>
                <w:color w:val="auto"/>
                <w:spacing w:val="9"/>
                <w:sz w:val="24"/>
              </w:rPr>
              <w:t>施工期临时用电由施工区域的市政电网供给。</w:t>
            </w:r>
          </w:p>
          <w:p w14:paraId="544A2699">
            <w:pPr>
              <w:numPr>
                <w:ilvl w:val="0"/>
                <w:numId w:val="4"/>
              </w:numPr>
              <w:spacing w:line="360" w:lineRule="auto"/>
              <w:ind w:firstLine="482" w:firstLineChars="200"/>
              <w:rPr>
                <w:rFonts w:hint="default"/>
                <w:b/>
                <w:bCs/>
                <w:color w:val="auto"/>
                <w:sz w:val="24"/>
                <w:lang w:val="en-US" w:eastAsia="zh-CN"/>
              </w:rPr>
            </w:pPr>
            <w:r>
              <w:rPr>
                <w:rFonts w:hint="eastAsia"/>
                <w:b/>
                <w:bCs/>
                <w:color w:val="auto"/>
                <w:sz w:val="24"/>
                <w:lang w:val="en-US" w:eastAsia="zh-CN"/>
              </w:rPr>
              <w:t>施工材料供应</w:t>
            </w:r>
          </w:p>
          <w:p w14:paraId="4ED31848">
            <w:pPr>
              <w:spacing w:line="360" w:lineRule="auto"/>
              <w:ind w:firstLine="419"/>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eastAsia="zh-CN"/>
              </w:rPr>
              <w:t>施工生产、生活物资可到就近区、乡镇、街道采购。水泥、钢材、木材、柴油和汽油均在</w:t>
            </w:r>
            <w:r>
              <w:rPr>
                <w:rFonts w:hint="eastAsia" w:ascii="Times New Roman" w:hAnsi="Times New Roman" w:eastAsia="宋体" w:cs="Times New Roman"/>
                <w:bCs/>
                <w:color w:val="auto"/>
                <w:sz w:val="24"/>
                <w:lang w:eastAsia="zh-CN"/>
              </w:rPr>
              <w:t>淄博市内</w:t>
            </w:r>
            <w:r>
              <w:rPr>
                <w:rFonts w:hint="default" w:ascii="Times New Roman" w:hAnsi="Times New Roman" w:eastAsia="宋体" w:cs="Times New Roman"/>
                <w:bCs/>
                <w:color w:val="auto"/>
                <w:sz w:val="24"/>
                <w:lang w:eastAsia="zh-CN"/>
              </w:rPr>
              <w:t>购买，汽车运输；所需块石、碎石、粗砂等骨料，可从青州等地购买，商品混凝土可就近自</w:t>
            </w:r>
            <w:r>
              <w:rPr>
                <w:rFonts w:hint="eastAsia" w:ascii="Times New Roman" w:hAnsi="Times New Roman" w:eastAsia="宋体" w:cs="Times New Roman"/>
                <w:bCs/>
                <w:color w:val="auto"/>
                <w:sz w:val="24"/>
                <w:lang w:eastAsia="zh-CN"/>
              </w:rPr>
              <w:t>淄博市内</w:t>
            </w:r>
            <w:r>
              <w:rPr>
                <w:rFonts w:hint="default" w:ascii="Times New Roman" w:hAnsi="Times New Roman" w:eastAsia="宋体" w:cs="Times New Roman"/>
                <w:bCs/>
                <w:color w:val="auto"/>
                <w:sz w:val="24"/>
                <w:lang w:eastAsia="zh-CN"/>
              </w:rPr>
              <w:t>购买，其他建筑材料可直接自当地建材批发市场购买。</w:t>
            </w:r>
          </w:p>
          <w:p w14:paraId="649B8C5F">
            <w:pPr>
              <w:numPr>
                <w:ilvl w:val="0"/>
                <w:numId w:val="0"/>
              </w:numPr>
              <w:spacing w:line="360" w:lineRule="auto"/>
              <w:ind w:firstLine="480" w:firstLineChars="200"/>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eastAsia="zh-CN"/>
              </w:rPr>
              <w:t>工程施工所需施工机械设备及其他材料，均可经以上交通道路运至工程区附近，再结合施工期间修筑的场内临时施工道路直接运至施工现场。</w:t>
            </w:r>
          </w:p>
          <w:p w14:paraId="17E5E9F2">
            <w:pPr>
              <w:numPr>
                <w:ilvl w:val="0"/>
                <w:numId w:val="0"/>
              </w:numPr>
              <w:spacing w:line="360" w:lineRule="auto"/>
              <w:rPr>
                <w:rFonts w:hint="eastAsia"/>
                <w:b/>
                <w:bCs/>
                <w:color w:val="auto"/>
                <w:sz w:val="24"/>
                <w:lang w:val="en-US" w:eastAsia="zh-CN"/>
              </w:rPr>
            </w:pPr>
            <w:r>
              <w:rPr>
                <w:rFonts w:hint="eastAsia"/>
                <w:b/>
                <w:bCs/>
                <w:color w:val="auto"/>
                <w:sz w:val="24"/>
                <w:lang w:val="en-US" w:eastAsia="zh-CN"/>
              </w:rPr>
              <w:t>三、施工导流</w:t>
            </w:r>
          </w:p>
          <w:p w14:paraId="56409EFF">
            <w:pPr>
              <w:widowControl/>
              <w:spacing w:line="360" w:lineRule="auto"/>
              <w:ind w:firstLine="482" w:firstLineChars="200"/>
              <w:jc w:val="left"/>
              <w:rPr>
                <w:color w:val="auto"/>
                <w:kern w:val="0"/>
                <w:sz w:val="24"/>
                <w:lang w:bidi="ar"/>
              </w:rPr>
            </w:pPr>
            <w:r>
              <w:rPr>
                <w:b/>
                <w:bCs/>
                <w:color w:val="auto"/>
                <w:kern w:val="0"/>
                <w:sz w:val="24"/>
                <w:lang w:bidi="ar"/>
              </w:rPr>
              <w:t>1、导流标准</w:t>
            </w:r>
          </w:p>
          <w:p w14:paraId="08208910">
            <w:pPr>
              <w:widowControl/>
              <w:spacing w:line="360" w:lineRule="auto"/>
              <w:ind w:firstLine="480" w:firstLineChars="200"/>
              <w:jc w:val="left"/>
              <w:rPr>
                <w:color w:val="auto"/>
                <w:kern w:val="0"/>
                <w:sz w:val="24"/>
                <w:lang w:bidi="ar"/>
              </w:rPr>
            </w:pPr>
            <w:r>
              <w:rPr>
                <w:color w:val="auto"/>
                <w:kern w:val="0"/>
                <w:sz w:val="24"/>
                <w:lang w:bidi="ar"/>
              </w:rPr>
              <w:t>根据《水利水电工程施工组织设计规范》</w:t>
            </w:r>
            <w:r>
              <w:rPr>
                <w:rFonts w:hint="eastAsia"/>
                <w:color w:val="auto"/>
                <w:kern w:val="0"/>
                <w:sz w:val="24"/>
                <w:lang w:bidi="ar"/>
              </w:rPr>
              <w:t>(</w:t>
            </w:r>
            <w:r>
              <w:rPr>
                <w:color w:val="auto"/>
                <w:kern w:val="0"/>
                <w:sz w:val="24"/>
                <w:lang w:bidi="ar"/>
              </w:rPr>
              <w:t>SL</w:t>
            </w:r>
            <w:r>
              <w:rPr>
                <w:rFonts w:hint="eastAsia"/>
                <w:color w:val="auto"/>
                <w:kern w:val="0"/>
                <w:sz w:val="24"/>
                <w:lang w:bidi="ar"/>
              </w:rPr>
              <w:t xml:space="preserve"> </w:t>
            </w:r>
            <w:r>
              <w:rPr>
                <w:color w:val="auto"/>
                <w:kern w:val="0"/>
                <w:sz w:val="24"/>
                <w:lang w:bidi="ar"/>
              </w:rPr>
              <w:t>303-2017</w:t>
            </w:r>
            <w:r>
              <w:rPr>
                <w:rFonts w:hint="eastAsia"/>
                <w:color w:val="auto"/>
                <w:kern w:val="0"/>
                <w:sz w:val="24"/>
                <w:lang w:bidi="ar"/>
              </w:rPr>
              <w:t>)</w:t>
            </w:r>
            <w:r>
              <w:rPr>
                <w:color w:val="auto"/>
                <w:kern w:val="0"/>
                <w:sz w:val="24"/>
                <w:lang w:bidi="ar"/>
              </w:rPr>
              <w:t>等的规定，本工程施工期洪水标准采用非汛期5年一遇。</w:t>
            </w:r>
          </w:p>
          <w:p w14:paraId="6336D7EB">
            <w:pPr>
              <w:widowControl/>
              <w:spacing w:line="360" w:lineRule="auto"/>
              <w:ind w:firstLine="482" w:firstLineChars="200"/>
              <w:jc w:val="left"/>
              <w:rPr>
                <w:b/>
                <w:bCs/>
                <w:color w:val="auto"/>
                <w:kern w:val="0"/>
                <w:sz w:val="24"/>
                <w:lang w:bidi="ar"/>
              </w:rPr>
            </w:pPr>
            <w:r>
              <w:rPr>
                <w:b/>
                <w:bCs/>
                <w:color w:val="auto"/>
                <w:kern w:val="0"/>
                <w:sz w:val="24"/>
                <w:lang w:bidi="ar"/>
              </w:rPr>
              <w:t>2、导流时段</w:t>
            </w:r>
          </w:p>
          <w:p w14:paraId="4A06398C">
            <w:pPr>
              <w:widowControl/>
              <w:spacing w:line="360" w:lineRule="auto"/>
              <w:ind w:firstLine="480" w:firstLineChars="200"/>
              <w:jc w:val="left"/>
              <w:rPr>
                <w:color w:val="auto"/>
                <w:kern w:val="0"/>
                <w:sz w:val="24"/>
                <w:lang w:bidi="ar"/>
              </w:rPr>
            </w:pPr>
            <w:r>
              <w:rPr>
                <w:color w:val="auto"/>
                <w:kern w:val="0"/>
                <w:sz w:val="24"/>
                <w:lang w:bidi="ar"/>
              </w:rPr>
              <w:t>河道及</w:t>
            </w:r>
            <w:r>
              <w:rPr>
                <w:rFonts w:hint="eastAsia"/>
                <w:color w:val="auto"/>
                <w:kern w:val="0"/>
                <w:sz w:val="24"/>
                <w:lang w:eastAsia="zh-CN" w:bidi="ar"/>
              </w:rPr>
              <w:t>排涝沟</w:t>
            </w:r>
            <w:r>
              <w:rPr>
                <w:color w:val="auto"/>
                <w:kern w:val="0"/>
                <w:sz w:val="24"/>
                <w:lang w:bidi="ar"/>
              </w:rPr>
              <w:t>利用非汛期施工，施工导流时段为10月至次年5月。</w:t>
            </w:r>
          </w:p>
          <w:p w14:paraId="6BDA8E44">
            <w:pPr>
              <w:widowControl/>
              <w:spacing w:line="360" w:lineRule="auto"/>
              <w:ind w:firstLine="482" w:firstLineChars="200"/>
              <w:jc w:val="left"/>
              <w:rPr>
                <w:b/>
                <w:bCs/>
                <w:color w:val="auto"/>
                <w:kern w:val="0"/>
                <w:sz w:val="24"/>
                <w:lang w:bidi="ar"/>
              </w:rPr>
            </w:pPr>
            <w:r>
              <w:rPr>
                <w:b/>
                <w:bCs/>
                <w:color w:val="auto"/>
                <w:kern w:val="0"/>
                <w:sz w:val="24"/>
                <w:lang w:bidi="ar"/>
              </w:rPr>
              <w:t>3、</w:t>
            </w:r>
            <w:r>
              <w:rPr>
                <w:rFonts w:hint="eastAsia"/>
                <w:b/>
                <w:bCs/>
                <w:color w:val="auto"/>
                <w:kern w:val="0"/>
                <w:sz w:val="24"/>
                <w:lang w:bidi="ar"/>
              </w:rPr>
              <w:t>导流方案</w:t>
            </w:r>
          </w:p>
          <w:p w14:paraId="3A90C1D0">
            <w:pPr>
              <w:pStyle w:val="54"/>
              <w:rPr>
                <w:color w:val="auto"/>
                <w:lang w:bidi="ar"/>
              </w:rPr>
            </w:pPr>
            <w:r>
              <w:rPr>
                <w:color w:val="auto"/>
                <w:lang w:bidi="ar"/>
              </w:rPr>
              <w:t>（1）河道</w:t>
            </w:r>
            <w:r>
              <w:rPr>
                <w:rFonts w:hint="eastAsia"/>
                <w:color w:val="auto"/>
                <w:lang w:eastAsia="zh-CN" w:bidi="ar"/>
              </w:rPr>
              <w:t>及排涝沟</w:t>
            </w:r>
            <w:r>
              <w:rPr>
                <w:color w:val="auto"/>
                <w:lang w:bidi="ar"/>
              </w:rPr>
              <w:t>的清淤、护砌及建筑物工程：施工前，在治理段起点、终点及支流进水口门处关闭水闸或设置挡水围堰，各施工区段分区排明水后通过沥水沟排出渗水及可能的降水汇流，</w:t>
            </w:r>
            <w:bookmarkStart w:id="3" w:name="OLE_LINK1"/>
            <w:r>
              <w:rPr>
                <w:color w:val="auto"/>
                <w:lang w:bidi="ar"/>
              </w:rPr>
              <w:t>创造作业施工区。</w:t>
            </w:r>
            <w:bookmarkEnd w:id="3"/>
          </w:p>
          <w:p w14:paraId="5E680CD2">
            <w:pPr>
              <w:pStyle w:val="54"/>
              <w:rPr>
                <w:color w:val="auto"/>
                <w:lang w:bidi="ar"/>
              </w:rPr>
            </w:pPr>
            <w:r>
              <w:rPr>
                <w:color w:val="auto"/>
                <w:lang w:bidi="ar"/>
              </w:rPr>
              <w:t>（2）不具备河道及渠道相互导流的建筑物：</w:t>
            </w:r>
          </w:p>
          <w:p w14:paraId="58C0C056">
            <w:pPr>
              <w:pStyle w:val="54"/>
              <w:rPr>
                <w:rFonts w:hint="default" w:ascii="Times New Roman" w:hAnsi="Times New Roman" w:cs="Times New Roman"/>
                <w:color w:val="auto"/>
                <w:lang w:bidi="ar"/>
              </w:rPr>
            </w:pPr>
            <w:r>
              <w:rPr>
                <w:rFonts w:hint="default" w:ascii="Times New Roman" w:hAnsi="Times New Roman" w:cs="Times New Roman"/>
                <w:color w:val="auto"/>
                <w:lang w:bidi="ar"/>
              </w:rPr>
              <w:t>①排涝工程：由于建筑较小，采用围堰一次性拦段河床的导流方案。</w:t>
            </w:r>
          </w:p>
          <w:p w14:paraId="759F7A3B">
            <w:pPr>
              <w:pStyle w:val="54"/>
              <w:rPr>
                <w:rFonts w:hint="default" w:ascii="Times New Roman" w:hAnsi="Times New Roman" w:cs="Times New Roman"/>
                <w:color w:val="auto"/>
                <w:lang w:bidi="ar"/>
              </w:rPr>
            </w:pPr>
            <w:r>
              <w:rPr>
                <w:rFonts w:hint="default" w:ascii="Times New Roman" w:hAnsi="Times New Roman" w:cs="Times New Roman"/>
                <w:color w:val="auto"/>
                <w:lang w:bidi="ar"/>
              </w:rPr>
              <w:t>②灌注桩基础的生产桥，</w:t>
            </w:r>
            <w:r>
              <w:rPr>
                <w:rFonts w:hint="eastAsia" w:cs="Times New Roman"/>
                <w:color w:val="auto"/>
                <w:lang w:eastAsia="zh-CN" w:bidi="ar"/>
              </w:rPr>
              <w:t>本项目</w:t>
            </w:r>
            <w:r>
              <w:rPr>
                <w:rFonts w:hint="default" w:ascii="Times New Roman" w:hAnsi="Times New Roman" w:cs="Times New Roman"/>
                <w:color w:val="auto"/>
                <w:lang w:bidi="ar"/>
              </w:rPr>
              <w:t>导流流量较小，采用施工平台一次性拦段河床，预埋砼管导流方案。</w:t>
            </w:r>
          </w:p>
          <w:p w14:paraId="6C19DA5C">
            <w:pPr>
              <w:numPr>
                <w:ilvl w:val="0"/>
                <w:numId w:val="0"/>
              </w:numPr>
              <w:spacing w:line="360" w:lineRule="auto"/>
              <w:rPr>
                <w:rFonts w:hint="eastAsia"/>
                <w:b/>
                <w:bCs/>
                <w:color w:val="auto"/>
                <w:sz w:val="24"/>
                <w:lang w:val="en-US" w:eastAsia="zh-CN"/>
              </w:rPr>
            </w:pPr>
            <w:r>
              <w:rPr>
                <w:rFonts w:hint="eastAsia"/>
                <w:b/>
                <w:bCs/>
                <w:color w:val="auto"/>
                <w:sz w:val="24"/>
                <w:lang w:val="en-US" w:eastAsia="zh-CN"/>
              </w:rPr>
              <w:t>四、主体工程施工-河道清淤、河道护坡</w:t>
            </w:r>
          </w:p>
          <w:p w14:paraId="46F90F8D">
            <w:pPr>
              <w:widowControl/>
              <w:spacing w:line="360" w:lineRule="auto"/>
              <w:ind w:firstLine="480" w:firstLineChars="200"/>
              <w:jc w:val="left"/>
              <w:rPr>
                <w:color w:val="auto"/>
                <w:kern w:val="0"/>
                <w:sz w:val="24"/>
              </w:rPr>
            </w:pPr>
            <w:r>
              <w:rPr>
                <w:rFonts w:hint="eastAsia"/>
                <w:color w:val="auto"/>
                <w:kern w:val="0"/>
                <w:sz w:val="24"/>
                <w:lang w:bidi="ar"/>
              </w:rPr>
              <w:t>项目主体工程为河道治理，河道治理主要包括河岸清理、河床清理、河岸护堤。</w:t>
            </w:r>
          </w:p>
          <w:p w14:paraId="6169A3C1">
            <w:pPr>
              <w:widowControl/>
              <w:spacing w:line="360" w:lineRule="auto"/>
              <w:ind w:firstLine="480" w:firstLineChars="200"/>
              <w:jc w:val="left"/>
              <w:rPr>
                <w:color w:val="auto"/>
                <w:kern w:val="0"/>
                <w:sz w:val="24"/>
              </w:rPr>
            </w:pPr>
            <w:r>
              <w:rPr>
                <w:rFonts w:hint="eastAsia"/>
                <w:color w:val="auto"/>
                <w:kern w:val="0"/>
                <w:sz w:val="24"/>
                <w:lang w:val="en-US" w:eastAsia="zh-CN"/>
              </w:rPr>
              <w:t>1、</w:t>
            </w:r>
            <w:r>
              <w:rPr>
                <w:rFonts w:hint="eastAsia"/>
                <w:color w:val="auto"/>
                <w:kern w:val="0"/>
                <w:sz w:val="24"/>
              </w:rPr>
              <w:t>河岸清理：施工前导流，</w:t>
            </w:r>
            <w:r>
              <w:rPr>
                <w:color w:val="auto"/>
                <w:kern w:val="0"/>
                <w:sz w:val="24"/>
                <w:lang w:bidi="ar"/>
              </w:rPr>
              <w:t>创造干作业施工区</w:t>
            </w:r>
            <w:r>
              <w:rPr>
                <w:rFonts w:hint="eastAsia"/>
                <w:color w:val="auto"/>
                <w:kern w:val="0"/>
                <w:sz w:val="24"/>
                <w:lang w:bidi="ar"/>
              </w:rPr>
              <w:t>，</w:t>
            </w:r>
            <w:r>
              <w:rPr>
                <w:rFonts w:hint="eastAsia"/>
                <w:color w:val="auto"/>
                <w:kern w:val="0"/>
                <w:sz w:val="24"/>
              </w:rPr>
              <w:t>河沟疏挖主要就是利用机械设备对河岸杂草、边坡等进行清理</w:t>
            </w:r>
            <w:r>
              <w:rPr>
                <w:rFonts w:hint="eastAsia"/>
                <w:color w:val="auto"/>
                <w:kern w:val="0"/>
                <w:sz w:val="24"/>
                <w:highlight w:val="none"/>
              </w:rPr>
              <w:t>；</w:t>
            </w:r>
          </w:p>
          <w:p w14:paraId="3478C830">
            <w:pPr>
              <w:widowControl/>
              <w:spacing w:line="360" w:lineRule="auto"/>
              <w:ind w:firstLine="480" w:firstLineChars="200"/>
              <w:jc w:val="left"/>
              <w:rPr>
                <w:color w:val="auto"/>
                <w:kern w:val="0"/>
                <w:sz w:val="24"/>
              </w:rPr>
            </w:pPr>
            <w:r>
              <w:rPr>
                <w:rFonts w:hint="eastAsia"/>
                <w:color w:val="auto"/>
                <w:kern w:val="0"/>
                <w:sz w:val="24"/>
                <w:lang w:val="en-US" w:eastAsia="zh-CN"/>
              </w:rPr>
              <w:t>2、</w:t>
            </w:r>
            <w:r>
              <w:rPr>
                <w:rFonts w:hint="eastAsia"/>
                <w:color w:val="auto"/>
                <w:kern w:val="0"/>
                <w:sz w:val="24"/>
              </w:rPr>
              <w:t>河床清理：利用机械设备，按照设计的清淤长度、底宽、边坡比进行清理，清理产生的淤泥，沿岸临时堆放晾晒后，</w:t>
            </w:r>
            <w:r>
              <w:rPr>
                <w:rFonts w:hint="eastAsia"/>
                <w:color w:val="auto"/>
                <w:kern w:val="0"/>
                <w:sz w:val="24"/>
                <w:highlight w:val="none"/>
              </w:rPr>
              <w:t>优先用于</w:t>
            </w:r>
            <w:r>
              <w:rPr>
                <w:rFonts w:hint="eastAsia"/>
                <w:color w:val="auto"/>
                <w:kern w:val="0"/>
                <w:sz w:val="24"/>
                <w:highlight w:val="none"/>
                <w:lang w:val="en-US" w:eastAsia="zh-CN"/>
              </w:rPr>
              <w:t>修路、</w:t>
            </w:r>
            <w:r>
              <w:rPr>
                <w:rFonts w:hint="eastAsia"/>
                <w:color w:val="auto"/>
                <w:kern w:val="0"/>
                <w:sz w:val="24"/>
                <w:highlight w:val="none"/>
              </w:rPr>
              <w:t>园林、农田土壤的改良和土地复垦，其余可以用于区域周边低洼处填平、建筑材料等无害化、减量化综合利用。</w:t>
            </w:r>
          </w:p>
          <w:p w14:paraId="62516F5C">
            <w:pPr>
              <w:widowControl/>
              <w:spacing w:line="360" w:lineRule="auto"/>
              <w:ind w:firstLine="480" w:firstLineChars="200"/>
              <w:jc w:val="left"/>
              <w:rPr>
                <w:rFonts w:hint="eastAsia"/>
                <w:color w:val="auto"/>
                <w:kern w:val="0"/>
                <w:sz w:val="24"/>
              </w:rPr>
            </w:pPr>
            <w:r>
              <w:rPr>
                <w:rFonts w:hint="eastAsia" w:cs="Times New Roman"/>
                <w:bCs w:val="0"/>
                <w:color w:val="auto"/>
                <w:kern w:val="0"/>
                <w:sz w:val="24"/>
                <w:szCs w:val="24"/>
                <w:lang w:val="en-US" w:eastAsia="zh-CN" w:bidi="ar-SA"/>
              </w:rPr>
              <w:t>3、</w:t>
            </w:r>
            <w:r>
              <w:rPr>
                <w:rFonts w:hint="eastAsia" w:ascii="Times New Roman" w:hAnsi="Times New Roman" w:eastAsia="宋体" w:cs="Times New Roman"/>
                <w:bCs w:val="0"/>
                <w:color w:val="auto"/>
                <w:kern w:val="0"/>
                <w:sz w:val="24"/>
                <w:szCs w:val="24"/>
                <w:lang w:val="en-US" w:eastAsia="zh-CN" w:bidi="ar-SA"/>
              </w:rPr>
              <w:t>河</w:t>
            </w:r>
            <w:r>
              <w:rPr>
                <w:rFonts w:hint="eastAsia"/>
                <w:color w:val="auto"/>
                <w:kern w:val="0"/>
                <w:sz w:val="24"/>
                <w:lang w:val="en-US" w:eastAsia="zh-CN"/>
              </w:rPr>
              <w:t>道护坡：</w:t>
            </w:r>
            <w:r>
              <w:rPr>
                <w:rFonts w:hint="eastAsia"/>
                <w:color w:val="auto"/>
                <w:kern w:val="0"/>
                <w:sz w:val="24"/>
              </w:rPr>
              <w:t>按设计要求对重点河沟的沿岸，进行土石方河岸护堤建设，减少水土流失。</w:t>
            </w:r>
          </w:p>
          <w:p w14:paraId="3ECC9C30">
            <w:pPr>
              <w:pStyle w:val="54"/>
              <w:rPr>
                <w:rFonts w:hint="eastAsia"/>
                <w:color w:val="auto"/>
                <w:kern w:val="0"/>
              </w:rPr>
            </w:pPr>
            <w:r>
              <w:rPr>
                <w:rFonts w:hint="eastAsia"/>
                <w:color w:val="auto"/>
                <w:kern w:val="0"/>
              </w:rPr>
              <w:t>施工工艺流程图见下图：</w:t>
            </w:r>
          </w:p>
          <w:p w14:paraId="6962339E">
            <w:pPr>
              <w:widowControl/>
              <w:spacing w:line="360" w:lineRule="auto"/>
              <w:ind w:firstLine="420" w:firstLineChars="200"/>
              <w:jc w:val="left"/>
              <w:rPr>
                <w:color w:val="auto"/>
                <w:kern w:val="0"/>
                <w:sz w:val="24"/>
                <w:lang w:bidi="ar"/>
              </w:rPr>
            </w:pPr>
            <w:r>
              <w:rPr>
                <w:color w:val="auto"/>
              </w:rPr>
              <w:drawing>
                <wp:inline distT="0" distB="0" distL="0" distR="0">
                  <wp:extent cx="4941570" cy="791210"/>
                  <wp:effectExtent l="0" t="0" r="11430" b="8890"/>
                  <wp:docPr id="1010095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95580" name="图片 1"/>
                          <pic:cNvPicPr>
                            <a:picLocks noChangeAspect="1"/>
                          </pic:cNvPicPr>
                        </pic:nvPicPr>
                        <pic:blipFill>
                          <a:blip r:embed="rId14"/>
                          <a:stretch>
                            <a:fillRect/>
                          </a:stretch>
                        </pic:blipFill>
                        <pic:spPr>
                          <a:xfrm>
                            <a:off x="0" y="0"/>
                            <a:ext cx="4941651" cy="791802"/>
                          </a:xfrm>
                          <a:prstGeom prst="rect">
                            <a:avLst/>
                          </a:prstGeom>
                        </pic:spPr>
                      </pic:pic>
                    </a:graphicData>
                  </a:graphic>
                </wp:inline>
              </w:drawing>
            </w:r>
          </w:p>
          <w:p w14:paraId="5D65F31E">
            <w:pPr>
              <w:adjustRightInd w:val="0"/>
              <w:snapToGrid w:val="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图2-2  施工工艺图</w:t>
            </w:r>
          </w:p>
          <w:p w14:paraId="167F495D">
            <w:pPr>
              <w:widowControl/>
              <w:spacing w:line="360" w:lineRule="auto"/>
              <w:ind w:firstLine="480" w:firstLineChars="200"/>
              <w:jc w:val="left"/>
              <w:rPr>
                <w:rFonts w:hint="eastAsia" w:ascii="Times New Roman" w:hAnsi="Times New Roman" w:eastAsia="宋体" w:cs="Times New Roman"/>
                <w:bCs w:val="0"/>
                <w:color w:val="auto"/>
                <w:kern w:val="0"/>
                <w:sz w:val="24"/>
                <w:szCs w:val="24"/>
                <w:lang w:val="en-US" w:eastAsia="zh-CN" w:bidi="ar-SA"/>
              </w:rPr>
            </w:pPr>
            <w:r>
              <w:rPr>
                <w:rFonts w:hint="eastAsia"/>
                <w:color w:val="auto"/>
                <w:kern w:val="0"/>
                <w:sz w:val="24"/>
                <w:lang w:val="en-US" w:eastAsia="zh-CN"/>
              </w:rPr>
              <w:t>本项目主要采用连锁式生态护坡</w:t>
            </w:r>
            <w:r>
              <w:rPr>
                <w:rFonts w:hint="eastAsia" w:ascii="Times New Roman" w:hAnsi="Times New Roman" w:eastAsia="宋体" w:cs="Times New Roman"/>
                <w:bCs w:val="0"/>
                <w:color w:val="auto"/>
                <w:kern w:val="0"/>
                <w:sz w:val="24"/>
                <w:szCs w:val="24"/>
                <w:lang w:val="en-US" w:eastAsia="zh-CN" w:bidi="ar-SA"/>
              </w:rPr>
              <w:t>，坡度较陡的位置采用浆砌块石护砌，河道两岸空间受限的位置采用钢筋混凝土矩形断面。河道护坡</w:t>
            </w:r>
            <w:r>
              <w:rPr>
                <w:rFonts w:hint="eastAsia" w:cs="Times New Roman"/>
                <w:bCs w:val="0"/>
                <w:color w:val="auto"/>
                <w:kern w:val="0"/>
                <w:sz w:val="24"/>
                <w:szCs w:val="24"/>
                <w:lang w:val="en-US" w:eastAsia="zh-CN" w:bidi="ar-SA"/>
              </w:rPr>
              <w:t>型号</w:t>
            </w:r>
            <w:r>
              <w:rPr>
                <w:rFonts w:hint="eastAsia" w:ascii="Times New Roman" w:hAnsi="Times New Roman" w:eastAsia="宋体" w:cs="Times New Roman"/>
                <w:bCs w:val="0"/>
                <w:color w:val="auto"/>
                <w:kern w:val="0"/>
                <w:sz w:val="24"/>
                <w:szCs w:val="24"/>
                <w:lang w:val="en-US" w:eastAsia="zh-CN" w:bidi="ar-SA"/>
              </w:rPr>
              <w:t>比选方案：</w:t>
            </w:r>
          </w:p>
          <w:p w14:paraId="299BACEF">
            <w:pPr>
              <w:pStyle w:val="19"/>
              <w:spacing w:after="0"/>
              <w:ind w:firstLine="2741" w:firstLineChars="1300"/>
              <w:rPr>
                <w:rFonts w:hint="eastAsia"/>
                <w:b/>
                <w:bCs w:val="0"/>
                <w:color w:val="auto"/>
                <w:sz w:val="21"/>
                <w:szCs w:val="21"/>
                <w:lang w:val="en-US" w:eastAsia="zh-CN" w:bidi="ar"/>
              </w:rPr>
            </w:pPr>
            <w:r>
              <w:rPr>
                <w:b/>
                <w:bCs w:val="0"/>
                <w:color w:val="auto"/>
                <w:sz w:val="21"/>
                <w:szCs w:val="21"/>
                <w:lang w:bidi="ar"/>
              </w:rPr>
              <w:t>表2-</w:t>
            </w:r>
            <w:r>
              <w:rPr>
                <w:rFonts w:hint="eastAsia"/>
                <w:b/>
                <w:bCs w:val="0"/>
                <w:color w:val="auto"/>
                <w:sz w:val="21"/>
                <w:szCs w:val="21"/>
                <w:lang w:val="en-US" w:eastAsia="zh-CN" w:bidi="ar"/>
              </w:rPr>
              <w:t>7</w:t>
            </w:r>
            <w:r>
              <w:rPr>
                <w:b/>
                <w:bCs w:val="0"/>
                <w:color w:val="auto"/>
                <w:sz w:val="21"/>
                <w:szCs w:val="21"/>
                <w:lang w:bidi="ar"/>
              </w:rPr>
              <w:t xml:space="preserve">  </w:t>
            </w:r>
            <w:r>
              <w:rPr>
                <w:rFonts w:hint="eastAsia"/>
                <w:b/>
                <w:bCs w:val="0"/>
                <w:color w:val="auto"/>
                <w:sz w:val="21"/>
                <w:szCs w:val="21"/>
                <w:lang w:eastAsia="zh-CN" w:bidi="ar"/>
              </w:rPr>
              <w:t>河道护坡型号比选方案</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230"/>
              <w:gridCol w:w="2459"/>
              <w:gridCol w:w="1940"/>
              <w:gridCol w:w="1120"/>
              <w:gridCol w:w="1079"/>
            </w:tblGrid>
            <w:tr w14:paraId="70F5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84" w:type="pct"/>
                  <w:vAlign w:val="center"/>
                </w:tcPr>
                <w:p w14:paraId="06511906">
                  <w:pPr>
                    <w:widowControl/>
                    <w:jc w:val="center"/>
                    <w:textAlignment w:val="center"/>
                    <w:rPr>
                      <w:rFonts w:hint="default"/>
                      <w:color w:val="auto"/>
                      <w:szCs w:val="21"/>
                      <w:lang w:val="en-US" w:eastAsia="zh-CN"/>
                    </w:rPr>
                  </w:pPr>
                  <w:r>
                    <w:rPr>
                      <w:rFonts w:hint="eastAsia"/>
                      <w:color w:val="auto"/>
                      <w:szCs w:val="21"/>
                      <w:lang w:eastAsia="zh-CN"/>
                    </w:rPr>
                    <w:t>护坡型号</w:t>
                  </w:r>
                </w:p>
              </w:tc>
              <w:tc>
                <w:tcPr>
                  <w:tcW w:w="725" w:type="pct"/>
                  <w:vAlign w:val="center"/>
                </w:tcPr>
                <w:p w14:paraId="31BD54B9">
                  <w:pPr>
                    <w:widowControl/>
                    <w:jc w:val="center"/>
                    <w:textAlignment w:val="center"/>
                    <w:rPr>
                      <w:rFonts w:hint="default"/>
                      <w:color w:val="auto"/>
                      <w:szCs w:val="21"/>
                      <w:lang w:val="en-US" w:eastAsia="zh-CN"/>
                    </w:rPr>
                  </w:pPr>
                  <w:r>
                    <w:rPr>
                      <w:rFonts w:hint="eastAsia"/>
                      <w:color w:val="auto"/>
                      <w:szCs w:val="21"/>
                      <w:lang w:eastAsia="zh-CN"/>
                    </w:rPr>
                    <w:t>方案</w:t>
                  </w:r>
                  <w:r>
                    <w:rPr>
                      <w:rFonts w:hint="eastAsia"/>
                      <w:color w:val="auto"/>
                      <w:szCs w:val="21"/>
                      <w:lang w:val="en-US" w:eastAsia="zh-CN"/>
                    </w:rPr>
                    <w:t>1：</w:t>
                  </w:r>
                  <w:r>
                    <w:rPr>
                      <w:rFonts w:hint="eastAsia"/>
                      <w:color w:val="auto"/>
                      <w:szCs w:val="21"/>
                    </w:rPr>
                    <w:t>浆砌块石护砌</w:t>
                  </w:r>
                </w:p>
              </w:tc>
              <w:tc>
                <w:tcPr>
                  <w:tcW w:w="1449" w:type="pct"/>
                  <w:vAlign w:val="center"/>
                </w:tcPr>
                <w:p w14:paraId="2B8191B9">
                  <w:pPr>
                    <w:widowControl/>
                    <w:jc w:val="center"/>
                    <w:textAlignment w:val="center"/>
                    <w:rPr>
                      <w:rFonts w:hint="default"/>
                      <w:color w:val="auto"/>
                      <w:szCs w:val="21"/>
                      <w:lang w:val="en-US" w:eastAsia="zh-CN"/>
                    </w:rPr>
                  </w:pPr>
                  <w:r>
                    <w:rPr>
                      <w:rFonts w:hint="eastAsia"/>
                      <w:color w:val="auto"/>
                      <w:szCs w:val="21"/>
                      <w:lang w:eastAsia="zh-CN"/>
                    </w:rPr>
                    <w:t>方案</w:t>
                  </w:r>
                  <w:r>
                    <w:rPr>
                      <w:rFonts w:hint="eastAsia"/>
                      <w:color w:val="auto"/>
                      <w:szCs w:val="21"/>
                      <w:lang w:val="en-US" w:eastAsia="zh-CN"/>
                    </w:rPr>
                    <w:t>2：</w:t>
                  </w:r>
                  <w:r>
                    <w:rPr>
                      <w:rFonts w:hint="eastAsia"/>
                      <w:color w:val="auto"/>
                      <w:szCs w:val="21"/>
                      <w:lang w:eastAsia="zh-CN"/>
                    </w:rPr>
                    <w:t>格宾石笼生态护砌</w:t>
                  </w:r>
                </w:p>
              </w:tc>
              <w:tc>
                <w:tcPr>
                  <w:tcW w:w="1143" w:type="pct"/>
                  <w:vAlign w:val="center"/>
                </w:tcPr>
                <w:p w14:paraId="4B29C0B8">
                  <w:pPr>
                    <w:widowControl/>
                    <w:jc w:val="center"/>
                    <w:textAlignment w:val="center"/>
                    <w:rPr>
                      <w:rFonts w:hint="default"/>
                      <w:color w:val="auto"/>
                      <w:szCs w:val="21"/>
                      <w:lang w:val="en-US" w:eastAsia="zh-CN"/>
                    </w:rPr>
                  </w:pPr>
                  <w:r>
                    <w:rPr>
                      <w:rFonts w:hint="eastAsia"/>
                      <w:color w:val="auto"/>
                      <w:szCs w:val="21"/>
                      <w:lang w:val="en-US" w:eastAsia="zh-CN"/>
                    </w:rPr>
                    <w:t>方案3：联锁式生态护坡</w:t>
                  </w:r>
                </w:p>
              </w:tc>
              <w:tc>
                <w:tcPr>
                  <w:tcW w:w="660" w:type="pct"/>
                  <w:vAlign w:val="center"/>
                </w:tcPr>
                <w:p w14:paraId="12B9E9A7">
                  <w:pPr>
                    <w:widowControl/>
                    <w:jc w:val="center"/>
                    <w:textAlignment w:val="center"/>
                    <w:rPr>
                      <w:rFonts w:hint="eastAsia"/>
                      <w:color w:val="auto"/>
                      <w:szCs w:val="21"/>
                      <w:lang w:val="en-US" w:eastAsia="zh-CN"/>
                    </w:rPr>
                  </w:pPr>
                  <w:r>
                    <w:rPr>
                      <w:rFonts w:hint="eastAsia"/>
                      <w:color w:val="auto"/>
                      <w:szCs w:val="21"/>
                    </w:rPr>
                    <w:t>方案4</w:t>
                  </w:r>
                  <w:r>
                    <w:rPr>
                      <w:rFonts w:hint="eastAsia"/>
                      <w:color w:val="auto"/>
                      <w:szCs w:val="21"/>
                      <w:lang w:eastAsia="zh-CN"/>
                    </w:rPr>
                    <w:t>：</w:t>
                  </w:r>
                  <w:r>
                    <w:rPr>
                      <w:rFonts w:hint="eastAsia"/>
                      <w:color w:val="auto"/>
                      <w:szCs w:val="21"/>
                    </w:rPr>
                    <w:t>草皮护坡</w:t>
                  </w:r>
                </w:p>
              </w:tc>
              <w:tc>
                <w:tcPr>
                  <w:tcW w:w="636" w:type="pct"/>
                  <w:vAlign w:val="center"/>
                </w:tcPr>
                <w:p w14:paraId="72A291C8">
                  <w:pPr>
                    <w:widowControl/>
                    <w:jc w:val="center"/>
                    <w:textAlignment w:val="center"/>
                    <w:rPr>
                      <w:rFonts w:hint="eastAsia"/>
                      <w:color w:val="auto"/>
                      <w:szCs w:val="21"/>
                    </w:rPr>
                  </w:pPr>
                  <w:r>
                    <w:rPr>
                      <w:rFonts w:hint="eastAsia"/>
                      <w:color w:val="auto"/>
                      <w:szCs w:val="21"/>
                    </w:rPr>
                    <w:t>方案</w:t>
                  </w:r>
                  <w:r>
                    <w:rPr>
                      <w:rFonts w:hint="eastAsia"/>
                      <w:color w:val="auto"/>
                      <w:szCs w:val="21"/>
                      <w:lang w:val="en-US" w:eastAsia="zh-CN"/>
                    </w:rPr>
                    <w:t>5</w:t>
                  </w:r>
                  <w:r>
                    <w:rPr>
                      <w:rFonts w:hint="eastAsia"/>
                      <w:color w:val="auto"/>
                      <w:szCs w:val="21"/>
                      <w:lang w:eastAsia="zh-CN"/>
                    </w:rPr>
                    <w:t>：</w:t>
                  </w:r>
                  <w:r>
                    <w:rPr>
                      <w:rFonts w:hint="eastAsia"/>
                      <w:color w:val="auto"/>
                      <w:szCs w:val="21"/>
                    </w:rPr>
                    <w:t>钢筋混凝土矩形断面</w:t>
                  </w:r>
                </w:p>
              </w:tc>
            </w:tr>
            <w:tr w14:paraId="2BB7A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Align w:val="center"/>
                </w:tcPr>
                <w:p w14:paraId="1FA70960">
                  <w:pPr>
                    <w:widowControl/>
                    <w:jc w:val="center"/>
                    <w:textAlignment w:val="center"/>
                    <w:rPr>
                      <w:rFonts w:hint="eastAsia"/>
                      <w:color w:val="auto"/>
                      <w:szCs w:val="21"/>
                      <w:lang w:eastAsia="zh-CN"/>
                    </w:rPr>
                  </w:pPr>
                  <w:r>
                    <w:rPr>
                      <w:rFonts w:hint="eastAsia"/>
                      <w:color w:val="auto"/>
                      <w:szCs w:val="21"/>
                      <w:lang w:eastAsia="zh-CN"/>
                    </w:rPr>
                    <w:t>施工方案</w:t>
                  </w:r>
                </w:p>
              </w:tc>
              <w:tc>
                <w:tcPr>
                  <w:tcW w:w="725" w:type="pct"/>
                  <w:vAlign w:val="center"/>
                </w:tcPr>
                <w:p w14:paraId="20CBDB41">
                  <w:pPr>
                    <w:widowControl/>
                    <w:jc w:val="center"/>
                    <w:textAlignment w:val="center"/>
                    <w:rPr>
                      <w:rFonts w:hint="eastAsia"/>
                      <w:color w:val="auto"/>
                      <w:szCs w:val="21"/>
                    </w:rPr>
                  </w:pPr>
                  <w:r>
                    <w:rPr>
                      <w:rFonts w:hint="eastAsia"/>
                      <w:color w:val="auto"/>
                      <w:szCs w:val="21"/>
                    </w:rPr>
                    <w:t>采用M10浆砌块石护坡，设计坡度为1：2，护坡厚度为0.3m，在坡脚处设M10浆砌块石齿墙，齿墙断面尺寸为1.0×0.8m（深×宽）。</w:t>
                  </w:r>
                </w:p>
              </w:tc>
              <w:tc>
                <w:tcPr>
                  <w:tcW w:w="1449" w:type="pct"/>
                  <w:shd w:val="clear" w:color="auto" w:fill="auto"/>
                  <w:vAlign w:val="center"/>
                </w:tcPr>
                <w:p w14:paraId="196A9690">
                  <w:pPr>
                    <w:widowControl/>
                    <w:jc w:val="center"/>
                    <w:textAlignment w:val="center"/>
                    <w:rPr>
                      <w:rFonts w:hint="eastAsia"/>
                      <w:color w:val="auto"/>
                      <w:szCs w:val="21"/>
                      <w:lang w:val="en-US" w:eastAsia="zh-CN"/>
                    </w:rPr>
                  </w:pPr>
                  <w:r>
                    <w:rPr>
                      <w:rFonts w:hint="eastAsia"/>
                      <w:color w:val="auto"/>
                      <w:szCs w:val="21"/>
                    </w:rPr>
                    <w:t>沟道边坡采用格宾石笼护垫（规格为2m×1m×0.3m）（长×宽×厚），边坡坡度为1：2，厚0.3m，坡脚蹬脚尺寸为0.8×0.6m（深×宽）。护坡为上述格宾网材料的网体连接而成。连接材料用同材质格宾钢丝。笼体和笼体的边沿用连接材料联结起来，形成一个整体结构。</w:t>
                  </w:r>
                </w:p>
              </w:tc>
              <w:tc>
                <w:tcPr>
                  <w:tcW w:w="1143" w:type="pct"/>
                  <w:vAlign w:val="center"/>
                </w:tcPr>
                <w:p w14:paraId="01742A53">
                  <w:pPr>
                    <w:widowControl/>
                    <w:jc w:val="center"/>
                    <w:textAlignment w:val="center"/>
                    <w:rPr>
                      <w:rFonts w:hint="eastAsia"/>
                      <w:color w:val="auto"/>
                      <w:szCs w:val="21"/>
                    </w:rPr>
                  </w:pPr>
                  <w:r>
                    <w:rPr>
                      <w:rFonts w:hint="eastAsia"/>
                      <w:color w:val="auto"/>
                      <w:szCs w:val="21"/>
                    </w:rPr>
                    <w:t>采用联锁式生态护坡，超强联锁块厚120mm，下铺100mm碎石垫层和反滤土工布。边坡坡度为1：1.5～1：2，在坡脚处设混凝土齿墙，齿墙断面尺寸为1.0×0.8m（深×宽）。</w:t>
                  </w:r>
                </w:p>
              </w:tc>
              <w:tc>
                <w:tcPr>
                  <w:tcW w:w="660" w:type="pct"/>
                  <w:vAlign w:val="center"/>
                </w:tcPr>
                <w:p w14:paraId="6A1D8484">
                  <w:pPr>
                    <w:widowControl/>
                    <w:jc w:val="center"/>
                    <w:textAlignment w:val="center"/>
                    <w:rPr>
                      <w:rFonts w:hint="eastAsia"/>
                      <w:color w:val="auto"/>
                      <w:szCs w:val="21"/>
                    </w:rPr>
                  </w:pPr>
                  <w:r>
                    <w:rPr>
                      <w:rFonts w:hint="eastAsia"/>
                      <w:color w:val="auto"/>
                      <w:szCs w:val="21"/>
                    </w:rPr>
                    <w:t>设计沟道坡比为1：2，采用草皮护坡，确保生态。</w:t>
                  </w:r>
                </w:p>
              </w:tc>
              <w:tc>
                <w:tcPr>
                  <w:tcW w:w="636" w:type="pct"/>
                  <w:vAlign w:val="center"/>
                </w:tcPr>
                <w:p w14:paraId="2C22A1A3">
                  <w:pPr>
                    <w:widowControl/>
                    <w:jc w:val="center"/>
                    <w:textAlignment w:val="center"/>
                    <w:rPr>
                      <w:rFonts w:hint="eastAsia"/>
                      <w:color w:val="auto"/>
                      <w:szCs w:val="21"/>
                    </w:rPr>
                  </w:pPr>
                  <w:r>
                    <w:rPr>
                      <w:rFonts w:hint="eastAsia"/>
                      <w:color w:val="auto"/>
                      <w:szCs w:val="21"/>
                    </w:rPr>
                    <w:t>采用钢筋混凝土矩形断面</w:t>
                  </w:r>
                </w:p>
              </w:tc>
            </w:tr>
            <w:tr w14:paraId="715AE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Align w:val="center"/>
                </w:tcPr>
                <w:p w14:paraId="304CB9C7">
                  <w:pPr>
                    <w:widowControl/>
                    <w:jc w:val="center"/>
                    <w:textAlignment w:val="center"/>
                    <w:rPr>
                      <w:rFonts w:hint="eastAsia"/>
                      <w:color w:val="auto"/>
                      <w:szCs w:val="21"/>
                      <w:lang w:eastAsia="zh-CN"/>
                    </w:rPr>
                  </w:pPr>
                  <w:r>
                    <w:rPr>
                      <w:rFonts w:hint="eastAsia"/>
                      <w:color w:val="auto"/>
                      <w:szCs w:val="21"/>
                      <w:lang w:eastAsia="zh-CN"/>
                    </w:rPr>
                    <w:t>优点</w:t>
                  </w:r>
                </w:p>
              </w:tc>
              <w:tc>
                <w:tcPr>
                  <w:tcW w:w="725" w:type="pct"/>
                  <w:vAlign w:val="center"/>
                </w:tcPr>
                <w:p w14:paraId="5C2A83D5">
                  <w:pPr>
                    <w:widowControl/>
                    <w:jc w:val="center"/>
                    <w:textAlignment w:val="center"/>
                    <w:rPr>
                      <w:color w:val="auto"/>
                      <w:szCs w:val="21"/>
                    </w:rPr>
                  </w:pPr>
                  <w:r>
                    <w:rPr>
                      <w:rFonts w:hint="eastAsia"/>
                      <w:color w:val="auto"/>
                      <w:szCs w:val="21"/>
                    </w:rPr>
                    <w:t>（1）结构稳定，具有较好的抗滑、抗冲刷性能；</w:t>
                  </w:r>
                </w:p>
                <w:p w14:paraId="4B23E383">
                  <w:pPr>
                    <w:widowControl/>
                    <w:jc w:val="center"/>
                    <w:textAlignment w:val="center"/>
                    <w:rPr>
                      <w:rFonts w:hint="eastAsia"/>
                      <w:color w:val="auto"/>
                      <w:szCs w:val="21"/>
                    </w:rPr>
                  </w:pPr>
                  <w:r>
                    <w:rPr>
                      <w:rFonts w:hint="eastAsia"/>
                      <w:color w:val="auto"/>
                      <w:szCs w:val="21"/>
                    </w:rPr>
                    <w:t>（2）施工简单，便于群众性施工；</w:t>
                  </w:r>
                </w:p>
              </w:tc>
              <w:tc>
                <w:tcPr>
                  <w:tcW w:w="1449" w:type="pct"/>
                  <w:shd w:val="clear" w:color="auto" w:fill="auto"/>
                  <w:vAlign w:val="center"/>
                </w:tcPr>
                <w:p w14:paraId="62E93F91">
                  <w:pPr>
                    <w:widowControl/>
                    <w:jc w:val="center"/>
                    <w:textAlignment w:val="center"/>
                    <w:rPr>
                      <w:color w:val="auto"/>
                      <w:szCs w:val="21"/>
                    </w:rPr>
                  </w:pPr>
                  <w:r>
                    <w:rPr>
                      <w:rFonts w:hint="eastAsia"/>
                      <w:color w:val="auto"/>
                      <w:szCs w:val="21"/>
                    </w:rPr>
                    <w:t>（1）柔性好，整体结构有延展性，无结构缝，适应变形能力强；</w:t>
                  </w:r>
                </w:p>
                <w:p w14:paraId="0180EE62">
                  <w:pPr>
                    <w:widowControl/>
                    <w:jc w:val="center"/>
                    <w:textAlignment w:val="center"/>
                    <w:rPr>
                      <w:rFonts w:hint="eastAsia"/>
                      <w:color w:val="auto"/>
                      <w:szCs w:val="21"/>
                      <w:lang w:val="en-US" w:eastAsia="zh-CN"/>
                    </w:rPr>
                  </w:pPr>
                  <w:r>
                    <w:rPr>
                      <w:rFonts w:hint="eastAsia"/>
                      <w:color w:val="auto"/>
                      <w:szCs w:val="21"/>
                    </w:rPr>
                    <w:t>（2）施工方便，便于大面积展开施工，工期短。</w:t>
                  </w:r>
                </w:p>
              </w:tc>
              <w:tc>
                <w:tcPr>
                  <w:tcW w:w="1143" w:type="pct"/>
                  <w:vAlign w:val="center"/>
                </w:tcPr>
                <w:p w14:paraId="6A3C4353">
                  <w:pPr>
                    <w:widowControl/>
                    <w:jc w:val="center"/>
                    <w:textAlignment w:val="center"/>
                    <w:rPr>
                      <w:color w:val="auto"/>
                      <w:szCs w:val="21"/>
                    </w:rPr>
                  </w:pPr>
                  <w:r>
                    <w:rPr>
                      <w:rFonts w:hint="eastAsia"/>
                      <w:color w:val="auto"/>
                      <w:szCs w:val="21"/>
                    </w:rPr>
                    <w:t>1 结构稳定，适应变形能力强；</w:t>
                  </w:r>
                </w:p>
                <w:p w14:paraId="24EFAEA1">
                  <w:pPr>
                    <w:widowControl/>
                    <w:jc w:val="center"/>
                    <w:textAlignment w:val="center"/>
                    <w:rPr>
                      <w:color w:val="auto"/>
                      <w:szCs w:val="21"/>
                    </w:rPr>
                  </w:pPr>
                  <w:r>
                    <w:rPr>
                      <w:rFonts w:hint="eastAsia"/>
                      <w:color w:val="auto"/>
                      <w:szCs w:val="21"/>
                    </w:rPr>
                    <w:t>2 施工便捷；</w:t>
                  </w:r>
                </w:p>
                <w:p w14:paraId="251193C7">
                  <w:pPr>
                    <w:widowControl/>
                    <w:jc w:val="center"/>
                    <w:textAlignment w:val="center"/>
                    <w:rPr>
                      <w:rFonts w:hint="eastAsia"/>
                      <w:color w:val="auto"/>
                      <w:szCs w:val="21"/>
                    </w:rPr>
                  </w:pPr>
                  <w:r>
                    <w:rPr>
                      <w:rFonts w:hint="eastAsia"/>
                      <w:color w:val="auto"/>
                      <w:szCs w:val="21"/>
                    </w:rPr>
                    <w:t>3 景观效果好。</w:t>
                  </w:r>
                </w:p>
              </w:tc>
              <w:tc>
                <w:tcPr>
                  <w:tcW w:w="660" w:type="pct"/>
                  <w:vAlign w:val="center"/>
                </w:tcPr>
                <w:p w14:paraId="06BEBD2A">
                  <w:pPr>
                    <w:widowControl/>
                    <w:jc w:val="center"/>
                    <w:textAlignment w:val="center"/>
                    <w:rPr>
                      <w:color w:val="auto"/>
                      <w:szCs w:val="21"/>
                    </w:rPr>
                  </w:pPr>
                  <w:r>
                    <w:rPr>
                      <w:rFonts w:hint="eastAsia"/>
                      <w:color w:val="auto"/>
                      <w:szCs w:val="21"/>
                    </w:rPr>
                    <w:t>（1）透水性较好，能够保证局部的生态系统。</w:t>
                  </w:r>
                </w:p>
                <w:p w14:paraId="48AF2BED">
                  <w:pPr>
                    <w:widowControl/>
                    <w:jc w:val="center"/>
                    <w:textAlignment w:val="center"/>
                    <w:rPr>
                      <w:rFonts w:hint="eastAsia"/>
                      <w:color w:val="auto"/>
                      <w:szCs w:val="21"/>
                    </w:rPr>
                  </w:pPr>
                  <w:r>
                    <w:rPr>
                      <w:rFonts w:hint="eastAsia"/>
                      <w:color w:val="auto"/>
                      <w:szCs w:val="21"/>
                    </w:rPr>
                    <w:t>（2）生态美观；</w:t>
                  </w:r>
                </w:p>
              </w:tc>
              <w:tc>
                <w:tcPr>
                  <w:tcW w:w="636" w:type="pct"/>
                  <w:vAlign w:val="center"/>
                </w:tcPr>
                <w:p w14:paraId="2D12FFBB">
                  <w:pPr>
                    <w:widowControl/>
                    <w:jc w:val="center"/>
                    <w:textAlignment w:val="center"/>
                    <w:rPr>
                      <w:rFonts w:hint="eastAsia"/>
                      <w:color w:val="auto"/>
                      <w:szCs w:val="21"/>
                    </w:rPr>
                  </w:pPr>
                  <w:r>
                    <w:rPr>
                      <w:rFonts w:hint="eastAsia"/>
                      <w:color w:val="auto"/>
                      <w:szCs w:val="21"/>
                    </w:rPr>
                    <w:t>结构强，占用空间小，过水断面大，适用于河道两侧空间有限段河道。</w:t>
                  </w:r>
                </w:p>
              </w:tc>
            </w:tr>
            <w:tr w14:paraId="6F2E7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vAlign w:val="center"/>
                </w:tcPr>
                <w:p w14:paraId="6D6E1F24">
                  <w:pPr>
                    <w:widowControl/>
                    <w:jc w:val="center"/>
                    <w:textAlignment w:val="center"/>
                    <w:rPr>
                      <w:rFonts w:hint="eastAsia"/>
                      <w:color w:val="auto"/>
                      <w:szCs w:val="21"/>
                      <w:lang w:eastAsia="zh-CN"/>
                    </w:rPr>
                  </w:pPr>
                  <w:r>
                    <w:rPr>
                      <w:rFonts w:hint="eastAsia"/>
                      <w:color w:val="auto"/>
                      <w:szCs w:val="21"/>
                      <w:lang w:eastAsia="zh-CN"/>
                    </w:rPr>
                    <w:t>缺点</w:t>
                  </w:r>
                </w:p>
              </w:tc>
              <w:tc>
                <w:tcPr>
                  <w:tcW w:w="725" w:type="pct"/>
                  <w:vAlign w:val="center"/>
                </w:tcPr>
                <w:p w14:paraId="29B0FF2B">
                  <w:pPr>
                    <w:widowControl/>
                    <w:jc w:val="center"/>
                    <w:textAlignment w:val="center"/>
                    <w:rPr>
                      <w:rFonts w:hint="eastAsia"/>
                      <w:color w:val="auto"/>
                      <w:szCs w:val="21"/>
                    </w:rPr>
                  </w:pPr>
                  <w:r>
                    <w:rPr>
                      <w:rFonts w:hint="eastAsia"/>
                      <w:color w:val="auto"/>
                      <w:szCs w:val="21"/>
                    </w:rPr>
                    <w:t>硬质护砌适应变形能力差；</w:t>
                  </w:r>
                </w:p>
              </w:tc>
              <w:tc>
                <w:tcPr>
                  <w:tcW w:w="1449" w:type="pct"/>
                  <w:shd w:val="clear" w:color="auto" w:fill="auto"/>
                  <w:vAlign w:val="center"/>
                </w:tcPr>
                <w:p w14:paraId="13A289A7">
                  <w:pPr>
                    <w:widowControl/>
                    <w:jc w:val="center"/>
                    <w:textAlignment w:val="center"/>
                    <w:rPr>
                      <w:color w:val="auto"/>
                      <w:szCs w:val="21"/>
                    </w:rPr>
                  </w:pPr>
                  <w:r>
                    <w:rPr>
                      <w:rFonts w:hint="eastAsia"/>
                      <w:color w:val="auto"/>
                      <w:szCs w:val="21"/>
                    </w:rPr>
                    <w:t>（1）格宾网材料检验要求严格。</w:t>
                  </w:r>
                </w:p>
                <w:p w14:paraId="362C73C9">
                  <w:pPr>
                    <w:widowControl/>
                    <w:jc w:val="center"/>
                    <w:textAlignment w:val="center"/>
                    <w:rPr>
                      <w:rFonts w:hint="eastAsia"/>
                      <w:color w:val="auto"/>
                      <w:szCs w:val="21"/>
                      <w:lang w:val="en-US" w:eastAsia="zh-CN"/>
                    </w:rPr>
                  </w:pPr>
                  <w:r>
                    <w:rPr>
                      <w:rFonts w:hint="eastAsia"/>
                      <w:color w:val="auto"/>
                      <w:szCs w:val="21"/>
                    </w:rPr>
                    <w:t>（2）竣工后需加强前期管护。</w:t>
                  </w:r>
                </w:p>
              </w:tc>
              <w:tc>
                <w:tcPr>
                  <w:tcW w:w="1143" w:type="pct"/>
                  <w:vAlign w:val="center"/>
                </w:tcPr>
                <w:p w14:paraId="3E48298A">
                  <w:pPr>
                    <w:widowControl/>
                    <w:jc w:val="center"/>
                    <w:textAlignment w:val="center"/>
                    <w:rPr>
                      <w:rFonts w:hint="eastAsia"/>
                      <w:color w:val="auto"/>
                      <w:szCs w:val="21"/>
                    </w:rPr>
                  </w:pPr>
                  <w:r>
                    <w:rPr>
                      <w:rFonts w:hint="eastAsia"/>
                      <w:color w:val="auto"/>
                      <w:szCs w:val="21"/>
                    </w:rPr>
                    <w:t>抗冲刷能力略差。</w:t>
                  </w:r>
                </w:p>
              </w:tc>
              <w:tc>
                <w:tcPr>
                  <w:tcW w:w="660" w:type="pct"/>
                  <w:vAlign w:val="center"/>
                </w:tcPr>
                <w:p w14:paraId="4097C6D7">
                  <w:pPr>
                    <w:widowControl/>
                    <w:jc w:val="center"/>
                    <w:textAlignment w:val="center"/>
                    <w:rPr>
                      <w:rFonts w:hint="eastAsia"/>
                      <w:color w:val="auto"/>
                      <w:szCs w:val="21"/>
                    </w:rPr>
                  </w:pPr>
                  <w:r>
                    <w:rPr>
                      <w:rFonts w:hint="eastAsia"/>
                      <w:color w:val="auto"/>
                      <w:szCs w:val="21"/>
                    </w:rPr>
                    <w:t>对于抗冲效果差，后期维护成本高。</w:t>
                  </w:r>
                </w:p>
              </w:tc>
              <w:tc>
                <w:tcPr>
                  <w:tcW w:w="636" w:type="pct"/>
                  <w:vAlign w:val="center"/>
                </w:tcPr>
                <w:p w14:paraId="620A5C0E">
                  <w:pPr>
                    <w:widowControl/>
                    <w:jc w:val="center"/>
                    <w:textAlignment w:val="center"/>
                    <w:rPr>
                      <w:rFonts w:hint="eastAsia"/>
                      <w:color w:val="auto"/>
                      <w:szCs w:val="21"/>
                    </w:rPr>
                  </w:pPr>
                  <w:r>
                    <w:rPr>
                      <w:rFonts w:hint="eastAsia"/>
                      <w:color w:val="auto"/>
                      <w:szCs w:val="21"/>
                    </w:rPr>
                    <w:t>造价较高，景观效果差。</w:t>
                  </w:r>
                </w:p>
              </w:tc>
            </w:tr>
          </w:tbl>
          <w:p w14:paraId="16E9438E">
            <w:pPr>
              <w:spacing w:line="360" w:lineRule="auto"/>
              <w:ind w:firstLine="476" w:firstLineChars="200"/>
              <w:rPr>
                <w:color w:val="auto"/>
                <w:spacing w:val="-1"/>
                <w:sz w:val="24"/>
              </w:rPr>
            </w:pPr>
            <w:r>
              <w:rPr>
                <w:rFonts w:hint="eastAsia"/>
                <w:color w:val="auto"/>
                <w:spacing w:val="-1"/>
                <w:sz w:val="24"/>
              </w:rPr>
              <w:t>通过以上比较可以看出，方案一浆砌石护砌结构稳定、抗冲能力强、施工简单、造价低，但为硬质护砌，景观效果差，方案二价格贵，防冲能力较强，后期景观效果好，方案三造价适中，但抗冲刷能力略差，景观效果较好，施工简单，适应变形能力强。方案四要求沟道边坡坡比缓于1：2，需要后期维护。方案五造价高，但结构强度高，过流断面大。</w:t>
            </w:r>
          </w:p>
          <w:p w14:paraId="0DD16EEA">
            <w:pPr>
              <w:spacing w:line="360" w:lineRule="auto"/>
              <w:ind w:firstLine="476" w:firstLineChars="200"/>
              <w:rPr>
                <w:color w:val="auto"/>
                <w:spacing w:val="-1"/>
                <w:sz w:val="24"/>
              </w:rPr>
            </w:pPr>
            <w:r>
              <w:rPr>
                <w:rFonts w:hint="eastAsia"/>
                <w:color w:val="auto"/>
                <w:spacing w:val="-1"/>
                <w:sz w:val="24"/>
              </w:rPr>
              <w:t>根据工程实际情况综合考虑，本工程主要以排涝安全为主，兼顾生态，沟道以1：1.5～1：2 的坡比为主，河道流速较缓，所以主要采用联锁式生态护坡。险工段坡度较陡，采用对护砌材料的抗冲能力要求高，故选择浆砌块石护砌。河道两岸空间受限段河道采用钢筋混凝土矩形断面。</w:t>
            </w:r>
          </w:p>
          <w:p w14:paraId="3665701C">
            <w:pPr>
              <w:numPr>
                <w:ilvl w:val="0"/>
                <w:numId w:val="0"/>
              </w:numPr>
              <w:spacing w:line="360" w:lineRule="auto"/>
              <w:rPr>
                <w:rFonts w:hint="eastAsia"/>
                <w:b/>
                <w:bCs/>
                <w:color w:val="auto"/>
                <w:spacing w:val="-1"/>
                <w:sz w:val="24"/>
                <w:lang w:eastAsia="zh-CN"/>
              </w:rPr>
            </w:pPr>
            <w:r>
              <w:rPr>
                <w:rFonts w:hint="eastAsia"/>
                <w:b/>
                <w:bCs/>
                <w:color w:val="auto"/>
                <w:spacing w:val="-1"/>
                <w:sz w:val="24"/>
                <w:lang w:eastAsia="zh-CN"/>
              </w:rPr>
              <w:t>五、防汛道路</w:t>
            </w:r>
          </w:p>
          <w:p w14:paraId="2F2E06B2">
            <w:pPr>
              <w:spacing w:line="360" w:lineRule="auto"/>
              <w:ind w:firstLine="476" w:firstLineChars="200"/>
              <w:rPr>
                <w:rFonts w:hint="eastAsia"/>
                <w:color w:val="auto"/>
                <w:spacing w:val="-1"/>
                <w:sz w:val="24"/>
              </w:rPr>
            </w:pPr>
            <w:r>
              <w:rPr>
                <w:rFonts w:hint="eastAsia"/>
                <w:color w:val="auto"/>
                <w:spacing w:val="-1"/>
                <w:sz w:val="24"/>
                <w:lang w:val="en-US" w:eastAsia="zh-CN"/>
              </w:rPr>
              <w:t>1、</w:t>
            </w:r>
            <w:r>
              <w:rPr>
                <w:rFonts w:hint="eastAsia"/>
                <w:color w:val="auto"/>
                <w:spacing w:val="-1"/>
                <w:sz w:val="24"/>
              </w:rPr>
              <w:t>防汛路规模</w:t>
            </w:r>
          </w:p>
          <w:p w14:paraId="13C3B76E">
            <w:pPr>
              <w:spacing w:line="360" w:lineRule="auto"/>
              <w:ind w:firstLine="476" w:firstLineChars="200"/>
              <w:rPr>
                <w:rFonts w:hint="eastAsia"/>
                <w:color w:val="auto"/>
                <w:spacing w:val="-1"/>
                <w:sz w:val="24"/>
              </w:rPr>
            </w:pPr>
            <w:r>
              <w:rPr>
                <w:rFonts w:hint="eastAsia"/>
                <w:color w:val="auto"/>
                <w:spacing w:val="-1"/>
                <w:sz w:val="24"/>
              </w:rPr>
              <w:t>为确保汛期河道运行安全，结合河长制，便于开展下一步沟道巡查，在充分利用现有道路的基础上，于河道一侧设置防汛道路，共计新建道路</w:t>
            </w:r>
            <w:r>
              <w:rPr>
                <w:rFonts w:hint="eastAsia"/>
                <w:color w:val="auto"/>
                <w:spacing w:val="-1"/>
                <w:sz w:val="24"/>
                <w:lang w:val="en-US" w:eastAsia="zh-CN"/>
              </w:rPr>
              <w:t>5.73</w:t>
            </w:r>
            <w:r>
              <w:rPr>
                <w:rFonts w:hint="eastAsia"/>
                <w:color w:val="auto"/>
                <w:spacing w:val="-1"/>
                <w:sz w:val="24"/>
              </w:rPr>
              <w:t>km，其中改建道路</w:t>
            </w:r>
            <w:r>
              <w:rPr>
                <w:rFonts w:hint="eastAsia"/>
                <w:color w:val="auto"/>
                <w:spacing w:val="-1"/>
                <w:sz w:val="24"/>
                <w:lang w:val="en-US" w:eastAsia="zh-CN"/>
              </w:rPr>
              <w:t>3.93</w:t>
            </w:r>
            <w:r>
              <w:rPr>
                <w:rFonts w:hint="eastAsia"/>
                <w:color w:val="auto"/>
                <w:spacing w:val="-1"/>
                <w:sz w:val="24"/>
              </w:rPr>
              <w:t>km，新建道路</w:t>
            </w:r>
            <w:r>
              <w:rPr>
                <w:rFonts w:hint="eastAsia"/>
                <w:color w:val="auto"/>
                <w:spacing w:val="-1"/>
                <w:sz w:val="24"/>
                <w:lang w:val="en-US" w:eastAsia="zh-CN"/>
              </w:rPr>
              <w:t>1.8</w:t>
            </w:r>
            <w:r>
              <w:rPr>
                <w:rFonts w:hint="eastAsia"/>
                <w:color w:val="auto"/>
                <w:spacing w:val="-1"/>
                <w:sz w:val="24"/>
              </w:rPr>
              <w:t>km。具体情况见下表。</w:t>
            </w:r>
          </w:p>
          <w:p w14:paraId="5660A57E">
            <w:pPr>
              <w:pStyle w:val="47"/>
              <w:rPr>
                <w:rFonts w:ascii="Times New Roman" w:hAnsi="Times New Roman" w:eastAsia="宋体" w:cs="Times New Roman"/>
                <w:b/>
                <w:bCs w:val="0"/>
                <w:color w:val="auto"/>
                <w:kern w:val="0"/>
                <w:sz w:val="21"/>
                <w:szCs w:val="21"/>
                <w:lang w:val="en-US" w:eastAsia="zh-CN" w:bidi="ar"/>
              </w:rPr>
            </w:pPr>
            <w:r>
              <w:rPr>
                <w:rFonts w:hint="eastAsia" w:cs="Times New Roman"/>
                <w:b/>
                <w:bCs w:val="0"/>
                <w:color w:val="auto"/>
                <w:kern w:val="0"/>
                <w:sz w:val="21"/>
                <w:szCs w:val="21"/>
                <w:lang w:val="en-US" w:eastAsia="zh-CN" w:bidi="ar"/>
              </w:rPr>
              <w:t xml:space="preserve">表2-8 </w:t>
            </w:r>
            <w:r>
              <w:rPr>
                <w:rFonts w:hint="eastAsia" w:ascii="Times New Roman" w:hAnsi="Times New Roman" w:eastAsia="宋体" w:cs="Times New Roman"/>
                <w:b/>
                <w:bCs w:val="0"/>
                <w:color w:val="auto"/>
                <w:kern w:val="0"/>
                <w:sz w:val="21"/>
                <w:szCs w:val="21"/>
                <w:lang w:val="en-US" w:eastAsia="zh-CN" w:bidi="ar"/>
              </w:rPr>
              <w:t>防汛道路位置统计表</w:t>
            </w:r>
          </w:p>
          <w:tbl>
            <w:tblPr>
              <w:tblStyle w:val="20"/>
              <w:tblW w:w="82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6"/>
              <w:gridCol w:w="795"/>
              <w:gridCol w:w="2320"/>
              <w:gridCol w:w="1342"/>
              <w:gridCol w:w="1020"/>
              <w:gridCol w:w="1326"/>
            </w:tblGrid>
            <w:tr w14:paraId="074B2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16" w:type="dxa"/>
                  <w:vAlign w:val="center"/>
                </w:tcPr>
                <w:p w14:paraId="54B9A4E5">
                  <w:pPr>
                    <w:widowControl/>
                    <w:jc w:val="center"/>
                    <w:textAlignment w:val="center"/>
                    <w:rPr>
                      <w:rFonts w:hint="eastAsia"/>
                      <w:color w:val="auto"/>
                      <w:szCs w:val="21"/>
                      <w:lang w:eastAsia="zh-CN"/>
                    </w:rPr>
                  </w:pPr>
                  <w:r>
                    <w:rPr>
                      <w:rFonts w:hint="eastAsia"/>
                      <w:color w:val="auto"/>
                      <w:szCs w:val="21"/>
                      <w:lang w:eastAsia="zh-CN"/>
                    </w:rPr>
                    <w:t>河道名称</w:t>
                  </w:r>
                </w:p>
              </w:tc>
              <w:tc>
                <w:tcPr>
                  <w:tcW w:w="795" w:type="dxa"/>
                  <w:vAlign w:val="center"/>
                </w:tcPr>
                <w:p w14:paraId="70F7C206">
                  <w:pPr>
                    <w:widowControl/>
                    <w:jc w:val="center"/>
                    <w:textAlignment w:val="center"/>
                    <w:rPr>
                      <w:rFonts w:hint="eastAsia"/>
                      <w:color w:val="auto"/>
                      <w:szCs w:val="21"/>
                      <w:lang w:eastAsia="zh-CN"/>
                    </w:rPr>
                  </w:pPr>
                  <w:r>
                    <w:rPr>
                      <w:rFonts w:hint="eastAsia"/>
                      <w:color w:val="auto"/>
                      <w:szCs w:val="21"/>
                      <w:lang w:eastAsia="zh-CN"/>
                    </w:rPr>
                    <w:t>岸别</w:t>
                  </w:r>
                </w:p>
              </w:tc>
              <w:tc>
                <w:tcPr>
                  <w:tcW w:w="2320" w:type="dxa"/>
                  <w:vAlign w:val="center"/>
                </w:tcPr>
                <w:p w14:paraId="6BDB6267">
                  <w:pPr>
                    <w:widowControl/>
                    <w:jc w:val="center"/>
                    <w:textAlignment w:val="center"/>
                    <w:rPr>
                      <w:rFonts w:hint="eastAsia"/>
                      <w:color w:val="auto"/>
                      <w:szCs w:val="21"/>
                      <w:lang w:eastAsia="zh-CN"/>
                    </w:rPr>
                  </w:pPr>
                  <w:r>
                    <w:rPr>
                      <w:rFonts w:hint="eastAsia"/>
                      <w:color w:val="auto"/>
                      <w:szCs w:val="21"/>
                      <w:lang w:eastAsia="zh-CN"/>
                    </w:rPr>
                    <w:t>河道范围</w:t>
                  </w:r>
                </w:p>
              </w:tc>
              <w:tc>
                <w:tcPr>
                  <w:tcW w:w="1342" w:type="dxa"/>
                  <w:vAlign w:val="center"/>
                </w:tcPr>
                <w:p w14:paraId="5A5AFDEE">
                  <w:pPr>
                    <w:widowControl/>
                    <w:jc w:val="center"/>
                    <w:textAlignment w:val="center"/>
                    <w:rPr>
                      <w:rFonts w:hint="eastAsia"/>
                      <w:color w:val="auto"/>
                      <w:szCs w:val="21"/>
                      <w:lang w:eastAsia="zh-CN"/>
                    </w:rPr>
                  </w:pPr>
                  <w:r>
                    <w:rPr>
                      <w:rFonts w:hint="eastAsia"/>
                      <w:color w:val="auto"/>
                      <w:szCs w:val="21"/>
                      <w:lang w:eastAsia="zh-CN"/>
                    </w:rPr>
                    <w:t>道路宽度</w:t>
                  </w:r>
                </w:p>
              </w:tc>
              <w:tc>
                <w:tcPr>
                  <w:tcW w:w="1020" w:type="dxa"/>
                  <w:vAlign w:val="center"/>
                </w:tcPr>
                <w:p w14:paraId="6FCC7EAE">
                  <w:pPr>
                    <w:widowControl/>
                    <w:jc w:val="center"/>
                    <w:textAlignment w:val="center"/>
                    <w:rPr>
                      <w:rFonts w:hint="eastAsia"/>
                      <w:color w:val="auto"/>
                      <w:szCs w:val="21"/>
                      <w:lang w:eastAsia="zh-CN"/>
                    </w:rPr>
                  </w:pPr>
                  <w:r>
                    <w:rPr>
                      <w:rFonts w:hint="eastAsia"/>
                      <w:color w:val="auto"/>
                      <w:szCs w:val="21"/>
                      <w:lang w:eastAsia="zh-CN"/>
                    </w:rPr>
                    <w:t>长度</w:t>
                  </w:r>
                </w:p>
              </w:tc>
              <w:tc>
                <w:tcPr>
                  <w:tcW w:w="1326" w:type="dxa"/>
                  <w:vAlign w:val="center"/>
                </w:tcPr>
                <w:p w14:paraId="1324D6A5">
                  <w:pPr>
                    <w:widowControl/>
                    <w:jc w:val="center"/>
                    <w:textAlignment w:val="center"/>
                    <w:rPr>
                      <w:rFonts w:hint="eastAsia"/>
                      <w:color w:val="auto"/>
                      <w:szCs w:val="21"/>
                      <w:lang w:eastAsia="zh-CN"/>
                    </w:rPr>
                  </w:pPr>
                  <w:r>
                    <w:rPr>
                      <w:rFonts w:hint="eastAsia"/>
                      <w:color w:val="auto"/>
                      <w:szCs w:val="21"/>
                      <w:lang w:eastAsia="zh-CN"/>
                    </w:rPr>
                    <w:t>备注</w:t>
                  </w:r>
                </w:p>
              </w:tc>
            </w:tr>
            <w:tr w14:paraId="72728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jc w:val="center"/>
              </w:trPr>
              <w:tc>
                <w:tcPr>
                  <w:tcW w:w="1416" w:type="dxa"/>
                  <w:vMerge w:val="restart"/>
                  <w:vAlign w:val="center"/>
                </w:tcPr>
                <w:p w14:paraId="63875C55">
                  <w:pPr>
                    <w:widowControl/>
                    <w:jc w:val="center"/>
                    <w:textAlignment w:val="center"/>
                    <w:rPr>
                      <w:rFonts w:hint="eastAsia"/>
                      <w:color w:val="auto"/>
                      <w:szCs w:val="21"/>
                      <w:lang w:eastAsia="zh-CN"/>
                    </w:rPr>
                  </w:pPr>
                  <w:r>
                    <w:rPr>
                      <w:rFonts w:hint="eastAsia"/>
                      <w:color w:val="auto"/>
                      <w:szCs w:val="21"/>
                      <w:lang w:eastAsia="zh-CN"/>
                    </w:rPr>
                    <w:t>涝淄河</w:t>
                  </w:r>
                </w:p>
              </w:tc>
              <w:tc>
                <w:tcPr>
                  <w:tcW w:w="795" w:type="dxa"/>
                  <w:vAlign w:val="center"/>
                </w:tcPr>
                <w:p w14:paraId="5AEE1D3E">
                  <w:pPr>
                    <w:widowControl/>
                    <w:jc w:val="center"/>
                    <w:textAlignment w:val="center"/>
                    <w:rPr>
                      <w:rFonts w:hint="eastAsia"/>
                      <w:color w:val="auto"/>
                      <w:szCs w:val="21"/>
                      <w:lang w:eastAsia="zh-CN"/>
                    </w:rPr>
                  </w:pPr>
                  <w:r>
                    <w:rPr>
                      <w:rFonts w:hint="eastAsia"/>
                      <w:color w:val="auto"/>
                      <w:szCs w:val="21"/>
                      <w:lang w:eastAsia="zh-CN"/>
                    </w:rPr>
                    <w:t>右岸</w:t>
                  </w:r>
                </w:p>
              </w:tc>
              <w:tc>
                <w:tcPr>
                  <w:tcW w:w="2320" w:type="dxa"/>
                  <w:vAlign w:val="center"/>
                </w:tcPr>
                <w:p w14:paraId="7BE4B0BB">
                  <w:pPr>
                    <w:widowControl/>
                    <w:jc w:val="center"/>
                    <w:textAlignment w:val="center"/>
                    <w:rPr>
                      <w:rFonts w:hint="eastAsia"/>
                      <w:color w:val="auto"/>
                      <w:szCs w:val="21"/>
                      <w:lang w:eastAsia="zh-CN"/>
                    </w:rPr>
                  </w:pPr>
                  <w:r>
                    <w:rPr>
                      <w:rFonts w:hint="eastAsia"/>
                      <w:color w:val="auto"/>
                      <w:szCs w:val="21"/>
                      <w:lang w:eastAsia="zh-CN"/>
                    </w:rPr>
                    <w:t>胶济铁路~昌国路</w:t>
                  </w:r>
                </w:p>
              </w:tc>
              <w:tc>
                <w:tcPr>
                  <w:tcW w:w="1342" w:type="dxa"/>
                  <w:vAlign w:val="center"/>
                </w:tcPr>
                <w:p w14:paraId="0F5CF4A4">
                  <w:pPr>
                    <w:widowControl/>
                    <w:jc w:val="center"/>
                    <w:textAlignment w:val="center"/>
                    <w:rPr>
                      <w:rFonts w:hint="eastAsia"/>
                      <w:color w:val="auto"/>
                      <w:szCs w:val="21"/>
                      <w:lang w:eastAsia="zh-CN"/>
                    </w:rPr>
                  </w:pPr>
                  <w:r>
                    <w:rPr>
                      <w:rFonts w:hint="eastAsia"/>
                      <w:color w:val="auto"/>
                      <w:szCs w:val="21"/>
                      <w:lang w:eastAsia="zh-CN"/>
                    </w:rPr>
                    <w:t>7m</w:t>
                  </w:r>
                </w:p>
              </w:tc>
              <w:tc>
                <w:tcPr>
                  <w:tcW w:w="1020" w:type="dxa"/>
                  <w:vAlign w:val="center"/>
                </w:tcPr>
                <w:p w14:paraId="7C21F10B">
                  <w:pPr>
                    <w:widowControl/>
                    <w:jc w:val="center"/>
                    <w:textAlignment w:val="center"/>
                    <w:rPr>
                      <w:rFonts w:hint="eastAsia"/>
                      <w:color w:val="auto"/>
                      <w:szCs w:val="21"/>
                      <w:lang w:eastAsia="zh-CN"/>
                    </w:rPr>
                  </w:pPr>
                  <w:r>
                    <w:rPr>
                      <w:rFonts w:hint="eastAsia"/>
                      <w:color w:val="auto"/>
                      <w:szCs w:val="21"/>
                      <w:lang w:eastAsia="zh-CN"/>
                    </w:rPr>
                    <w:t>940m</w:t>
                  </w:r>
                </w:p>
              </w:tc>
              <w:tc>
                <w:tcPr>
                  <w:tcW w:w="1326" w:type="dxa"/>
                  <w:vAlign w:val="center"/>
                </w:tcPr>
                <w:p w14:paraId="3D293F6A">
                  <w:pPr>
                    <w:widowControl/>
                    <w:jc w:val="center"/>
                    <w:textAlignment w:val="center"/>
                    <w:rPr>
                      <w:rFonts w:hint="eastAsia"/>
                      <w:color w:val="auto"/>
                      <w:szCs w:val="21"/>
                      <w:lang w:eastAsia="zh-CN"/>
                    </w:rPr>
                  </w:pPr>
                  <w:r>
                    <w:rPr>
                      <w:rFonts w:hint="eastAsia"/>
                      <w:color w:val="auto"/>
                      <w:szCs w:val="21"/>
                      <w:lang w:eastAsia="zh-CN"/>
                    </w:rPr>
                    <w:t>新建</w:t>
                  </w:r>
                </w:p>
              </w:tc>
            </w:tr>
            <w:tr w14:paraId="4BF43B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jc w:val="center"/>
              </w:trPr>
              <w:tc>
                <w:tcPr>
                  <w:tcW w:w="1416" w:type="dxa"/>
                  <w:vMerge w:val="continue"/>
                  <w:vAlign w:val="center"/>
                </w:tcPr>
                <w:p w14:paraId="2EE292D6">
                  <w:pPr>
                    <w:widowControl/>
                    <w:jc w:val="center"/>
                    <w:textAlignment w:val="center"/>
                    <w:rPr>
                      <w:rFonts w:hint="eastAsia"/>
                      <w:color w:val="auto"/>
                      <w:szCs w:val="21"/>
                      <w:lang w:eastAsia="zh-CN"/>
                    </w:rPr>
                  </w:pPr>
                </w:p>
              </w:tc>
              <w:tc>
                <w:tcPr>
                  <w:tcW w:w="795" w:type="dxa"/>
                  <w:vAlign w:val="center"/>
                </w:tcPr>
                <w:p w14:paraId="4527F894">
                  <w:pPr>
                    <w:widowControl/>
                    <w:jc w:val="center"/>
                    <w:textAlignment w:val="center"/>
                    <w:rPr>
                      <w:rFonts w:hint="eastAsia"/>
                      <w:color w:val="auto"/>
                      <w:szCs w:val="21"/>
                      <w:lang w:eastAsia="zh-CN"/>
                    </w:rPr>
                  </w:pPr>
                  <w:r>
                    <w:rPr>
                      <w:rFonts w:hint="eastAsia"/>
                      <w:color w:val="auto"/>
                      <w:szCs w:val="21"/>
                      <w:lang w:eastAsia="zh-CN"/>
                    </w:rPr>
                    <w:t>右岸</w:t>
                  </w:r>
                </w:p>
              </w:tc>
              <w:tc>
                <w:tcPr>
                  <w:tcW w:w="2320" w:type="dxa"/>
                  <w:vAlign w:val="center"/>
                </w:tcPr>
                <w:p w14:paraId="297821A1">
                  <w:pPr>
                    <w:widowControl/>
                    <w:jc w:val="center"/>
                    <w:textAlignment w:val="center"/>
                    <w:rPr>
                      <w:rFonts w:hint="eastAsia"/>
                      <w:color w:val="auto"/>
                      <w:szCs w:val="21"/>
                      <w:lang w:eastAsia="zh-CN"/>
                    </w:rPr>
                  </w:pPr>
                  <w:r>
                    <w:rPr>
                      <w:rFonts w:hint="eastAsia"/>
                      <w:color w:val="auto"/>
                      <w:szCs w:val="21"/>
                      <w:lang w:eastAsia="zh-CN"/>
                    </w:rPr>
                    <w:t>向阳路~海岱大道</w:t>
                  </w:r>
                </w:p>
              </w:tc>
              <w:tc>
                <w:tcPr>
                  <w:tcW w:w="1342" w:type="dxa"/>
                  <w:vAlign w:val="center"/>
                </w:tcPr>
                <w:p w14:paraId="00AEEB7E">
                  <w:pPr>
                    <w:widowControl/>
                    <w:jc w:val="center"/>
                    <w:textAlignment w:val="center"/>
                    <w:rPr>
                      <w:rFonts w:hint="eastAsia"/>
                      <w:color w:val="auto"/>
                      <w:szCs w:val="21"/>
                      <w:lang w:eastAsia="zh-CN"/>
                    </w:rPr>
                  </w:pPr>
                  <w:r>
                    <w:rPr>
                      <w:rFonts w:hint="eastAsia"/>
                      <w:color w:val="auto"/>
                      <w:szCs w:val="21"/>
                      <w:lang w:eastAsia="zh-CN"/>
                    </w:rPr>
                    <w:t>7m</w:t>
                  </w:r>
                </w:p>
              </w:tc>
              <w:tc>
                <w:tcPr>
                  <w:tcW w:w="1020" w:type="dxa"/>
                  <w:vAlign w:val="center"/>
                </w:tcPr>
                <w:p w14:paraId="518CF79F">
                  <w:pPr>
                    <w:widowControl/>
                    <w:jc w:val="center"/>
                    <w:textAlignment w:val="center"/>
                    <w:rPr>
                      <w:rFonts w:hint="eastAsia"/>
                      <w:color w:val="auto"/>
                      <w:szCs w:val="21"/>
                      <w:lang w:eastAsia="zh-CN"/>
                    </w:rPr>
                  </w:pPr>
                  <w:r>
                    <w:rPr>
                      <w:rFonts w:hint="eastAsia"/>
                      <w:color w:val="auto"/>
                      <w:szCs w:val="21"/>
                      <w:lang w:eastAsia="zh-CN"/>
                    </w:rPr>
                    <w:t>1100m</w:t>
                  </w:r>
                </w:p>
              </w:tc>
              <w:tc>
                <w:tcPr>
                  <w:tcW w:w="1326" w:type="dxa"/>
                  <w:vAlign w:val="center"/>
                </w:tcPr>
                <w:p w14:paraId="2804671B">
                  <w:pPr>
                    <w:widowControl/>
                    <w:jc w:val="center"/>
                    <w:textAlignment w:val="center"/>
                    <w:rPr>
                      <w:rFonts w:hint="eastAsia"/>
                      <w:color w:val="auto"/>
                      <w:szCs w:val="21"/>
                      <w:lang w:eastAsia="zh-CN"/>
                    </w:rPr>
                  </w:pPr>
                  <w:r>
                    <w:rPr>
                      <w:rFonts w:hint="eastAsia"/>
                      <w:color w:val="auto"/>
                      <w:szCs w:val="21"/>
                      <w:lang w:eastAsia="zh-CN"/>
                    </w:rPr>
                    <w:t>改建</w:t>
                  </w:r>
                </w:p>
              </w:tc>
            </w:tr>
            <w:tr w14:paraId="5059B9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jc w:val="center"/>
              </w:trPr>
              <w:tc>
                <w:tcPr>
                  <w:tcW w:w="1416" w:type="dxa"/>
                  <w:vMerge w:val="continue"/>
                  <w:vAlign w:val="center"/>
                </w:tcPr>
                <w:p w14:paraId="73A1E62F">
                  <w:pPr>
                    <w:widowControl/>
                    <w:jc w:val="center"/>
                    <w:textAlignment w:val="center"/>
                    <w:rPr>
                      <w:rFonts w:hint="eastAsia"/>
                      <w:color w:val="auto"/>
                      <w:szCs w:val="21"/>
                      <w:lang w:eastAsia="zh-CN"/>
                    </w:rPr>
                  </w:pPr>
                </w:p>
              </w:tc>
              <w:tc>
                <w:tcPr>
                  <w:tcW w:w="795" w:type="dxa"/>
                  <w:vAlign w:val="center"/>
                </w:tcPr>
                <w:p w14:paraId="25089BD3">
                  <w:pPr>
                    <w:widowControl/>
                    <w:jc w:val="center"/>
                    <w:textAlignment w:val="center"/>
                    <w:rPr>
                      <w:rFonts w:hint="eastAsia"/>
                      <w:color w:val="auto"/>
                      <w:szCs w:val="21"/>
                      <w:lang w:eastAsia="zh-CN"/>
                    </w:rPr>
                  </w:pPr>
                  <w:r>
                    <w:rPr>
                      <w:rFonts w:hint="eastAsia"/>
                      <w:color w:val="auto"/>
                      <w:szCs w:val="21"/>
                      <w:lang w:eastAsia="zh-CN"/>
                    </w:rPr>
                    <w:t>右岸</w:t>
                  </w:r>
                </w:p>
              </w:tc>
              <w:tc>
                <w:tcPr>
                  <w:tcW w:w="2320" w:type="dxa"/>
                  <w:vAlign w:val="center"/>
                </w:tcPr>
                <w:p w14:paraId="564EC624">
                  <w:pPr>
                    <w:widowControl/>
                    <w:jc w:val="center"/>
                    <w:textAlignment w:val="center"/>
                    <w:rPr>
                      <w:rFonts w:hint="eastAsia"/>
                      <w:color w:val="auto"/>
                      <w:szCs w:val="21"/>
                      <w:lang w:eastAsia="zh-CN"/>
                    </w:rPr>
                  </w:pPr>
                  <w:r>
                    <w:rPr>
                      <w:rFonts w:hint="eastAsia"/>
                      <w:color w:val="auto"/>
                      <w:szCs w:val="21"/>
                      <w:lang w:eastAsia="zh-CN"/>
                    </w:rPr>
                    <w:t>海岱大道-汇沣路</w:t>
                  </w:r>
                </w:p>
              </w:tc>
              <w:tc>
                <w:tcPr>
                  <w:tcW w:w="1342" w:type="dxa"/>
                  <w:vAlign w:val="center"/>
                </w:tcPr>
                <w:p w14:paraId="271440C6">
                  <w:pPr>
                    <w:widowControl/>
                    <w:jc w:val="center"/>
                    <w:textAlignment w:val="center"/>
                    <w:rPr>
                      <w:rFonts w:hint="eastAsia"/>
                      <w:color w:val="auto"/>
                      <w:szCs w:val="21"/>
                      <w:lang w:eastAsia="zh-CN"/>
                    </w:rPr>
                  </w:pPr>
                  <w:r>
                    <w:rPr>
                      <w:rFonts w:hint="eastAsia"/>
                      <w:color w:val="auto"/>
                      <w:szCs w:val="21"/>
                      <w:lang w:eastAsia="zh-CN"/>
                    </w:rPr>
                    <w:t>7m</w:t>
                  </w:r>
                </w:p>
              </w:tc>
              <w:tc>
                <w:tcPr>
                  <w:tcW w:w="1020" w:type="dxa"/>
                  <w:vAlign w:val="center"/>
                </w:tcPr>
                <w:p w14:paraId="4F05C2C5">
                  <w:pPr>
                    <w:widowControl/>
                    <w:jc w:val="center"/>
                    <w:textAlignment w:val="center"/>
                    <w:rPr>
                      <w:rFonts w:hint="eastAsia"/>
                      <w:color w:val="auto"/>
                      <w:szCs w:val="21"/>
                      <w:lang w:eastAsia="zh-CN"/>
                    </w:rPr>
                  </w:pPr>
                  <w:r>
                    <w:rPr>
                      <w:rFonts w:hint="eastAsia"/>
                      <w:color w:val="auto"/>
                      <w:szCs w:val="21"/>
                      <w:lang w:eastAsia="zh-CN"/>
                    </w:rPr>
                    <w:t>860m</w:t>
                  </w:r>
                </w:p>
              </w:tc>
              <w:tc>
                <w:tcPr>
                  <w:tcW w:w="1326" w:type="dxa"/>
                  <w:vAlign w:val="center"/>
                </w:tcPr>
                <w:p w14:paraId="2B0DED6A">
                  <w:pPr>
                    <w:widowControl/>
                    <w:jc w:val="center"/>
                    <w:textAlignment w:val="center"/>
                    <w:rPr>
                      <w:rFonts w:hint="eastAsia"/>
                      <w:color w:val="auto"/>
                      <w:szCs w:val="21"/>
                      <w:lang w:eastAsia="zh-CN"/>
                    </w:rPr>
                  </w:pPr>
                  <w:r>
                    <w:rPr>
                      <w:rFonts w:hint="eastAsia"/>
                      <w:color w:val="auto"/>
                      <w:szCs w:val="21"/>
                      <w:lang w:eastAsia="zh-CN"/>
                    </w:rPr>
                    <w:t>新建</w:t>
                  </w:r>
                </w:p>
              </w:tc>
            </w:tr>
            <w:tr w14:paraId="2F513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1416" w:type="dxa"/>
                  <w:vAlign w:val="center"/>
                </w:tcPr>
                <w:p w14:paraId="1D3E7857">
                  <w:pPr>
                    <w:widowControl/>
                    <w:jc w:val="center"/>
                    <w:textAlignment w:val="center"/>
                    <w:rPr>
                      <w:rFonts w:hint="eastAsia"/>
                      <w:color w:val="auto"/>
                      <w:szCs w:val="21"/>
                      <w:lang w:eastAsia="zh-CN"/>
                    </w:rPr>
                  </w:pPr>
                  <w:r>
                    <w:rPr>
                      <w:rFonts w:hint="eastAsia"/>
                      <w:color w:val="auto"/>
                      <w:szCs w:val="21"/>
                      <w:lang w:eastAsia="zh-CN"/>
                    </w:rPr>
                    <w:t>暖水河</w:t>
                  </w:r>
                </w:p>
              </w:tc>
              <w:tc>
                <w:tcPr>
                  <w:tcW w:w="795" w:type="dxa"/>
                  <w:vAlign w:val="center"/>
                </w:tcPr>
                <w:p w14:paraId="009B60C6">
                  <w:pPr>
                    <w:widowControl/>
                    <w:jc w:val="center"/>
                    <w:textAlignment w:val="center"/>
                    <w:rPr>
                      <w:rFonts w:hint="eastAsia"/>
                      <w:color w:val="auto"/>
                      <w:szCs w:val="21"/>
                      <w:lang w:eastAsia="zh-CN"/>
                    </w:rPr>
                  </w:pPr>
                  <w:r>
                    <w:rPr>
                      <w:rFonts w:hint="eastAsia"/>
                      <w:color w:val="auto"/>
                      <w:szCs w:val="21"/>
                      <w:lang w:eastAsia="zh-CN"/>
                    </w:rPr>
                    <w:t>左岸</w:t>
                  </w:r>
                </w:p>
              </w:tc>
              <w:tc>
                <w:tcPr>
                  <w:tcW w:w="2320" w:type="dxa"/>
                  <w:vAlign w:val="center"/>
                </w:tcPr>
                <w:p w14:paraId="63DC4420">
                  <w:pPr>
                    <w:widowControl/>
                    <w:jc w:val="center"/>
                    <w:textAlignment w:val="center"/>
                    <w:rPr>
                      <w:rFonts w:hint="eastAsia"/>
                      <w:color w:val="auto"/>
                      <w:szCs w:val="21"/>
                      <w:lang w:eastAsia="zh-CN"/>
                    </w:rPr>
                  </w:pPr>
                  <w:r>
                    <w:rPr>
                      <w:rFonts w:hint="eastAsia"/>
                      <w:color w:val="auto"/>
                      <w:szCs w:val="21"/>
                      <w:lang w:eastAsia="zh-CN"/>
                    </w:rPr>
                    <w:t>张罗路至瓦村</w:t>
                  </w:r>
                </w:p>
              </w:tc>
              <w:tc>
                <w:tcPr>
                  <w:tcW w:w="1342" w:type="dxa"/>
                  <w:vAlign w:val="center"/>
                </w:tcPr>
                <w:p w14:paraId="142E624F">
                  <w:pPr>
                    <w:widowControl/>
                    <w:jc w:val="center"/>
                    <w:textAlignment w:val="center"/>
                    <w:rPr>
                      <w:rFonts w:hint="eastAsia"/>
                      <w:color w:val="auto"/>
                      <w:szCs w:val="21"/>
                      <w:lang w:eastAsia="zh-CN"/>
                    </w:rPr>
                  </w:pPr>
                  <w:r>
                    <w:rPr>
                      <w:rFonts w:hint="eastAsia"/>
                      <w:color w:val="auto"/>
                      <w:szCs w:val="21"/>
                      <w:lang w:eastAsia="zh-CN"/>
                    </w:rPr>
                    <w:t>7m</w:t>
                  </w:r>
                </w:p>
              </w:tc>
              <w:tc>
                <w:tcPr>
                  <w:tcW w:w="1020" w:type="dxa"/>
                  <w:vAlign w:val="center"/>
                </w:tcPr>
                <w:p w14:paraId="527E381B">
                  <w:pPr>
                    <w:widowControl/>
                    <w:jc w:val="center"/>
                    <w:textAlignment w:val="center"/>
                    <w:rPr>
                      <w:rFonts w:hint="eastAsia"/>
                      <w:color w:val="auto"/>
                      <w:szCs w:val="21"/>
                      <w:lang w:eastAsia="zh-CN"/>
                    </w:rPr>
                  </w:pPr>
                  <w:r>
                    <w:rPr>
                      <w:rFonts w:hint="eastAsia"/>
                      <w:color w:val="auto"/>
                      <w:szCs w:val="21"/>
                      <w:lang w:eastAsia="zh-CN"/>
                    </w:rPr>
                    <w:t>700m</w:t>
                  </w:r>
                </w:p>
              </w:tc>
              <w:tc>
                <w:tcPr>
                  <w:tcW w:w="1326" w:type="dxa"/>
                  <w:vAlign w:val="center"/>
                </w:tcPr>
                <w:p w14:paraId="4F3B419E">
                  <w:pPr>
                    <w:widowControl/>
                    <w:jc w:val="center"/>
                    <w:textAlignment w:val="center"/>
                    <w:rPr>
                      <w:rFonts w:hint="eastAsia"/>
                      <w:color w:val="auto"/>
                      <w:szCs w:val="21"/>
                      <w:lang w:eastAsia="zh-CN"/>
                    </w:rPr>
                  </w:pPr>
                  <w:r>
                    <w:rPr>
                      <w:rFonts w:hint="eastAsia"/>
                      <w:color w:val="auto"/>
                      <w:szCs w:val="21"/>
                      <w:lang w:eastAsia="zh-CN"/>
                    </w:rPr>
                    <w:t>改建</w:t>
                  </w:r>
                </w:p>
              </w:tc>
            </w:tr>
            <w:tr w14:paraId="52422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jc w:val="center"/>
              </w:trPr>
              <w:tc>
                <w:tcPr>
                  <w:tcW w:w="1416" w:type="dxa"/>
                  <w:vAlign w:val="center"/>
                </w:tcPr>
                <w:p w14:paraId="59496E6A">
                  <w:pPr>
                    <w:widowControl/>
                    <w:jc w:val="center"/>
                    <w:textAlignment w:val="center"/>
                    <w:rPr>
                      <w:rFonts w:hint="eastAsia"/>
                      <w:color w:val="auto"/>
                      <w:szCs w:val="21"/>
                      <w:lang w:eastAsia="zh-CN"/>
                    </w:rPr>
                  </w:pPr>
                  <w:r>
                    <w:rPr>
                      <w:rFonts w:hint="eastAsia"/>
                      <w:color w:val="auto"/>
                      <w:szCs w:val="21"/>
                      <w:lang w:eastAsia="zh-CN"/>
                    </w:rPr>
                    <w:t>瓦村沟</w:t>
                  </w:r>
                </w:p>
              </w:tc>
              <w:tc>
                <w:tcPr>
                  <w:tcW w:w="795" w:type="dxa"/>
                  <w:vAlign w:val="center"/>
                </w:tcPr>
                <w:p w14:paraId="711DBA96">
                  <w:pPr>
                    <w:widowControl/>
                    <w:jc w:val="center"/>
                    <w:textAlignment w:val="center"/>
                    <w:rPr>
                      <w:rFonts w:hint="eastAsia"/>
                      <w:color w:val="auto"/>
                      <w:szCs w:val="21"/>
                      <w:lang w:eastAsia="zh-CN"/>
                    </w:rPr>
                  </w:pPr>
                  <w:r>
                    <w:rPr>
                      <w:rFonts w:hint="eastAsia"/>
                      <w:color w:val="auto"/>
                      <w:szCs w:val="21"/>
                      <w:lang w:eastAsia="zh-CN"/>
                    </w:rPr>
                    <w:t>右岸</w:t>
                  </w:r>
                </w:p>
              </w:tc>
              <w:tc>
                <w:tcPr>
                  <w:tcW w:w="2320" w:type="dxa"/>
                  <w:vAlign w:val="center"/>
                </w:tcPr>
                <w:p w14:paraId="1C8C03C8">
                  <w:pPr>
                    <w:widowControl/>
                    <w:jc w:val="center"/>
                    <w:textAlignment w:val="center"/>
                    <w:rPr>
                      <w:rFonts w:hint="eastAsia"/>
                      <w:color w:val="auto"/>
                      <w:szCs w:val="21"/>
                      <w:lang w:eastAsia="zh-CN"/>
                    </w:rPr>
                  </w:pPr>
                  <w:r>
                    <w:rPr>
                      <w:rFonts w:hint="eastAsia"/>
                      <w:color w:val="auto"/>
                      <w:szCs w:val="21"/>
                      <w:lang w:eastAsia="zh-CN"/>
                    </w:rPr>
                    <w:t>车站街至双沟铁路</w:t>
                  </w:r>
                </w:p>
              </w:tc>
              <w:tc>
                <w:tcPr>
                  <w:tcW w:w="1342" w:type="dxa"/>
                  <w:vAlign w:val="center"/>
                </w:tcPr>
                <w:p w14:paraId="4279C9BA">
                  <w:pPr>
                    <w:widowControl/>
                    <w:jc w:val="center"/>
                    <w:textAlignment w:val="center"/>
                    <w:rPr>
                      <w:rFonts w:hint="eastAsia"/>
                      <w:color w:val="auto"/>
                      <w:szCs w:val="21"/>
                      <w:lang w:eastAsia="zh-CN"/>
                    </w:rPr>
                  </w:pPr>
                  <w:r>
                    <w:rPr>
                      <w:rFonts w:hint="eastAsia"/>
                      <w:color w:val="auto"/>
                      <w:szCs w:val="21"/>
                      <w:lang w:eastAsia="zh-CN"/>
                    </w:rPr>
                    <w:t>7m</w:t>
                  </w:r>
                </w:p>
              </w:tc>
              <w:tc>
                <w:tcPr>
                  <w:tcW w:w="1020" w:type="dxa"/>
                  <w:vAlign w:val="center"/>
                </w:tcPr>
                <w:p w14:paraId="553CB5A4">
                  <w:pPr>
                    <w:widowControl/>
                    <w:jc w:val="center"/>
                    <w:textAlignment w:val="center"/>
                    <w:rPr>
                      <w:rFonts w:hint="eastAsia"/>
                      <w:color w:val="auto"/>
                      <w:szCs w:val="21"/>
                      <w:lang w:eastAsia="zh-CN"/>
                    </w:rPr>
                  </w:pPr>
                  <w:r>
                    <w:rPr>
                      <w:rFonts w:hint="eastAsia"/>
                      <w:color w:val="auto"/>
                      <w:szCs w:val="21"/>
                      <w:lang w:eastAsia="zh-CN"/>
                    </w:rPr>
                    <w:t>330m</w:t>
                  </w:r>
                </w:p>
              </w:tc>
              <w:tc>
                <w:tcPr>
                  <w:tcW w:w="1326" w:type="dxa"/>
                  <w:vAlign w:val="center"/>
                </w:tcPr>
                <w:p w14:paraId="151142F3">
                  <w:pPr>
                    <w:widowControl/>
                    <w:jc w:val="center"/>
                    <w:textAlignment w:val="center"/>
                    <w:rPr>
                      <w:rFonts w:hint="eastAsia"/>
                      <w:color w:val="auto"/>
                      <w:szCs w:val="21"/>
                      <w:lang w:eastAsia="zh-CN"/>
                    </w:rPr>
                  </w:pPr>
                  <w:r>
                    <w:rPr>
                      <w:rFonts w:hint="eastAsia"/>
                      <w:color w:val="auto"/>
                      <w:szCs w:val="21"/>
                      <w:lang w:eastAsia="zh-CN"/>
                    </w:rPr>
                    <w:t>改建</w:t>
                  </w:r>
                </w:p>
              </w:tc>
            </w:tr>
          </w:tbl>
          <w:p w14:paraId="4FC953ED">
            <w:pPr>
              <w:spacing w:line="360" w:lineRule="auto"/>
              <w:ind w:firstLine="476" w:firstLineChars="200"/>
              <w:rPr>
                <w:rFonts w:hint="eastAsia"/>
                <w:color w:val="auto"/>
                <w:spacing w:val="-1"/>
                <w:sz w:val="24"/>
              </w:rPr>
            </w:pPr>
            <w:r>
              <w:rPr>
                <w:rFonts w:hint="eastAsia"/>
                <w:color w:val="auto"/>
                <w:spacing w:val="-1"/>
                <w:sz w:val="24"/>
                <w:lang w:val="en-US" w:eastAsia="zh-CN"/>
              </w:rPr>
              <w:t>2、</w:t>
            </w:r>
            <w:r>
              <w:rPr>
                <w:rFonts w:hint="eastAsia"/>
                <w:color w:val="auto"/>
                <w:spacing w:val="-1"/>
                <w:sz w:val="24"/>
              </w:rPr>
              <w:t>道路路面设计</w:t>
            </w:r>
          </w:p>
          <w:p w14:paraId="79A5933F">
            <w:pPr>
              <w:spacing w:line="360" w:lineRule="auto"/>
              <w:ind w:firstLine="476" w:firstLineChars="200"/>
              <w:rPr>
                <w:rFonts w:hint="eastAsia"/>
                <w:color w:val="auto"/>
                <w:spacing w:val="-1"/>
                <w:sz w:val="24"/>
              </w:rPr>
            </w:pPr>
            <w:r>
              <w:rPr>
                <w:rFonts w:hint="eastAsia"/>
                <w:color w:val="auto"/>
                <w:spacing w:val="-1"/>
                <w:sz w:val="24"/>
                <w:lang w:eastAsia="zh-CN"/>
              </w:rPr>
              <w:t>（</w:t>
            </w:r>
            <w:r>
              <w:rPr>
                <w:rFonts w:hint="eastAsia"/>
                <w:color w:val="auto"/>
                <w:spacing w:val="-1"/>
                <w:sz w:val="24"/>
                <w:lang w:val="en-US" w:eastAsia="zh-CN"/>
              </w:rPr>
              <w:t>1</w:t>
            </w:r>
            <w:r>
              <w:rPr>
                <w:rFonts w:hint="eastAsia"/>
                <w:color w:val="auto"/>
                <w:spacing w:val="-1"/>
                <w:sz w:val="24"/>
                <w:lang w:eastAsia="zh-CN"/>
              </w:rPr>
              <w:t>）</w:t>
            </w:r>
            <w:r>
              <w:rPr>
                <w:rFonts w:hint="eastAsia"/>
                <w:color w:val="auto"/>
                <w:spacing w:val="-1"/>
                <w:sz w:val="24"/>
              </w:rPr>
              <w:t>路面结构</w:t>
            </w:r>
          </w:p>
          <w:p w14:paraId="600EC428">
            <w:pPr>
              <w:spacing w:line="360" w:lineRule="auto"/>
              <w:ind w:firstLine="476" w:firstLineChars="200"/>
              <w:rPr>
                <w:rFonts w:hint="eastAsia"/>
                <w:color w:val="auto"/>
                <w:spacing w:val="-1"/>
                <w:sz w:val="24"/>
              </w:rPr>
            </w:pPr>
            <w:r>
              <w:rPr>
                <w:rFonts w:hint="eastAsia"/>
                <w:color w:val="auto"/>
                <w:spacing w:val="-1"/>
                <w:sz w:val="24"/>
              </w:rPr>
              <w:t>根据《堤防工程设计规范》（GB50286-2013），河道堤防等级为 2 级，堤防宽度不小于6m，新建防汛路面宽6m，根据《公路沥青路面设计规范》（JTGD50-2017），防汛道路路面结构自上而下为：40mm厚细粒式沥青混凝土面层AC-13、乳化沥青粘层(PC-3 0.4L/m</w:t>
            </w:r>
            <w:r>
              <w:rPr>
                <w:rFonts w:hint="eastAsia"/>
                <w:color w:val="auto"/>
                <w:spacing w:val="-1"/>
                <w:sz w:val="24"/>
                <w:vertAlign w:val="superscript"/>
              </w:rPr>
              <w:t>2</w:t>
            </w:r>
            <w:r>
              <w:rPr>
                <w:rFonts w:hint="eastAsia"/>
                <w:color w:val="auto"/>
                <w:spacing w:val="-1"/>
                <w:sz w:val="24"/>
              </w:rPr>
              <w:t>)、60mm厚中粒式沥青混凝土AC-20C、乳化沥青粘层(PC-3 0.4L/m</w:t>
            </w:r>
            <w:r>
              <w:rPr>
                <w:rFonts w:hint="eastAsia"/>
                <w:color w:val="auto"/>
                <w:spacing w:val="-1"/>
                <w:sz w:val="24"/>
                <w:vertAlign w:val="superscript"/>
                <w:lang w:val="en-US" w:eastAsia="zh-CN"/>
              </w:rPr>
              <w:t>2</w:t>
            </w:r>
            <w:r>
              <w:rPr>
                <w:rFonts w:hint="eastAsia"/>
                <w:color w:val="auto"/>
                <w:spacing w:val="-1"/>
                <w:sz w:val="24"/>
              </w:rPr>
              <w:t>)、乳化沥青下封层(PC-1 1.0kg/m</w:t>
            </w:r>
            <w:r>
              <w:rPr>
                <w:rFonts w:hint="eastAsia"/>
                <w:color w:val="auto"/>
                <w:spacing w:val="-1"/>
                <w:sz w:val="24"/>
                <w:vertAlign w:val="superscript"/>
              </w:rPr>
              <w:t>2</w:t>
            </w:r>
            <w:r>
              <w:rPr>
                <w:rFonts w:hint="eastAsia"/>
                <w:color w:val="auto"/>
                <w:spacing w:val="-1"/>
                <w:sz w:val="24"/>
              </w:rPr>
              <w:t>)、乳化沥青透层(PC-2 1.1L/m</w:t>
            </w:r>
            <w:r>
              <w:rPr>
                <w:rFonts w:hint="eastAsia"/>
                <w:color w:val="auto"/>
                <w:spacing w:val="-1"/>
                <w:sz w:val="24"/>
                <w:vertAlign w:val="superscript"/>
              </w:rPr>
              <w:t>2</w:t>
            </w:r>
            <w:r>
              <w:rPr>
                <w:rFonts w:hint="eastAsia"/>
                <w:color w:val="auto"/>
                <w:spacing w:val="-1"/>
                <w:sz w:val="24"/>
              </w:rPr>
              <w:t>)、160mm厚水泥稳定碎石、160mm厚水泥稳定碎石、180mm厚石灰土（含灰量12%）。两侧设花岗岩路缘石，路缘石长0.8m，宽0.15m，高0.22m，路缘石高出防汛路路面0.15m。道路设计横坡为1.5%，坡向河道一侧。</w:t>
            </w:r>
          </w:p>
          <w:p w14:paraId="31881E81">
            <w:pPr>
              <w:pStyle w:val="8"/>
              <w:ind w:firstLine="400"/>
              <w:jc w:val="center"/>
              <w:rPr>
                <w:rFonts w:hint="eastAsia"/>
                <w:color w:val="auto"/>
                <w:sz w:val="20"/>
              </w:rPr>
            </w:pPr>
            <w:r>
              <w:rPr>
                <w:color w:val="auto"/>
                <w:sz w:val="20"/>
              </w:rPr>
              <w:drawing>
                <wp:inline distT="0" distB="0" distL="0" distR="0">
                  <wp:extent cx="1974215" cy="3232785"/>
                  <wp:effectExtent l="0" t="0" r="6985" b="5715"/>
                  <wp:docPr id="9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2.png"/>
                          <pic:cNvPicPr>
                            <a:picLocks noChangeAspect="1"/>
                          </pic:cNvPicPr>
                        </pic:nvPicPr>
                        <pic:blipFill>
                          <a:blip r:embed="rId15" cstate="print"/>
                          <a:stretch>
                            <a:fillRect/>
                          </a:stretch>
                        </pic:blipFill>
                        <pic:spPr>
                          <a:xfrm>
                            <a:off x="0" y="0"/>
                            <a:ext cx="1974215" cy="3232785"/>
                          </a:xfrm>
                          <a:prstGeom prst="rect">
                            <a:avLst/>
                          </a:prstGeom>
                        </pic:spPr>
                      </pic:pic>
                    </a:graphicData>
                  </a:graphic>
                </wp:inline>
              </w:drawing>
            </w:r>
          </w:p>
          <w:p w14:paraId="4E070AE3">
            <w:pPr>
              <w:pStyle w:val="8"/>
              <w:ind w:firstLine="480"/>
              <w:jc w:val="center"/>
              <w:rPr>
                <w:rFonts w:hint="eastAsia" w:ascii="Times New Roman" w:hAnsi="Times New Roman" w:eastAsia="宋体" w:cs="Times New Roman"/>
                <w:b/>
                <w:bCs w:val="0"/>
                <w:color w:val="auto"/>
                <w:kern w:val="0"/>
                <w:sz w:val="21"/>
                <w:szCs w:val="21"/>
                <w:lang w:val="en-US" w:eastAsia="zh-CN" w:bidi="ar"/>
              </w:rPr>
            </w:pPr>
            <w:r>
              <w:rPr>
                <w:rFonts w:hint="eastAsia" w:ascii="Times New Roman" w:hAnsi="Times New Roman" w:eastAsia="宋体" w:cs="Times New Roman"/>
                <w:b/>
                <w:bCs w:val="0"/>
                <w:color w:val="auto"/>
                <w:kern w:val="0"/>
                <w:sz w:val="21"/>
                <w:szCs w:val="21"/>
                <w:lang w:val="en-US" w:eastAsia="zh-CN" w:bidi="ar"/>
              </w:rPr>
              <w:t>图</w:t>
            </w:r>
            <w:r>
              <w:rPr>
                <w:rFonts w:hint="eastAsia" w:cs="Times New Roman"/>
                <w:b/>
                <w:bCs w:val="0"/>
                <w:color w:val="auto"/>
                <w:kern w:val="0"/>
                <w:sz w:val="21"/>
                <w:szCs w:val="21"/>
                <w:lang w:val="en-US" w:eastAsia="zh-CN" w:bidi="ar"/>
              </w:rPr>
              <w:t>2-3</w:t>
            </w:r>
            <w:r>
              <w:rPr>
                <w:rFonts w:hint="eastAsia" w:ascii="Times New Roman" w:hAnsi="Times New Roman" w:eastAsia="宋体" w:cs="Times New Roman"/>
                <w:b/>
                <w:bCs w:val="0"/>
                <w:color w:val="auto"/>
                <w:kern w:val="0"/>
                <w:sz w:val="21"/>
                <w:szCs w:val="21"/>
                <w:lang w:val="en-US" w:eastAsia="zh-CN" w:bidi="ar"/>
              </w:rPr>
              <w:t xml:space="preserve"> 防汛路车行道路面结构图</w:t>
            </w:r>
          </w:p>
          <w:p w14:paraId="7F398000">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（2）新旧路面接缝设计</w:t>
            </w:r>
          </w:p>
          <w:p w14:paraId="5BF08286">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为了保证新旧路搭接处路面结构的安全性，避免出现不均匀沉降，新建沥青路面与现状水泥砼路面接缝处设置θ25拉杆，长80cm，间距40cm。采用现浇C25水泥砼层固结，水泥砼表面凿毛并摊铺沥青面层，喷洒乳化沥青粘层前先将水泥砼表面浮浆清除干净。</w:t>
            </w:r>
          </w:p>
          <w:p w14:paraId="34CC38B4">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新旧沥青路面衔接采用错台衔接，台宽50cm。</w:t>
            </w:r>
          </w:p>
          <w:p w14:paraId="19A82C0E">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（3）路基设计</w:t>
            </w:r>
          </w:p>
          <w:p w14:paraId="63AEE6AE">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1）路基清理</w:t>
            </w:r>
          </w:p>
          <w:p w14:paraId="47D499FF">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路基填筑前，应首先进行路基用地范围内的地表清理，现状道路改建应先将现状道路拆除后进行地表清理，对路基用地范围内的小乔木、灌木丛等进行砍伐或移植，原地面坑洞做回填处理。应完全清除垃圾、有机物残渣、草皮、淤泥，直至原状未扰动地质结构层；对可用于绿化的地表耕殖土应集中堆放，以便以后利用。</w:t>
            </w:r>
          </w:p>
          <w:p w14:paraId="42249DFC">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2）路基强度</w:t>
            </w:r>
          </w:p>
          <w:p w14:paraId="11CD97EE">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土基回弹模量根据以往实体工程检测资料及规范标准取值，机动车道下土基回弹模量≥40MPa，路基顶面交工验收弯沉值根据实验路段确定，且不大于212.9（0.01mm）。</w:t>
            </w:r>
          </w:p>
          <w:p w14:paraId="174A2E99">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3）路基填料</w:t>
            </w:r>
          </w:p>
          <w:p w14:paraId="13EA72B6">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1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①</w:t>
            </w:r>
            <w:r>
              <w:rPr>
                <w:rFonts w:hint="eastAsia"/>
                <w:color w:val="auto"/>
                <w:spacing w:val="-1"/>
                <w:sz w:val="24"/>
                <w:lang w:val="en-US" w:eastAsia="zh-CN"/>
              </w:rPr>
              <w:fldChar w:fldCharType="end"/>
            </w:r>
            <w:r>
              <w:rPr>
                <w:rFonts w:hint="eastAsia"/>
                <w:color w:val="auto"/>
                <w:spacing w:val="-1"/>
                <w:sz w:val="24"/>
                <w:lang w:val="en-US" w:eastAsia="zh-CN"/>
              </w:rPr>
              <w:t>填方路基应优先选用级配较好的砾类土、砂类土等粗粒土作为填料，填料最大粒径应小于150mm，含泥量宜小于 5%。</w:t>
            </w:r>
          </w:p>
          <w:p w14:paraId="243F5C67">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2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②</w:t>
            </w:r>
            <w:r>
              <w:rPr>
                <w:rFonts w:hint="eastAsia"/>
                <w:color w:val="auto"/>
                <w:spacing w:val="-1"/>
                <w:sz w:val="24"/>
                <w:lang w:val="en-US" w:eastAsia="zh-CN"/>
              </w:rPr>
              <w:fldChar w:fldCharType="end"/>
            </w:r>
            <w:r>
              <w:rPr>
                <w:rFonts w:hint="eastAsia"/>
                <w:color w:val="auto"/>
                <w:spacing w:val="-1"/>
                <w:sz w:val="24"/>
                <w:lang w:val="en-US" w:eastAsia="zh-CN"/>
              </w:rPr>
              <w:t>路堤填料：不得使用淤泥、沼泽土、冻土、有机土、含草皮土、生活垃圾、树根和含有腐朽物质的土。液限大于50％、塑性指数大于26的细粒土，以及含水量超过规定的土，不得直接作为路堤填料。</w:t>
            </w:r>
          </w:p>
          <w:p w14:paraId="2DC89C4F">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3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③</w:t>
            </w:r>
            <w:r>
              <w:rPr>
                <w:rFonts w:hint="eastAsia"/>
                <w:color w:val="auto"/>
                <w:spacing w:val="-1"/>
                <w:sz w:val="24"/>
                <w:lang w:val="en-US" w:eastAsia="zh-CN"/>
              </w:rPr>
              <w:fldChar w:fldCharType="end"/>
            </w:r>
            <w:r>
              <w:rPr>
                <w:rFonts w:hint="eastAsia"/>
                <w:color w:val="auto"/>
                <w:spacing w:val="-1"/>
                <w:sz w:val="24"/>
                <w:lang w:val="en-US" w:eastAsia="zh-CN"/>
              </w:rPr>
              <w:t>最终形成的路基断面填料强度要求应符合相关规范要求。</w:t>
            </w:r>
          </w:p>
          <w:p w14:paraId="042141B8">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4）填方路段路床处理</w:t>
            </w:r>
          </w:p>
          <w:p w14:paraId="0AE2DA1B">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路基填筑应先清除地表杂土，地基表面碾压密实。路面结构底面以下800mm作为路床部分，采用细粒土填筑，填料最大粒径应小于150mm；填料压实采用重型压实标准，分层碾压压密，每层松铺厚度不宜大于30cm。回填路基厚度≤800mm时，路基压实度不小于93%；回填路基厚度800～1500mm时，路基压实度不小于93%；回填路基厚度≥1500mm时，路基压实度不小于93%。</w:t>
            </w:r>
          </w:p>
          <w:p w14:paraId="3BD6025E">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路床顶面横坡应与路拱横坡一致；当采用细粒土作填料时，土的压实含水率应控制在最佳含水率±2%范围内。</w:t>
            </w:r>
          </w:p>
          <w:p w14:paraId="1C25B1B5">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5）挖方路段路床处理</w:t>
            </w:r>
          </w:p>
          <w:p w14:paraId="6D1F3342">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机动车道路槽开挖后道路施工前应对路床进行压实。压实度不小于93%。</w:t>
            </w:r>
          </w:p>
          <w:p w14:paraId="0DDAB953">
            <w:pPr>
              <w:numPr>
                <w:ilvl w:val="0"/>
                <w:numId w:val="0"/>
              </w:numPr>
              <w:spacing w:line="360" w:lineRule="auto"/>
              <w:rPr>
                <w:rFonts w:hint="eastAsia"/>
                <w:b/>
                <w:bCs/>
                <w:color w:val="auto"/>
                <w:spacing w:val="-1"/>
                <w:sz w:val="24"/>
                <w:lang w:val="en-US" w:eastAsia="zh-CN"/>
              </w:rPr>
            </w:pPr>
            <w:r>
              <w:rPr>
                <w:rFonts w:hint="eastAsia"/>
                <w:b/>
                <w:bCs/>
                <w:color w:val="auto"/>
                <w:spacing w:val="-1"/>
                <w:sz w:val="24"/>
                <w:lang w:val="en-US" w:eastAsia="zh-CN"/>
              </w:rPr>
              <w:t>六、桥梁工程</w:t>
            </w:r>
          </w:p>
          <w:p w14:paraId="065DEE18">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（一）柱式台、桩基桥梁设计</w:t>
            </w:r>
          </w:p>
          <w:p w14:paraId="22AFAE6A">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1、预应力混凝土简支空心板</w:t>
            </w:r>
          </w:p>
          <w:p w14:paraId="48C2ECBA">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（1）上部结构</w:t>
            </w:r>
          </w:p>
          <w:p w14:paraId="79007BB3">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空心板：上部结构预应力钢筋混凝土空心板，板厚 0.7m。</w:t>
            </w:r>
          </w:p>
          <w:p w14:paraId="229683F5">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桥面铺装：分为二层，下层为 100mm现浇C50混凝土，上层为100mm厚沥青混凝土。</w:t>
            </w:r>
          </w:p>
          <w:p w14:paraId="03510049">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抗震设防：上部构造采取抗震防落梁措施，桥板中间设置防侧向位移的抗震锚栓，并在桥台上设横向挡块。</w:t>
            </w:r>
          </w:p>
          <w:p w14:paraId="55849F6C">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伸缩缝：在两桥台处设置微量伸缩缝。</w:t>
            </w:r>
          </w:p>
          <w:p w14:paraId="0235DB6E">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支座：GYZφ200×42mm 橡胶圆板支座。</w:t>
            </w:r>
          </w:p>
          <w:p w14:paraId="7DF0B1AF">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（2）下部结构</w:t>
            </w:r>
          </w:p>
          <w:p w14:paraId="15DD8FEC">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根据地质勘察报告，桥梁下部结构桥台采用桩柱接盖梁桥台，桩基础采用钻孔灌注桩，按摩擦桩设计，桩端进入中风化泥岩。桥梁下部构造桥台、盖梁和桩均采用《公路桥梁计算机辅助设计系统》（西安方舟桥梁通设计软件）桥梁通CAD8.0软件计算，并考虑桥梁抗震要求，确定墩、台、盖梁结构要求及尺寸。</w:t>
            </w:r>
          </w:p>
          <w:p w14:paraId="6E1C1445">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（二）重力式桥台、扩大基础桥梁</w:t>
            </w:r>
          </w:p>
          <w:p w14:paraId="051D7BE2">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1、上部结构设计</w:t>
            </w:r>
          </w:p>
          <w:p w14:paraId="57265076">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1）主要指标</w:t>
            </w:r>
          </w:p>
          <w:p w14:paraId="73E9A404">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本工程新建桥梁跨径 13m，共 1 跨，桥面总宽 4.5m，净宽 3.5m，两侧分别设有 0.5m 宽的栏杆。桥板上部结构采用 13m 装配式预应力混凝土简支梁桥。桥台处设采用微量伸缩缝。下部采用重力式桥台，扩大基础。</w:t>
            </w:r>
          </w:p>
          <w:p w14:paraId="654635E5">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2）上部结构设计</w:t>
            </w:r>
          </w:p>
          <w:p w14:paraId="518E898D">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1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①</w:t>
            </w:r>
            <w:r>
              <w:rPr>
                <w:rFonts w:hint="eastAsia"/>
                <w:color w:val="auto"/>
                <w:spacing w:val="-1"/>
                <w:sz w:val="24"/>
                <w:lang w:val="en-US" w:eastAsia="zh-CN"/>
              </w:rPr>
              <w:fldChar w:fldCharType="end"/>
            </w:r>
            <w:r>
              <w:rPr>
                <w:rFonts w:hint="eastAsia"/>
                <w:color w:val="auto"/>
                <w:spacing w:val="-1"/>
                <w:sz w:val="24"/>
                <w:lang w:val="en-US" w:eastAsia="zh-CN"/>
              </w:rPr>
              <w:t>空心板：13m 跨桥上部构造采用装配式混凝土简支空心板，板厚 700mm。</w:t>
            </w:r>
          </w:p>
          <w:p w14:paraId="643FCD9F">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2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②</w:t>
            </w:r>
            <w:r>
              <w:rPr>
                <w:rFonts w:hint="eastAsia"/>
                <w:color w:val="auto"/>
                <w:spacing w:val="-1"/>
                <w:sz w:val="24"/>
                <w:lang w:val="en-US" w:eastAsia="zh-CN"/>
              </w:rPr>
              <w:fldChar w:fldCharType="end"/>
            </w:r>
            <w:r>
              <w:rPr>
                <w:rFonts w:hint="eastAsia"/>
                <w:color w:val="auto"/>
                <w:spacing w:val="-1"/>
                <w:sz w:val="24"/>
                <w:lang w:val="en-US" w:eastAsia="zh-CN"/>
              </w:rPr>
              <w:t>桥面铺装：采用 100mm 厚 C50 钢筋混凝土现浇层。</w:t>
            </w:r>
          </w:p>
          <w:p w14:paraId="7EC04013">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3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③</w:t>
            </w:r>
            <w:r>
              <w:rPr>
                <w:rFonts w:hint="eastAsia"/>
                <w:color w:val="auto"/>
                <w:spacing w:val="-1"/>
                <w:sz w:val="24"/>
                <w:lang w:val="en-US" w:eastAsia="zh-CN"/>
              </w:rPr>
              <w:fldChar w:fldCharType="end"/>
            </w:r>
            <w:r>
              <w:rPr>
                <w:rFonts w:hint="eastAsia"/>
                <w:color w:val="auto"/>
                <w:spacing w:val="-1"/>
                <w:sz w:val="24"/>
                <w:lang w:val="en-US" w:eastAsia="zh-CN"/>
              </w:rPr>
              <w:t>伸缩缝：采用微量伸缩缝，共 1 联。</w:t>
            </w:r>
          </w:p>
          <w:p w14:paraId="306707A6">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fldChar w:fldCharType="begin"/>
            </w:r>
            <w:r>
              <w:rPr>
                <w:rFonts w:hint="eastAsia"/>
                <w:color w:val="auto"/>
                <w:spacing w:val="-1"/>
                <w:sz w:val="24"/>
                <w:lang w:val="en-US" w:eastAsia="zh-CN"/>
              </w:rPr>
              <w:instrText xml:space="preserve"> = 4 \* GB3 \* MERGEFORMAT </w:instrText>
            </w:r>
            <w:r>
              <w:rPr>
                <w:rFonts w:hint="eastAsia"/>
                <w:color w:val="auto"/>
                <w:spacing w:val="-1"/>
                <w:sz w:val="24"/>
                <w:lang w:val="en-US" w:eastAsia="zh-CN"/>
              </w:rPr>
              <w:fldChar w:fldCharType="separate"/>
            </w:r>
            <w:r>
              <w:rPr>
                <w:rFonts w:hint="eastAsia"/>
                <w:color w:val="auto"/>
                <w:spacing w:val="-1"/>
                <w:sz w:val="24"/>
                <w:lang w:val="en-US" w:eastAsia="zh-CN"/>
              </w:rPr>
              <w:t>④</w:t>
            </w:r>
            <w:r>
              <w:rPr>
                <w:rFonts w:hint="eastAsia"/>
                <w:color w:val="auto"/>
                <w:spacing w:val="-1"/>
                <w:sz w:val="24"/>
                <w:lang w:val="en-US" w:eastAsia="zh-CN"/>
              </w:rPr>
              <w:fldChar w:fldCharType="end"/>
            </w:r>
            <w:r>
              <w:rPr>
                <w:rFonts w:hint="eastAsia"/>
                <w:color w:val="auto"/>
                <w:spacing w:val="-1"/>
                <w:sz w:val="24"/>
                <w:lang w:val="en-US" w:eastAsia="zh-CN"/>
              </w:rPr>
              <w:t>支座：支座选用 GYZ-200×42 氯丁橡胶支座。</w:t>
            </w:r>
          </w:p>
          <w:p w14:paraId="7B9D30C3">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2、下部结构设计</w:t>
            </w:r>
          </w:p>
          <w:p w14:paraId="5864914A">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根据地勘报告，生产桥桥台和桥墩基础坐落在第③层上，地基承载力不低于200kPa。</w:t>
            </w:r>
          </w:p>
          <w:p w14:paraId="2526A5D1">
            <w:pPr>
              <w:spacing w:line="360" w:lineRule="auto"/>
              <w:ind w:firstLine="476" w:firstLineChars="200"/>
              <w:rPr>
                <w:rFonts w:hint="eastAsia"/>
                <w:color w:val="auto"/>
                <w:spacing w:val="-1"/>
                <w:sz w:val="24"/>
                <w:lang w:val="en-US" w:eastAsia="zh-CN"/>
              </w:rPr>
            </w:pPr>
            <w:r>
              <w:rPr>
                <w:rFonts w:hint="eastAsia"/>
                <w:color w:val="auto"/>
                <w:spacing w:val="-1"/>
                <w:sz w:val="24"/>
                <w:lang w:val="en-US" w:eastAsia="zh-CN"/>
              </w:rPr>
              <w:t>桥台采用扩大基础U型桥台，台帽采用C30钢筋砼，厚0.4m，宽1.5m，混凝土抗冻等级F150；台身采用C25混凝土，顶宽1.5m，高4.0m，台身背坡坡比为3:1，基础设2蹬，每蹬高0.75m。</w:t>
            </w:r>
          </w:p>
          <w:p w14:paraId="5C1B95C8">
            <w:pPr>
              <w:spacing w:line="360" w:lineRule="auto"/>
              <w:rPr>
                <w:rFonts w:hint="eastAsia"/>
                <w:b/>
                <w:bCs/>
                <w:color w:val="auto"/>
                <w:spacing w:val="-1"/>
                <w:sz w:val="24"/>
                <w:lang w:val="en-US" w:eastAsia="zh-CN"/>
              </w:rPr>
            </w:pPr>
            <w:r>
              <w:rPr>
                <w:rFonts w:hint="eastAsia"/>
                <w:b/>
                <w:bCs/>
                <w:color w:val="auto"/>
                <w:spacing w:val="-1"/>
                <w:sz w:val="24"/>
                <w:lang w:val="en-US" w:eastAsia="zh-CN"/>
              </w:rPr>
              <w:t>七、雨、污管道设计</w:t>
            </w:r>
          </w:p>
          <w:p w14:paraId="5F721996">
            <w:pPr>
              <w:pStyle w:val="46"/>
              <w:rPr>
                <w:rFonts w:hint="eastAsia" w:cs="Times New Roman"/>
                <w:color w:val="auto"/>
                <w:spacing w:val="-1"/>
                <w:kern w:val="2"/>
                <w:sz w:val="24"/>
                <w:szCs w:val="24"/>
                <w:lang w:val="en-US" w:eastAsia="zh-CN" w:bidi="ar-SA"/>
              </w:rPr>
            </w:pPr>
            <w:r>
              <w:rPr>
                <w:rFonts w:hint="eastAsia" w:cs="Times New Roman"/>
                <w:color w:val="auto"/>
                <w:spacing w:val="-1"/>
                <w:kern w:val="2"/>
                <w:sz w:val="24"/>
                <w:szCs w:val="24"/>
                <w:lang w:val="en-US" w:eastAsia="zh-CN" w:bidi="ar-SA"/>
              </w:rPr>
              <w:t>1、管材比选</w:t>
            </w:r>
          </w:p>
          <w:p w14:paraId="0F7C7FD7">
            <w:pPr>
              <w:pStyle w:val="47"/>
              <w:rPr>
                <w:rFonts w:hint="eastAsia" w:cs="Times New Roman"/>
                <w:b/>
                <w:bCs w:val="0"/>
                <w:color w:val="auto"/>
                <w:kern w:val="0"/>
                <w:sz w:val="21"/>
                <w:szCs w:val="21"/>
                <w:lang w:val="en-US" w:eastAsia="zh-CN" w:bidi="ar"/>
              </w:rPr>
            </w:pPr>
            <w:r>
              <w:rPr>
                <w:rFonts w:hint="eastAsia" w:cs="Times New Roman"/>
                <w:b/>
                <w:bCs w:val="0"/>
                <w:color w:val="auto"/>
                <w:kern w:val="0"/>
                <w:sz w:val="21"/>
                <w:szCs w:val="21"/>
                <w:lang w:val="en-US" w:eastAsia="zh-CN" w:bidi="ar"/>
              </w:rPr>
              <w:t>表2-8 管材经济指标比选表</w:t>
            </w:r>
          </w:p>
          <w:tbl>
            <w:tblPr>
              <w:tblStyle w:val="20"/>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14"/>
              <w:gridCol w:w="2184"/>
              <w:gridCol w:w="2624"/>
              <w:gridCol w:w="1861"/>
            </w:tblGrid>
            <w:tr w14:paraId="5EC987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36411660">
                  <w:pPr>
                    <w:widowControl/>
                    <w:jc w:val="center"/>
                    <w:textAlignment w:val="center"/>
                    <w:rPr>
                      <w:rFonts w:hint="eastAsia"/>
                      <w:color w:val="auto"/>
                      <w:szCs w:val="21"/>
                      <w:lang w:eastAsia="zh-CN"/>
                    </w:rPr>
                  </w:pPr>
                  <w:r>
                    <w:rPr>
                      <w:rFonts w:hint="eastAsia"/>
                      <w:color w:val="auto"/>
                      <w:szCs w:val="21"/>
                      <w:lang w:eastAsia="zh-CN"/>
                    </w:rPr>
                    <w:t>对比项目</w:t>
                  </w:r>
                </w:p>
              </w:tc>
              <w:tc>
                <w:tcPr>
                  <w:tcW w:w="1287" w:type="pct"/>
                </w:tcPr>
                <w:p w14:paraId="7A042E59">
                  <w:pPr>
                    <w:widowControl/>
                    <w:jc w:val="center"/>
                    <w:textAlignment w:val="center"/>
                    <w:rPr>
                      <w:rFonts w:hint="eastAsia"/>
                      <w:color w:val="auto"/>
                      <w:szCs w:val="21"/>
                      <w:lang w:eastAsia="zh-CN"/>
                    </w:rPr>
                  </w:pPr>
                  <w:r>
                    <w:rPr>
                      <w:rFonts w:hint="eastAsia"/>
                      <w:color w:val="auto"/>
                      <w:szCs w:val="21"/>
                      <w:lang w:eastAsia="zh-CN"/>
                    </w:rPr>
                    <w:t>钢筋混凝土管</w:t>
                  </w:r>
                </w:p>
              </w:tc>
              <w:tc>
                <w:tcPr>
                  <w:tcW w:w="1546" w:type="pct"/>
                </w:tcPr>
                <w:p w14:paraId="0D73057F">
                  <w:pPr>
                    <w:widowControl/>
                    <w:jc w:val="center"/>
                    <w:textAlignment w:val="center"/>
                    <w:rPr>
                      <w:rFonts w:hint="eastAsia"/>
                      <w:color w:val="auto"/>
                      <w:szCs w:val="21"/>
                      <w:lang w:eastAsia="zh-CN"/>
                    </w:rPr>
                  </w:pPr>
                  <w:r>
                    <w:rPr>
                      <w:rFonts w:hint="eastAsia"/>
                      <w:color w:val="auto"/>
                      <w:szCs w:val="21"/>
                      <w:lang w:eastAsia="zh-CN"/>
                    </w:rPr>
                    <w:t>玻璃钢夹砂管</w:t>
                  </w:r>
                </w:p>
              </w:tc>
              <w:tc>
                <w:tcPr>
                  <w:tcW w:w="1096" w:type="pct"/>
                </w:tcPr>
                <w:p w14:paraId="10A681AD">
                  <w:pPr>
                    <w:widowControl/>
                    <w:jc w:val="center"/>
                    <w:textAlignment w:val="center"/>
                    <w:rPr>
                      <w:rFonts w:hint="eastAsia"/>
                      <w:color w:val="auto"/>
                      <w:szCs w:val="21"/>
                      <w:lang w:eastAsia="zh-CN"/>
                    </w:rPr>
                  </w:pPr>
                  <w:r>
                    <w:rPr>
                      <w:rFonts w:hint="eastAsia"/>
                      <w:color w:val="auto"/>
                      <w:szCs w:val="21"/>
                      <w:lang w:eastAsia="zh-CN"/>
                    </w:rPr>
                    <w:t>HDPE波纹管</w:t>
                  </w:r>
                </w:p>
              </w:tc>
            </w:tr>
            <w:tr w14:paraId="729E90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7463791B">
                  <w:pPr>
                    <w:widowControl/>
                    <w:jc w:val="center"/>
                    <w:textAlignment w:val="center"/>
                    <w:rPr>
                      <w:rFonts w:hint="eastAsia"/>
                      <w:color w:val="auto"/>
                      <w:szCs w:val="21"/>
                      <w:lang w:eastAsia="zh-CN"/>
                    </w:rPr>
                  </w:pPr>
                  <w:r>
                    <w:rPr>
                      <w:rFonts w:hint="eastAsia"/>
                      <w:color w:val="auto"/>
                      <w:szCs w:val="21"/>
                      <w:lang w:eastAsia="zh-CN"/>
                    </w:rPr>
                    <w:t>单根长度</w:t>
                  </w:r>
                </w:p>
              </w:tc>
              <w:tc>
                <w:tcPr>
                  <w:tcW w:w="1287" w:type="pct"/>
                </w:tcPr>
                <w:p w14:paraId="2729E511">
                  <w:pPr>
                    <w:widowControl/>
                    <w:jc w:val="center"/>
                    <w:textAlignment w:val="center"/>
                    <w:rPr>
                      <w:rFonts w:hint="eastAsia"/>
                      <w:color w:val="auto"/>
                      <w:szCs w:val="21"/>
                      <w:lang w:eastAsia="zh-CN"/>
                    </w:rPr>
                  </w:pPr>
                  <w:r>
                    <w:rPr>
                      <w:rFonts w:hint="eastAsia"/>
                      <w:color w:val="auto"/>
                      <w:szCs w:val="21"/>
                      <w:lang w:eastAsia="zh-CN"/>
                    </w:rPr>
                    <w:t>2m</w:t>
                  </w:r>
                </w:p>
              </w:tc>
              <w:tc>
                <w:tcPr>
                  <w:tcW w:w="1546" w:type="pct"/>
                </w:tcPr>
                <w:p w14:paraId="0D457227">
                  <w:pPr>
                    <w:widowControl/>
                    <w:jc w:val="center"/>
                    <w:textAlignment w:val="center"/>
                    <w:rPr>
                      <w:rFonts w:hint="eastAsia"/>
                      <w:color w:val="auto"/>
                      <w:szCs w:val="21"/>
                      <w:lang w:eastAsia="zh-CN"/>
                    </w:rPr>
                  </w:pPr>
                  <w:r>
                    <w:rPr>
                      <w:rFonts w:hint="eastAsia"/>
                      <w:color w:val="auto"/>
                      <w:szCs w:val="21"/>
                      <w:lang w:eastAsia="zh-CN"/>
                    </w:rPr>
                    <w:t>6～12m</w:t>
                  </w:r>
                </w:p>
              </w:tc>
              <w:tc>
                <w:tcPr>
                  <w:tcW w:w="1096" w:type="pct"/>
                </w:tcPr>
                <w:p w14:paraId="3C3905C1">
                  <w:pPr>
                    <w:widowControl/>
                    <w:jc w:val="center"/>
                    <w:textAlignment w:val="center"/>
                    <w:rPr>
                      <w:rFonts w:hint="eastAsia"/>
                      <w:color w:val="auto"/>
                      <w:szCs w:val="21"/>
                      <w:lang w:eastAsia="zh-CN"/>
                    </w:rPr>
                  </w:pPr>
                  <w:r>
                    <w:rPr>
                      <w:rFonts w:hint="eastAsia"/>
                      <w:color w:val="auto"/>
                      <w:szCs w:val="21"/>
                      <w:lang w:eastAsia="zh-CN"/>
                    </w:rPr>
                    <w:t>6～12m</w:t>
                  </w:r>
                </w:p>
              </w:tc>
            </w:tr>
            <w:tr w14:paraId="4E2536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48262AEB">
                  <w:pPr>
                    <w:widowControl/>
                    <w:jc w:val="center"/>
                    <w:textAlignment w:val="center"/>
                    <w:rPr>
                      <w:rFonts w:hint="eastAsia"/>
                      <w:color w:val="auto"/>
                      <w:szCs w:val="21"/>
                      <w:lang w:eastAsia="zh-CN"/>
                    </w:rPr>
                  </w:pPr>
                  <w:r>
                    <w:rPr>
                      <w:rFonts w:hint="eastAsia"/>
                      <w:color w:val="auto"/>
                      <w:szCs w:val="21"/>
                      <w:lang w:eastAsia="zh-CN"/>
                    </w:rPr>
                    <w:t>材料耐腐蚀性能</w:t>
                  </w:r>
                </w:p>
              </w:tc>
              <w:tc>
                <w:tcPr>
                  <w:tcW w:w="1287" w:type="pct"/>
                </w:tcPr>
                <w:p w14:paraId="7B494B6A">
                  <w:pPr>
                    <w:widowControl/>
                    <w:jc w:val="center"/>
                    <w:textAlignment w:val="center"/>
                    <w:rPr>
                      <w:rFonts w:hint="eastAsia"/>
                      <w:color w:val="auto"/>
                      <w:szCs w:val="21"/>
                      <w:lang w:eastAsia="zh-CN"/>
                    </w:rPr>
                  </w:pPr>
                  <w:r>
                    <w:rPr>
                      <w:rFonts w:hint="eastAsia"/>
                      <w:color w:val="auto"/>
                      <w:szCs w:val="21"/>
                      <w:lang w:eastAsia="zh-CN"/>
                    </w:rPr>
                    <w:t>较差</w:t>
                  </w:r>
                </w:p>
              </w:tc>
              <w:tc>
                <w:tcPr>
                  <w:tcW w:w="1546" w:type="pct"/>
                </w:tcPr>
                <w:p w14:paraId="45DF1DBD">
                  <w:pPr>
                    <w:widowControl/>
                    <w:jc w:val="center"/>
                    <w:textAlignment w:val="center"/>
                    <w:rPr>
                      <w:rFonts w:hint="eastAsia"/>
                      <w:color w:val="auto"/>
                      <w:szCs w:val="21"/>
                      <w:lang w:eastAsia="zh-CN"/>
                    </w:rPr>
                  </w:pPr>
                  <w:r>
                    <w:rPr>
                      <w:rFonts w:hint="eastAsia"/>
                      <w:color w:val="auto"/>
                      <w:szCs w:val="21"/>
                      <w:lang w:eastAsia="zh-CN"/>
                    </w:rPr>
                    <w:t>良好</w:t>
                  </w:r>
                </w:p>
              </w:tc>
              <w:tc>
                <w:tcPr>
                  <w:tcW w:w="1096" w:type="pct"/>
                </w:tcPr>
                <w:p w14:paraId="1B84BBCC">
                  <w:pPr>
                    <w:widowControl/>
                    <w:jc w:val="center"/>
                    <w:textAlignment w:val="center"/>
                    <w:rPr>
                      <w:rFonts w:hint="eastAsia"/>
                      <w:color w:val="auto"/>
                      <w:szCs w:val="21"/>
                      <w:lang w:eastAsia="zh-CN"/>
                    </w:rPr>
                  </w:pPr>
                  <w:r>
                    <w:rPr>
                      <w:rFonts w:hint="eastAsia"/>
                      <w:color w:val="auto"/>
                      <w:szCs w:val="21"/>
                      <w:lang w:eastAsia="zh-CN"/>
                    </w:rPr>
                    <w:t>良好</w:t>
                  </w:r>
                </w:p>
              </w:tc>
            </w:tr>
            <w:tr w14:paraId="5D8FCE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04A14D32">
                  <w:pPr>
                    <w:widowControl/>
                    <w:jc w:val="center"/>
                    <w:textAlignment w:val="center"/>
                    <w:rPr>
                      <w:rFonts w:hint="eastAsia"/>
                      <w:color w:val="auto"/>
                      <w:szCs w:val="21"/>
                      <w:lang w:eastAsia="zh-CN"/>
                    </w:rPr>
                  </w:pPr>
                  <w:r>
                    <w:rPr>
                      <w:rFonts w:hint="eastAsia"/>
                      <w:color w:val="auto"/>
                      <w:szCs w:val="21"/>
                      <w:lang w:eastAsia="zh-CN"/>
                    </w:rPr>
                    <w:t>粗糙系数</w:t>
                  </w:r>
                </w:p>
              </w:tc>
              <w:tc>
                <w:tcPr>
                  <w:tcW w:w="1287" w:type="pct"/>
                </w:tcPr>
                <w:p w14:paraId="3B1B1822">
                  <w:pPr>
                    <w:widowControl/>
                    <w:jc w:val="center"/>
                    <w:textAlignment w:val="center"/>
                    <w:rPr>
                      <w:rFonts w:hint="eastAsia"/>
                      <w:color w:val="auto"/>
                      <w:szCs w:val="21"/>
                      <w:lang w:eastAsia="zh-CN"/>
                    </w:rPr>
                  </w:pPr>
                  <w:r>
                    <w:rPr>
                      <w:rFonts w:hint="eastAsia"/>
                      <w:color w:val="auto"/>
                      <w:szCs w:val="21"/>
                      <w:lang w:eastAsia="zh-CN"/>
                    </w:rPr>
                    <w:t>0.013-0.014</w:t>
                  </w:r>
                </w:p>
              </w:tc>
              <w:tc>
                <w:tcPr>
                  <w:tcW w:w="1546" w:type="pct"/>
                </w:tcPr>
                <w:p w14:paraId="1979A732">
                  <w:pPr>
                    <w:widowControl/>
                    <w:jc w:val="center"/>
                    <w:textAlignment w:val="center"/>
                    <w:rPr>
                      <w:rFonts w:hint="eastAsia"/>
                      <w:color w:val="auto"/>
                      <w:szCs w:val="21"/>
                      <w:lang w:eastAsia="zh-CN"/>
                    </w:rPr>
                  </w:pPr>
                  <w:r>
                    <w:rPr>
                      <w:rFonts w:hint="eastAsia"/>
                      <w:color w:val="auto"/>
                      <w:szCs w:val="21"/>
                      <w:lang w:eastAsia="zh-CN"/>
                    </w:rPr>
                    <w:t>0.009-0.01</w:t>
                  </w:r>
                </w:p>
              </w:tc>
              <w:tc>
                <w:tcPr>
                  <w:tcW w:w="1096" w:type="pct"/>
                </w:tcPr>
                <w:p w14:paraId="6B0FF0A5">
                  <w:pPr>
                    <w:widowControl/>
                    <w:jc w:val="center"/>
                    <w:textAlignment w:val="center"/>
                    <w:rPr>
                      <w:rFonts w:hint="eastAsia"/>
                      <w:color w:val="auto"/>
                      <w:szCs w:val="21"/>
                      <w:lang w:eastAsia="zh-CN"/>
                    </w:rPr>
                  </w:pPr>
                  <w:r>
                    <w:rPr>
                      <w:rFonts w:hint="eastAsia"/>
                      <w:color w:val="auto"/>
                      <w:szCs w:val="21"/>
                      <w:lang w:eastAsia="zh-CN"/>
                    </w:rPr>
                    <w:t>0.009-0.01</w:t>
                  </w:r>
                </w:p>
              </w:tc>
            </w:tr>
            <w:tr w14:paraId="3A1E1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70FA4E85">
                  <w:pPr>
                    <w:widowControl/>
                    <w:jc w:val="center"/>
                    <w:textAlignment w:val="center"/>
                    <w:rPr>
                      <w:rFonts w:hint="eastAsia"/>
                      <w:color w:val="auto"/>
                      <w:szCs w:val="21"/>
                      <w:lang w:eastAsia="zh-CN"/>
                    </w:rPr>
                  </w:pPr>
                  <w:r>
                    <w:rPr>
                      <w:rFonts w:hint="eastAsia"/>
                      <w:color w:val="auto"/>
                      <w:szCs w:val="21"/>
                      <w:lang w:eastAsia="zh-CN"/>
                    </w:rPr>
                    <w:t>重量</w:t>
                  </w:r>
                </w:p>
              </w:tc>
              <w:tc>
                <w:tcPr>
                  <w:tcW w:w="1287" w:type="pct"/>
                </w:tcPr>
                <w:p w14:paraId="4DA330D0">
                  <w:pPr>
                    <w:widowControl/>
                    <w:jc w:val="center"/>
                    <w:textAlignment w:val="center"/>
                    <w:rPr>
                      <w:rFonts w:hint="eastAsia"/>
                      <w:color w:val="auto"/>
                      <w:szCs w:val="21"/>
                      <w:lang w:eastAsia="zh-CN"/>
                    </w:rPr>
                  </w:pPr>
                  <w:r>
                    <w:rPr>
                      <w:rFonts w:hint="eastAsia"/>
                      <w:color w:val="auto"/>
                      <w:szCs w:val="21"/>
                      <w:lang w:eastAsia="zh-CN"/>
                    </w:rPr>
                    <w:t>较重</w:t>
                  </w:r>
                </w:p>
              </w:tc>
              <w:tc>
                <w:tcPr>
                  <w:tcW w:w="1546" w:type="pct"/>
                </w:tcPr>
                <w:p w14:paraId="08947601">
                  <w:pPr>
                    <w:widowControl/>
                    <w:jc w:val="center"/>
                    <w:textAlignment w:val="center"/>
                    <w:rPr>
                      <w:rFonts w:hint="eastAsia"/>
                      <w:color w:val="auto"/>
                      <w:szCs w:val="21"/>
                      <w:lang w:eastAsia="zh-CN"/>
                    </w:rPr>
                  </w:pPr>
                  <w:r>
                    <w:rPr>
                      <w:rFonts w:hint="eastAsia"/>
                      <w:color w:val="auto"/>
                      <w:szCs w:val="21"/>
                      <w:lang w:eastAsia="zh-CN"/>
                    </w:rPr>
                    <w:t>较轻</w:t>
                  </w:r>
                </w:p>
              </w:tc>
              <w:tc>
                <w:tcPr>
                  <w:tcW w:w="1096" w:type="pct"/>
                </w:tcPr>
                <w:p w14:paraId="427FC10E">
                  <w:pPr>
                    <w:widowControl/>
                    <w:jc w:val="center"/>
                    <w:textAlignment w:val="center"/>
                    <w:rPr>
                      <w:rFonts w:hint="eastAsia"/>
                      <w:color w:val="auto"/>
                      <w:szCs w:val="21"/>
                      <w:lang w:eastAsia="zh-CN"/>
                    </w:rPr>
                  </w:pPr>
                  <w:r>
                    <w:rPr>
                      <w:rFonts w:hint="eastAsia"/>
                      <w:color w:val="auto"/>
                      <w:szCs w:val="21"/>
                      <w:lang w:eastAsia="zh-CN"/>
                    </w:rPr>
                    <w:t>较轻</w:t>
                  </w:r>
                </w:p>
              </w:tc>
            </w:tr>
            <w:tr w14:paraId="6955FF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2F13803C">
                  <w:pPr>
                    <w:widowControl/>
                    <w:jc w:val="center"/>
                    <w:textAlignment w:val="center"/>
                    <w:rPr>
                      <w:rFonts w:hint="eastAsia"/>
                      <w:color w:val="auto"/>
                      <w:szCs w:val="21"/>
                      <w:lang w:eastAsia="zh-CN"/>
                    </w:rPr>
                  </w:pPr>
                  <w:r>
                    <w:rPr>
                      <w:rFonts w:hint="eastAsia"/>
                      <w:color w:val="auto"/>
                      <w:szCs w:val="21"/>
                      <w:lang w:eastAsia="zh-CN"/>
                    </w:rPr>
                    <w:t>防渗</w:t>
                  </w:r>
                </w:p>
              </w:tc>
              <w:tc>
                <w:tcPr>
                  <w:tcW w:w="1287" w:type="pct"/>
                </w:tcPr>
                <w:p w14:paraId="1A2B53BE">
                  <w:pPr>
                    <w:widowControl/>
                    <w:jc w:val="center"/>
                    <w:textAlignment w:val="center"/>
                    <w:rPr>
                      <w:rFonts w:hint="eastAsia"/>
                      <w:color w:val="auto"/>
                      <w:szCs w:val="21"/>
                      <w:lang w:eastAsia="zh-CN"/>
                    </w:rPr>
                  </w:pPr>
                  <w:r>
                    <w:rPr>
                      <w:rFonts w:hint="eastAsia"/>
                      <w:color w:val="auto"/>
                      <w:szCs w:val="21"/>
                      <w:lang w:eastAsia="zh-CN"/>
                    </w:rPr>
                    <w:t>抗渗性能较差</w:t>
                  </w:r>
                </w:p>
              </w:tc>
              <w:tc>
                <w:tcPr>
                  <w:tcW w:w="1546" w:type="pct"/>
                </w:tcPr>
                <w:p w14:paraId="0B38609D">
                  <w:pPr>
                    <w:widowControl/>
                    <w:jc w:val="center"/>
                    <w:textAlignment w:val="center"/>
                    <w:rPr>
                      <w:rFonts w:hint="eastAsia"/>
                      <w:color w:val="auto"/>
                      <w:szCs w:val="21"/>
                      <w:lang w:eastAsia="zh-CN"/>
                    </w:rPr>
                  </w:pPr>
                  <w:r>
                    <w:rPr>
                      <w:rFonts w:hint="eastAsia"/>
                      <w:color w:val="auto"/>
                      <w:szCs w:val="21"/>
                      <w:lang w:eastAsia="zh-CN"/>
                    </w:rPr>
                    <w:t>双胶圈防渗性能好</w:t>
                  </w:r>
                </w:p>
              </w:tc>
              <w:tc>
                <w:tcPr>
                  <w:tcW w:w="1096" w:type="pct"/>
                </w:tcPr>
                <w:p w14:paraId="0CDF308B">
                  <w:pPr>
                    <w:widowControl/>
                    <w:jc w:val="center"/>
                    <w:textAlignment w:val="center"/>
                    <w:rPr>
                      <w:rFonts w:hint="eastAsia"/>
                      <w:color w:val="auto"/>
                      <w:szCs w:val="21"/>
                      <w:lang w:eastAsia="zh-CN"/>
                    </w:rPr>
                  </w:pPr>
                  <w:r>
                    <w:rPr>
                      <w:rFonts w:hint="eastAsia"/>
                      <w:color w:val="auto"/>
                      <w:szCs w:val="21"/>
                      <w:lang w:eastAsia="zh-CN"/>
                    </w:rPr>
                    <w:t>抗渗性能好</w:t>
                  </w:r>
                </w:p>
              </w:tc>
            </w:tr>
            <w:tr w14:paraId="370ABC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232DB096">
                  <w:pPr>
                    <w:widowControl/>
                    <w:jc w:val="center"/>
                    <w:textAlignment w:val="center"/>
                    <w:rPr>
                      <w:rFonts w:hint="eastAsia"/>
                      <w:color w:val="auto"/>
                      <w:szCs w:val="21"/>
                      <w:lang w:eastAsia="zh-CN"/>
                    </w:rPr>
                  </w:pPr>
                  <w:r>
                    <w:rPr>
                      <w:rFonts w:hint="eastAsia"/>
                      <w:color w:val="auto"/>
                      <w:szCs w:val="21"/>
                      <w:lang w:eastAsia="zh-CN"/>
                    </w:rPr>
                    <w:t>使用寿命</w:t>
                  </w:r>
                </w:p>
              </w:tc>
              <w:tc>
                <w:tcPr>
                  <w:tcW w:w="1287" w:type="pct"/>
                </w:tcPr>
                <w:p w14:paraId="2ADC33C6">
                  <w:pPr>
                    <w:widowControl/>
                    <w:jc w:val="center"/>
                    <w:textAlignment w:val="center"/>
                    <w:rPr>
                      <w:rFonts w:hint="eastAsia"/>
                      <w:color w:val="auto"/>
                      <w:szCs w:val="21"/>
                      <w:lang w:eastAsia="zh-CN"/>
                    </w:rPr>
                  </w:pPr>
                  <w:r>
                    <w:rPr>
                      <w:rFonts w:hint="eastAsia"/>
                      <w:color w:val="auto"/>
                      <w:szCs w:val="21"/>
                      <w:lang w:eastAsia="zh-CN"/>
                    </w:rPr>
                    <w:t>20年</w:t>
                  </w:r>
                </w:p>
              </w:tc>
              <w:tc>
                <w:tcPr>
                  <w:tcW w:w="1546" w:type="pct"/>
                </w:tcPr>
                <w:p w14:paraId="5CBAFF21">
                  <w:pPr>
                    <w:widowControl/>
                    <w:jc w:val="center"/>
                    <w:textAlignment w:val="center"/>
                    <w:rPr>
                      <w:rFonts w:hint="eastAsia"/>
                      <w:color w:val="auto"/>
                      <w:szCs w:val="21"/>
                      <w:lang w:eastAsia="zh-CN"/>
                    </w:rPr>
                  </w:pPr>
                  <w:r>
                    <w:rPr>
                      <w:rFonts w:hint="eastAsia"/>
                      <w:color w:val="auto"/>
                      <w:szCs w:val="21"/>
                      <w:lang w:eastAsia="zh-CN"/>
                    </w:rPr>
                    <w:t>50年</w:t>
                  </w:r>
                </w:p>
              </w:tc>
              <w:tc>
                <w:tcPr>
                  <w:tcW w:w="1096" w:type="pct"/>
                </w:tcPr>
                <w:p w14:paraId="0CDA8AC7">
                  <w:pPr>
                    <w:widowControl/>
                    <w:jc w:val="center"/>
                    <w:textAlignment w:val="center"/>
                    <w:rPr>
                      <w:rFonts w:hint="eastAsia"/>
                      <w:color w:val="auto"/>
                      <w:szCs w:val="21"/>
                      <w:lang w:eastAsia="zh-CN"/>
                    </w:rPr>
                  </w:pPr>
                  <w:r>
                    <w:rPr>
                      <w:rFonts w:hint="eastAsia"/>
                      <w:color w:val="auto"/>
                      <w:szCs w:val="21"/>
                      <w:lang w:eastAsia="zh-CN"/>
                    </w:rPr>
                    <w:t>50年</w:t>
                  </w:r>
                </w:p>
              </w:tc>
            </w:tr>
            <w:tr w14:paraId="40941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31EC5E8C">
                  <w:pPr>
                    <w:widowControl/>
                    <w:jc w:val="center"/>
                    <w:textAlignment w:val="center"/>
                    <w:rPr>
                      <w:rFonts w:hint="eastAsia"/>
                      <w:color w:val="auto"/>
                      <w:szCs w:val="21"/>
                      <w:lang w:eastAsia="zh-CN"/>
                    </w:rPr>
                  </w:pPr>
                  <w:r>
                    <w:rPr>
                      <w:rFonts w:hint="eastAsia"/>
                      <w:color w:val="auto"/>
                      <w:szCs w:val="21"/>
                      <w:lang w:eastAsia="zh-CN"/>
                    </w:rPr>
                    <w:t>安装方法</w:t>
                  </w:r>
                </w:p>
              </w:tc>
              <w:tc>
                <w:tcPr>
                  <w:tcW w:w="1287" w:type="pct"/>
                </w:tcPr>
                <w:p w14:paraId="53F3E15F">
                  <w:pPr>
                    <w:widowControl/>
                    <w:jc w:val="center"/>
                    <w:textAlignment w:val="center"/>
                    <w:rPr>
                      <w:rFonts w:hint="eastAsia"/>
                      <w:color w:val="auto"/>
                      <w:szCs w:val="21"/>
                      <w:lang w:eastAsia="zh-CN"/>
                    </w:rPr>
                  </w:pPr>
                  <w:r>
                    <w:rPr>
                      <w:rFonts w:hint="eastAsia"/>
                      <w:color w:val="auto"/>
                      <w:szCs w:val="21"/>
                      <w:lang w:eastAsia="zh-CN"/>
                    </w:rPr>
                    <w:t>不方便</w:t>
                  </w:r>
                </w:p>
              </w:tc>
              <w:tc>
                <w:tcPr>
                  <w:tcW w:w="1546" w:type="pct"/>
                </w:tcPr>
                <w:p w14:paraId="4E19E269">
                  <w:pPr>
                    <w:widowControl/>
                    <w:jc w:val="center"/>
                    <w:textAlignment w:val="center"/>
                    <w:rPr>
                      <w:rFonts w:hint="eastAsia"/>
                      <w:color w:val="auto"/>
                      <w:szCs w:val="21"/>
                      <w:lang w:eastAsia="zh-CN"/>
                    </w:rPr>
                  </w:pPr>
                  <w:r>
                    <w:rPr>
                      <w:rFonts w:hint="eastAsia"/>
                      <w:color w:val="auto"/>
                      <w:szCs w:val="21"/>
                      <w:lang w:eastAsia="zh-CN"/>
                    </w:rPr>
                    <w:t>方便</w:t>
                  </w:r>
                </w:p>
              </w:tc>
              <w:tc>
                <w:tcPr>
                  <w:tcW w:w="1096" w:type="pct"/>
                </w:tcPr>
                <w:p w14:paraId="520FBB5F">
                  <w:pPr>
                    <w:widowControl/>
                    <w:jc w:val="center"/>
                    <w:textAlignment w:val="center"/>
                    <w:rPr>
                      <w:rFonts w:hint="eastAsia"/>
                      <w:color w:val="auto"/>
                      <w:szCs w:val="21"/>
                      <w:lang w:eastAsia="zh-CN"/>
                    </w:rPr>
                  </w:pPr>
                  <w:r>
                    <w:rPr>
                      <w:rFonts w:hint="eastAsia"/>
                      <w:color w:val="auto"/>
                      <w:szCs w:val="21"/>
                      <w:lang w:eastAsia="zh-CN"/>
                    </w:rPr>
                    <w:t>方便</w:t>
                  </w:r>
                </w:p>
              </w:tc>
            </w:tr>
            <w:tr w14:paraId="40960F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0BE5A51E">
                  <w:pPr>
                    <w:widowControl/>
                    <w:jc w:val="center"/>
                    <w:textAlignment w:val="center"/>
                    <w:rPr>
                      <w:rFonts w:hint="eastAsia"/>
                      <w:color w:val="auto"/>
                      <w:szCs w:val="21"/>
                      <w:lang w:eastAsia="zh-CN"/>
                    </w:rPr>
                  </w:pPr>
                  <w:r>
                    <w:rPr>
                      <w:rFonts w:hint="eastAsia"/>
                      <w:color w:val="auto"/>
                      <w:szCs w:val="21"/>
                      <w:lang w:eastAsia="zh-CN"/>
                    </w:rPr>
                    <w:t>运输</w:t>
                  </w:r>
                </w:p>
              </w:tc>
              <w:tc>
                <w:tcPr>
                  <w:tcW w:w="1287" w:type="pct"/>
                </w:tcPr>
                <w:p w14:paraId="03FC2A59">
                  <w:pPr>
                    <w:widowControl/>
                    <w:jc w:val="center"/>
                    <w:textAlignment w:val="center"/>
                    <w:rPr>
                      <w:rFonts w:hint="eastAsia"/>
                      <w:color w:val="auto"/>
                      <w:szCs w:val="21"/>
                      <w:lang w:eastAsia="zh-CN"/>
                    </w:rPr>
                  </w:pPr>
                  <w:r>
                    <w:rPr>
                      <w:rFonts w:hint="eastAsia"/>
                      <w:color w:val="auto"/>
                      <w:szCs w:val="21"/>
                      <w:lang w:eastAsia="zh-CN"/>
                    </w:rPr>
                    <w:t>繁琐</w:t>
                  </w:r>
                </w:p>
              </w:tc>
              <w:tc>
                <w:tcPr>
                  <w:tcW w:w="1546" w:type="pct"/>
                </w:tcPr>
                <w:p w14:paraId="7BF13F84">
                  <w:pPr>
                    <w:widowControl/>
                    <w:jc w:val="center"/>
                    <w:textAlignment w:val="center"/>
                    <w:rPr>
                      <w:rFonts w:hint="eastAsia"/>
                      <w:color w:val="auto"/>
                      <w:szCs w:val="21"/>
                      <w:lang w:eastAsia="zh-CN"/>
                    </w:rPr>
                  </w:pPr>
                  <w:r>
                    <w:rPr>
                      <w:rFonts w:hint="eastAsia"/>
                      <w:color w:val="auto"/>
                      <w:szCs w:val="21"/>
                      <w:lang w:eastAsia="zh-CN"/>
                    </w:rPr>
                    <w:t>方便</w:t>
                  </w:r>
                </w:p>
              </w:tc>
              <w:tc>
                <w:tcPr>
                  <w:tcW w:w="1096" w:type="pct"/>
                </w:tcPr>
                <w:p w14:paraId="711EAB14">
                  <w:pPr>
                    <w:widowControl/>
                    <w:jc w:val="center"/>
                    <w:textAlignment w:val="center"/>
                    <w:rPr>
                      <w:rFonts w:hint="eastAsia"/>
                      <w:color w:val="auto"/>
                      <w:szCs w:val="21"/>
                      <w:lang w:eastAsia="zh-CN"/>
                    </w:rPr>
                  </w:pPr>
                  <w:r>
                    <w:rPr>
                      <w:rFonts w:hint="eastAsia"/>
                      <w:color w:val="auto"/>
                      <w:szCs w:val="21"/>
                      <w:lang w:eastAsia="zh-CN"/>
                    </w:rPr>
                    <w:t>方便</w:t>
                  </w:r>
                </w:p>
              </w:tc>
            </w:tr>
            <w:tr w14:paraId="07C5A5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1069" w:type="pct"/>
                </w:tcPr>
                <w:p w14:paraId="57DCCD34">
                  <w:pPr>
                    <w:widowControl/>
                    <w:jc w:val="center"/>
                    <w:textAlignment w:val="center"/>
                    <w:rPr>
                      <w:rFonts w:hint="eastAsia"/>
                      <w:color w:val="auto"/>
                      <w:szCs w:val="21"/>
                      <w:lang w:eastAsia="zh-CN"/>
                    </w:rPr>
                  </w:pPr>
                  <w:r>
                    <w:rPr>
                      <w:rFonts w:hint="eastAsia"/>
                      <w:color w:val="auto"/>
                      <w:szCs w:val="21"/>
                      <w:lang w:eastAsia="zh-CN"/>
                    </w:rPr>
                    <w:t>质量控制标准</w:t>
                  </w:r>
                </w:p>
              </w:tc>
              <w:tc>
                <w:tcPr>
                  <w:tcW w:w="1287" w:type="pct"/>
                </w:tcPr>
                <w:p w14:paraId="4CB936D5">
                  <w:pPr>
                    <w:widowControl/>
                    <w:jc w:val="center"/>
                    <w:textAlignment w:val="center"/>
                    <w:rPr>
                      <w:rFonts w:hint="eastAsia"/>
                      <w:color w:val="auto"/>
                      <w:szCs w:val="21"/>
                      <w:lang w:eastAsia="zh-CN"/>
                    </w:rPr>
                  </w:pPr>
                  <w:r>
                    <w:rPr>
                      <w:rFonts w:hint="eastAsia"/>
                      <w:color w:val="auto"/>
                      <w:szCs w:val="21"/>
                      <w:lang w:eastAsia="zh-CN"/>
                    </w:rPr>
                    <w:t>国标GBT11836-99</w:t>
                  </w:r>
                </w:p>
              </w:tc>
              <w:tc>
                <w:tcPr>
                  <w:tcW w:w="1546" w:type="pct"/>
                </w:tcPr>
                <w:p w14:paraId="78795547">
                  <w:pPr>
                    <w:widowControl/>
                    <w:jc w:val="center"/>
                    <w:textAlignment w:val="center"/>
                    <w:rPr>
                      <w:rFonts w:hint="eastAsia"/>
                      <w:color w:val="auto"/>
                      <w:szCs w:val="21"/>
                      <w:lang w:eastAsia="zh-CN"/>
                    </w:rPr>
                  </w:pPr>
                  <w:r>
                    <w:rPr>
                      <w:rFonts w:hint="eastAsia"/>
                      <w:color w:val="auto"/>
                      <w:szCs w:val="21"/>
                      <w:lang w:eastAsia="zh-CN"/>
                    </w:rPr>
                    <w:t>ECS标准</w:t>
                  </w:r>
                </w:p>
                <w:p w14:paraId="61C98512">
                  <w:pPr>
                    <w:widowControl/>
                    <w:jc w:val="center"/>
                    <w:textAlignment w:val="center"/>
                    <w:rPr>
                      <w:rFonts w:hint="eastAsia"/>
                      <w:color w:val="auto"/>
                      <w:szCs w:val="21"/>
                      <w:lang w:eastAsia="zh-CN"/>
                    </w:rPr>
                  </w:pPr>
                  <w:r>
                    <w:rPr>
                      <w:rFonts w:hint="eastAsia"/>
                      <w:color w:val="auto"/>
                      <w:szCs w:val="21"/>
                      <w:lang w:eastAsia="zh-CN"/>
                    </w:rPr>
                    <w:t>CECS129：2001</w:t>
                  </w:r>
                </w:p>
              </w:tc>
              <w:tc>
                <w:tcPr>
                  <w:tcW w:w="1096" w:type="pct"/>
                </w:tcPr>
                <w:p w14:paraId="0B02DC2F">
                  <w:pPr>
                    <w:widowControl/>
                    <w:jc w:val="center"/>
                    <w:textAlignment w:val="center"/>
                    <w:rPr>
                      <w:rFonts w:hint="eastAsia"/>
                      <w:color w:val="auto"/>
                      <w:szCs w:val="21"/>
                      <w:lang w:eastAsia="zh-CN"/>
                    </w:rPr>
                  </w:pPr>
                  <w:r>
                    <w:rPr>
                      <w:rFonts w:hint="eastAsia"/>
                      <w:color w:val="auto"/>
                      <w:szCs w:val="21"/>
                      <w:lang w:eastAsia="zh-CN"/>
                    </w:rPr>
                    <w:t>CECS129164：2004</w:t>
                  </w:r>
                </w:p>
              </w:tc>
            </w:tr>
          </w:tbl>
          <w:p w14:paraId="415E5B29">
            <w:pPr>
              <w:spacing w:line="360" w:lineRule="auto"/>
              <w:ind w:firstLine="476" w:firstLineChars="200"/>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综合以上比较，并结合本项目的特点，推荐选择玻璃钢夹砂管作为本次污水管道的管材。</w:t>
            </w:r>
          </w:p>
          <w:p w14:paraId="1D783216">
            <w:pPr>
              <w:pStyle w:val="46"/>
              <w:spacing w:line="360" w:lineRule="auto"/>
              <w:rPr>
                <w:rFonts w:hint="default"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2、管沟回填设计</w:t>
            </w:r>
          </w:p>
          <w:p w14:paraId="3E7A79C2">
            <w:pPr>
              <w:pStyle w:val="46"/>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管道沿线地形平坦、地质条件较好，采用开槽施工。管道安装完毕应及时回填，雨季施工应有防冲防浮措施，沟槽开挖深度小于5m时，沟槽边坡坡度按照土类别及坡顶有无动载确定；大于5m时，采用分台阶开挖，分层厚度为2m，台阶宽度1.0m。挖槽时，槽底高程严格控制，防止超挖，若有扰动地基土为填土，松软等现象，应会同业主、监理等部门及时处理。</w:t>
            </w:r>
          </w:p>
          <w:p w14:paraId="71A64CA4">
            <w:pPr>
              <w:pStyle w:val="46"/>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管道基础采用原状地基，若原状地基为岩石或坚硬土层，管道下方铺设厚度150mm的粗砂垫层；若遇软土或遇地下水时地基铺设一层厚度不小于200mm的砾石或加铺5~40mm粒径碎石，其表面再铺厚度不小于150mm的石屑或粗砂垫层。对于不良地基，结合施工条件，进行地基土质换填，直到能满足工程要求。</w:t>
            </w:r>
          </w:p>
          <w:p w14:paraId="39DF42F2">
            <w:pPr>
              <w:pStyle w:val="8"/>
              <w:ind w:left="0" w:firstLine="0" w:firstLineChars="0"/>
              <w:jc w:val="center"/>
              <w:rPr>
                <w:rFonts w:hint="eastAsia"/>
                <w:color w:val="auto"/>
                <w:lang w:val="en-US"/>
              </w:rPr>
            </w:pPr>
            <w:r>
              <w:rPr>
                <w:color w:val="auto"/>
              </w:rPr>
              <w:drawing>
                <wp:inline distT="0" distB="0" distL="0" distR="0">
                  <wp:extent cx="3942080" cy="1983105"/>
                  <wp:effectExtent l="0" t="0" r="1270" b="17145"/>
                  <wp:docPr id="1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9.png"/>
                          <pic:cNvPicPr>
                            <a:picLocks noChangeAspect="1"/>
                          </pic:cNvPicPr>
                        </pic:nvPicPr>
                        <pic:blipFill>
                          <a:blip r:embed="rId16" cstate="print"/>
                          <a:stretch>
                            <a:fillRect/>
                          </a:stretch>
                        </pic:blipFill>
                        <pic:spPr>
                          <a:xfrm>
                            <a:off x="0" y="0"/>
                            <a:ext cx="3942080" cy="1983105"/>
                          </a:xfrm>
                          <a:prstGeom prst="rect">
                            <a:avLst/>
                          </a:prstGeom>
                        </pic:spPr>
                      </pic:pic>
                    </a:graphicData>
                  </a:graphic>
                </wp:inline>
              </w:drawing>
            </w:r>
          </w:p>
          <w:p w14:paraId="1B49CEF7">
            <w:pPr>
              <w:pStyle w:val="8"/>
              <w:ind w:firstLine="480"/>
              <w:jc w:val="center"/>
              <w:rPr>
                <w:rFonts w:hint="eastAsia" w:ascii="Times New Roman" w:hAnsi="Times New Roman" w:eastAsia="宋体" w:cs="Times New Roman"/>
                <w:b/>
                <w:bCs w:val="0"/>
                <w:color w:val="auto"/>
                <w:kern w:val="0"/>
                <w:sz w:val="21"/>
                <w:szCs w:val="21"/>
                <w:lang w:val="en-US" w:eastAsia="zh-CN" w:bidi="ar"/>
              </w:rPr>
            </w:pPr>
            <w:r>
              <w:rPr>
                <w:rFonts w:hint="eastAsia" w:ascii="Times New Roman" w:hAnsi="Times New Roman" w:eastAsia="宋体" w:cs="Times New Roman"/>
                <w:b/>
                <w:bCs w:val="0"/>
                <w:color w:val="auto"/>
                <w:kern w:val="0"/>
                <w:sz w:val="21"/>
                <w:szCs w:val="21"/>
                <w:lang w:val="en-US" w:eastAsia="zh-CN" w:bidi="ar"/>
              </w:rPr>
              <w:t>图</w:t>
            </w:r>
            <w:r>
              <w:rPr>
                <w:rFonts w:hint="eastAsia" w:cs="Times New Roman"/>
                <w:b/>
                <w:bCs w:val="0"/>
                <w:color w:val="auto"/>
                <w:kern w:val="0"/>
                <w:sz w:val="21"/>
                <w:szCs w:val="21"/>
                <w:lang w:val="en-US" w:eastAsia="zh-CN" w:bidi="ar"/>
              </w:rPr>
              <w:t>2-4</w:t>
            </w:r>
            <w:r>
              <w:rPr>
                <w:rFonts w:hint="eastAsia" w:ascii="Times New Roman" w:hAnsi="Times New Roman" w:eastAsia="宋体" w:cs="Times New Roman"/>
                <w:b/>
                <w:bCs w:val="0"/>
                <w:color w:val="auto"/>
                <w:kern w:val="0"/>
                <w:sz w:val="21"/>
                <w:szCs w:val="21"/>
                <w:lang w:val="en-US" w:eastAsia="zh-CN" w:bidi="ar"/>
              </w:rPr>
              <w:t xml:space="preserve"> </w:t>
            </w:r>
            <w:r>
              <w:rPr>
                <w:rFonts w:hint="eastAsia" w:cs="Times New Roman"/>
                <w:b/>
                <w:bCs w:val="0"/>
                <w:color w:val="auto"/>
                <w:kern w:val="0"/>
                <w:sz w:val="21"/>
                <w:szCs w:val="21"/>
                <w:lang w:val="en-US" w:eastAsia="zh-CN" w:bidi="ar"/>
              </w:rPr>
              <w:t>雨、</w:t>
            </w:r>
            <w:r>
              <w:rPr>
                <w:rFonts w:hint="eastAsia" w:ascii="Times New Roman" w:hAnsi="Times New Roman" w:eastAsia="宋体" w:cs="Times New Roman"/>
                <w:b/>
                <w:bCs w:val="0"/>
                <w:color w:val="auto"/>
                <w:kern w:val="0"/>
                <w:sz w:val="21"/>
                <w:szCs w:val="21"/>
                <w:lang w:val="en-US" w:eastAsia="zh-CN" w:bidi="ar"/>
              </w:rPr>
              <w:t>污管沟回填图</w:t>
            </w:r>
          </w:p>
          <w:p w14:paraId="28A10130">
            <w:pPr>
              <w:spacing w:line="360" w:lineRule="auto"/>
              <w:ind w:firstLine="476" w:firstLineChars="200"/>
              <w:rPr>
                <w:rFonts w:hint="default"/>
                <w:color w:val="auto"/>
                <w:spacing w:val="-1"/>
                <w:sz w:val="24"/>
                <w:lang w:val="en-US" w:eastAsia="zh-CN"/>
              </w:rPr>
            </w:pPr>
            <w:r>
              <w:rPr>
                <w:rFonts w:hint="eastAsia"/>
                <w:color w:val="auto"/>
                <w:spacing w:val="-1"/>
                <w:sz w:val="24"/>
                <w:lang w:val="en-US" w:eastAsia="zh-CN"/>
              </w:rPr>
              <w:t>3、管道附属设施</w:t>
            </w:r>
          </w:p>
          <w:p w14:paraId="6E033F4A">
            <w:pPr>
              <w:pStyle w:val="46"/>
              <w:spacing w:line="360" w:lineRule="auto"/>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为便于管道工程的安全运行和维护管理，沿线设有多处检查井等附属建筑物。在管道的适当位置设检查井，主要用于管道的检修、清淤使用。根据检查井所处的位置及功能不同，共分为中间检查井、拐点处检查井和接入支管处检查井三种形式，中间检查井主要位于管道的中间位置，主要起到检修清通作用；拐点检查井主要位于管道具有转弯要求的位置；接入支管检查井主要用于管道沿线污水排入该管道的接点。</w:t>
            </w:r>
          </w:p>
          <w:p w14:paraId="0649A390">
            <w:pPr>
              <w:pStyle w:val="46"/>
              <w:spacing w:line="360" w:lineRule="auto"/>
              <w:rPr>
                <w:rFonts w:hint="eastAsia" w:ascii="Times New Roman" w:hAnsi="Times New Roman" w:eastAsia="宋体" w:cs="Times New Roman"/>
                <w:color w:val="auto"/>
                <w:spacing w:val="-1"/>
                <w:kern w:val="2"/>
                <w:sz w:val="24"/>
                <w:szCs w:val="24"/>
                <w:lang w:val="en-US" w:eastAsia="zh-CN" w:bidi="ar-SA"/>
              </w:rPr>
            </w:pPr>
            <w:r>
              <w:rPr>
                <w:rFonts w:hint="eastAsia" w:cs="Times New Roman"/>
                <w:color w:val="auto"/>
                <w:spacing w:val="-1"/>
                <w:kern w:val="2"/>
                <w:sz w:val="24"/>
                <w:szCs w:val="24"/>
                <w:lang w:val="en-US" w:eastAsia="zh-CN" w:bidi="ar-SA"/>
              </w:rPr>
              <w:t>雨、</w:t>
            </w:r>
            <w:r>
              <w:rPr>
                <w:rFonts w:hint="eastAsia" w:ascii="Times New Roman" w:hAnsi="Times New Roman" w:eastAsia="宋体" w:cs="Times New Roman"/>
                <w:color w:val="auto"/>
                <w:spacing w:val="-1"/>
                <w:kern w:val="2"/>
                <w:sz w:val="24"/>
                <w:szCs w:val="24"/>
                <w:lang w:val="en-US" w:eastAsia="zh-CN" w:bidi="ar-SA"/>
              </w:rPr>
              <w:t>污水检查井采用国标混凝土污水检查井，也可根据情况采用成品混凝土检查井，检查井规格及做法见国标图集。检查井内壁采用防腐材料衬里，内刷环氧树脂漆两遍至管外顶以上30厘米。</w:t>
            </w:r>
          </w:p>
          <w:p w14:paraId="443047E9">
            <w:pPr>
              <w:pStyle w:val="46"/>
              <w:spacing w:line="360" w:lineRule="auto"/>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 xml:space="preserve">检查井位于车行道、非机动车道（包括规划机动车道及辅道）时，井口周围应进行加固处理，做法见检查井加固图，采用重型球墨铸铁井盖及支座，承载能力为D400型；位于人行道时支座周围填筑材料同地面铺装，采用轻型球墨铸铁井盖及支座，承载能力为C250型；位于绿化带、农田内时，采用轻型球墨铸铁井盖及支座，承载能力为C250型，支座周围应浇筑C30混凝土圈，宽度不小于150mm；位于人行道等铺装路面下的井盖支座采用外方内圆形，其它位置采用圆形。检查井井盖上面有"污"字样的标志。 </w:t>
            </w:r>
          </w:p>
          <w:p w14:paraId="2AF3234E">
            <w:pPr>
              <w:pStyle w:val="46"/>
              <w:spacing w:line="360" w:lineRule="auto"/>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所有井盖必须为“防盗窃、防坠落、防移位”的“三防”井盖，井盖位于车行道下时采用同时具备“防响、防跳”的“五防”井盖，防坠网承重能力不小于100kg；防坠网的挂钩不小于6个，挂钩的金属不得外露，单个挂钩的承载拉力不低于50公斤；防坠网采用尼龙材料，尼龙绳不小于150股，承载拉力不低于50公斤。</w:t>
            </w:r>
          </w:p>
          <w:p w14:paraId="775B8AD1">
            <w:pPr>
              <w:pStyle w:val="46"/>
              <w:spacing w:line="360" w:lineRule="auto"/>
              <w:rPr>
                <w:rFonts w:hint="eastAsia" w:ascii="Times New Roman" w:hAnsi="Times New Roman" w:eastAsia="宋体" w:cs="Times New Roman"/>
                <w:color w:val="auto"/>
                <w:spacing w:val="-1"/>
                <w:kern w:val="2"/>
                <w:sz w:val="24"/>
                <w:szCs w:val="24"/>
                <w:lang w:val="en-US" w:eastAsia="zh-CN" w:bidi="ar-SA"/>
              </w:rPr>
            </w:pPr>
            <w:r>
              <w:rPr>
                <w:rFonts w:hint="eastAsia" w:ascii="Times New Roman" w:hAnsi="Times New Roman" w:eastAsia="宋体" w:cs="Times New Roman"/>
                <w:color w:val="auto"/>
                <w:spacing w:val="-1"/>
                <w:kern w:val="2"/>
                <w:sz w:val="24"/>
                <w:szCs w:val="24"/>
                <w:lang w:val="en-US" w:eastAsia="zh-CN" w:bidi="ar-SA"/>
              </w:rPr>
              <w:t>检查井井盖、井座应满足《检查井盖》（GB/T23858-2009）及相关行业要求。</w:t>
            </w:r>
          </w:p>
          <w:p w14:paraId="0EB01AB6">
            <w:pPr>
              <w:widowControl/>
              <w:spacing w:line="360" w:lineRule="auto"/>
              <w:jc w:val="left"/>
              <w:rPr>
                <w:b/>
                <w:bCs/>
                <w:color w:val="auto"/>
                <w:kern w:val="0"/>
                <w:sz w:val="24"/>
                <w:lang w:bidi="ar"/>
              </w:rPr>
            </w:pPr>
            <w:r>
              <w:rPr>
                <w:rFonts w:hint="eastAsia"/>
                <w:b/>
                <w:bCs/>
                <w:color w:val="auto"/>
                <w:sz w:val="24"/>
                <w:lang w:eastAsia="zh-CN"/>
              </w:rPr>
              <w:t>八</w:t>
            </w:r>
            <w:r>
              <w:rPr>
                <w:b/>
                <w:bCs/>
                <w:color w:val="auto"/>
                <w:kern w:val="0"/>
                <w:sz w:val="24"/>
                <w:lang w:bidi="ar"/>
              </w:rPr>
              <w:t>、</w:t>
            </w:r>
            <w:r>
              <w:rPr>
                <w:rFonts w:hint="eastAsia"/>
                <w:b/>
                <w:bCs/>
                <w:color w:val="auto"/>
                <w:kern w:val="0"/>
                <w:sz w:val="24"/>
                <w:lang w:bidi="ar"/>
              </w:rPr>
              <w:t>砌石工程</w:t>
            </w:r>
          </w:p>
          <w:p w14:paraId="14FD727D">
            <w:pPr>
              <w:widowControl/>
              <w:spacing w:line="360" w:lineRule="auto"/>
              <w:ind w:firstLine="480" w:firstLineChars="200"/>
              <w:jc w:val="left"/>
              <w:rPr>
                <w:color w:val="auto"/>
                <w:kern w:val="0"/>
                <w:sz w:val="24"/>
                <w:lang w:bidi="ar"/>
              </w:rPr>
            </w:pPr>
            <w:r>
              <w:rPr>
                <w:color w:val="auto"/>
                <w:kern w:val="0"/>
                <w:sz w:val="24"/>
                <w:lang w:bidi="ar"/>
              </w:rPr>
              <w:t>（</w:t>
            </w:r>
            <w:r>
              <w:rPr>
                <w:rFonts w:hint="eastAsia"/>
                <w:color w:val="auto"/>
                <w:kern w:val="0"/>
                <w:sz w:val="24"/>
                <w:lang w:bidi="ar"/>
              </w:rPr>
              <w:t>1</w:t>
            </w:r>
            <w:r>
              <w:rPr>
                <w:color w:val="auto"/>
                <w:kern w:val="0"/>
                <w:sz w:val="24"/>
                <w:lang w:bidi="ar"/>
              </w:rPr>
              <w:t>）石料的选用</w:t>
            </w:r>
          </w:p>
          <w:p w14:paraId="5A1DEBFE">
            <w:pPr>
              <w:widowControl/>
              <w:spacing w:line="360" w:lineRule="auto"/>
              <w:ind w:firstLine="480" w:firstLineChars="200"/>
              <w:jc w:val="left"/>
              <w:rPr>
                <w:color w:val="auto"/>
                <w:kern w:val="0"/>
                <w:sz w:val="24"/>
                <w:lang w:bidi="ar"/>
              </w:rPr>
            </w:pPr>
            <w:r>
              <w:rPr>
                <w:color w:val="auto"/>
                <w:kern w:val="0"/>
                <w:sz w:val="24"/>
                <w:lang w:bidi="ar"/>
              </w:rPr>
              <w:t>砌石体的石料均自选定料场外购，应选用材质坚实，无风化剥落层或裂纹，石材表面无污垢、水锈等杂质，用于表面的石材，应色泽均匀。石料的物理力学指标应符合国家施工规范要求。</w:t>
            </w:r>
          </w:p>
          <w:p w14:paraId="48F34D29">
            <w:pPr>
              <w:widowControl/>
              <w:spacing w:line="360" w:lineRule="auto"/>
              <w:ind w:firstLine="480" w:firstLineChars="200"/>
              <w:jc w:val="left"/>
              <w:rPr>
                <w:color w:val="auto"/>
                <w:kern w:val="0"/>
                <w:sz w:val="24"/>
                <w:lang w:bidi="ar"/>
              </w:rPr>
            </w:pPr>
            <w:r>
              <w:rPr>
                <w:color w:val="auto"/>
                <w:kern w:val="0"/>
                <w:sz w:val="24"/>
                <w:lang w:bidi="ar"/>
              </w:rPr>
              <w:t>（2）砂浆拌制</w:t>
            </w:r>
          </w:p>
          <w:p w14:paraId="38E3E839">
            <w:pPr>
              <w:widowControl/>
              <w:spacing w:line="360" w:lineRule="auto"/>
              <w:ind w:firstLine="480" w:firstLineChars="200"/>
              <w:jc w:val="left"/>
              <w:rPr>
                <w:color w:val="auto"/>
                <w:kern w:val="0"/>
                <w:sz w:val="24"/>
                <w:lang w:bidi="ar"/>
              </w:rPr>
            </w:pPr>
            <w:r>
              <w:rPr>
                <w:rFonts w:hint="eastAsia"/>
                <w:color w:val="auto"/>
                <w:kern w:val="0"/>
                <w:sz w:val="24"/>
                <w:lang w:bidi="ar"/>
              </w:rPr>
              <w:t>砌石胶结材料选用水泥砂浆，水泥砂浆采用灰浆搅拌机拌制。制备的水泥砂浆配合比应准确，拌合均匀，不应产生泌水和离析现象，超过初凝时间的熟料应废弃，不得重拌使用。拌制好的砂浆采用机动翻斗车运输至工作面。</w:t>
            </w:r>
          </w:p>
          <w:p w14:paraId="1A50B3BE">
            <w:pPr>
              <w:widowControl/>
              <w:spacing w:line="360" w:lineRule="auto"/>
              <w:ind w:firstLine="480" w:firstLineChars="200"/>
              <w:jc w:val="left"/>
              <w:rPr>
                <w:color w:val="auto"/>
                <w:kern w:val="0"/>
                <w:sz w:val="24"/>
                <w:lang w:bidi="ar"/>
              </w:rPr>
            </w:pPr>
            <w:r>
              <w:rPr>
                <w:color w:val="auto"/>
                <w:kern w:val="0"/>
                <w:sz w:val="24"/>
                <w:lang w:bidi="ar"/>
              </w:rPr>
              <w:t>（3）浆砌石体砌筑</w:t>
            </w:r>
          </w:p>
          <w:p w14:paraId="250C3C1E">
            <w:pPr>
              <w:widowControl/>
              <w:spacing w:line="360" w:lineRule="auto"/>
              <w:ind w:firstLine="480" w:firstLineChars="200"/>
              <w:jc w:val="left"/>
              <w:rPr>
                <w:color w:val="auto"/>
                <w:kern w:val="0"/>
                <w:sz w:val="24"/>
                <w:lang w:bidi="ar"/>
              </w:rPr>
            </w:pPr>
            <w:r>
              <w:rPr>
                <w:rFonts w:hint="eastAsia"/>
                <w:color w:val="auto"/>
                <w:kern w:val="0"/>
                <w:sz w:val="24"/>
                <w:lang w:bidi="ar"/>
              </w:rPr>
              <w:t>①</w:t>
            </w:r>
            <w:r>
              <w:rPr>
                <w:color w:val="auto"/>
                <w:kern w:val="0"/>
                <w:sz w:val="24"/>
                <w:lang w:bidi="ar"/>
              </w:rPr>
              <w:t>进场后的石料，经人工选修后采用胶轮车运输至工作面，搬运就位。砌筑前，应在砌体外将石料表面的泥垢冲洗干净，砌筑时保持砌体表面湿润。</w:t>
            </w:r>
          </w:p>
          <w:p w14:paraId="616B184C">
            <w:pPr>
              <w:widowControl/>
              <w:spacing w:line="360" w:lineRule="auto"/>
              <w:ind w:firstLine="480" w:firstLineChars="200"/>
              <w:jc w:val="left"/>
              <w:rPr>
                <w:color w:val="auto"/>
                <w:kern w:val="0"/>
                <w:sz w:val="24"/>
                <w:lang w:bidi="ar"/>
              </w:rPr>
            </w:pPr>
            <w:r>
              <w:rPr>
                <w:rFonts w:hint="eastAsia"/>
                <w:color w:val="auto"/>
                <w:kern w:val="0"/>
                <w:sz w:val="24"/>
                <w:lang w:bidi="ar"/>
              </w:rPr>
              <w:t>②</w:t>
            </w:r>
            <w:r>
              <w:rPr>
                <w:color w:val="auto"/>
                <w:kern w:val="0"/>
                <w:sz w:val="24"/>
                <w:lang w:bidi="ar"/>
              </w:rPr>
              <w:t>浆砌石施工采用座浆法分层砌筑。砌筑应先在基础面上铺一层砂浆，然后安放石块。</w:t>
            </w:r>
          </w:p>
          <w:p w14:paraId="64900DCC">
            <w:pPr>
              <w:widowControl/>
              <w:spacing w:line="360" w:lineRule="auto"/>
              <w:ind w:firstLine="480" w:firstLineChars="200"/>
              <w:jc w:val="left"/>
              <w:rPr>
                <w:color w:val="auto"/>
                <w:kern w:val="0"/>
                <w:sz w:val="24"/>
                <w:lang w:bidi="ar"/>
              </w:rPr>
            </w:pPr>
            <w:r>
              <w:rPr>
                <w:rFonts w:hint="eastAsia"/>
                <w:color w:val="auto"/>
                <w:kern w:val="0"/>
                <w:sz w:val="24"/>
                <w:lang w:bidi="ar"/>
              </w:rPr>
              <w:t>③</w:t>
            </w:r>
            <w:r>
              <w:rPr>
                <w:color w:val="auto"/>
                <w:kern w:val="0"/>
                <w:sz w:val="24"/>
                <w:lang w:bidi="ar"/>
              </w:rPr>
              <w:t>勾缝，勾缝应在砌筑施工24h以后进行，先将缝内深度不小于2倍缝宽的砂浆刮去，用水将缝内冲洗干净，再用标号较高的砂浆进行填缝。</w:t>
            </w:r>
          </w:p>
          <w:p w14:paraId="056E446C">
            <w:pPr>
              <w:widowControl/>
              <w:spacing w:line="360" w:lineRule="auto"/>
              <w:ind w:firstLine="480" w:firstLineChars="200"/>
              <w:jc w:val="left"/>
              <w:rPr>
                <w:color w:val="auto"/>
                <w:kern w:val="0"/>
                <w:sz w:val="24"/>
                <w:lang w:bidi="ar"/>
              </w:rPr>
            </w:pPr>
            <w:r>
              <w:rPr>
                <w:rFonts w:hint="eastAsia"/>
                <w:color w:val="auto"/>
                <w:kern w:val="0"/>
                <w:sz w:val="24"/>
                <w:lang w:bidi="ar"/>
              </w:rPr>
              <w:t>（4）养护及其他</w:t>
            </w:r>
          </w:p>
          <w:p w14:paraId="724399A1">
            <w:pPr>
              <w:widowControl/>
              <w:spacing w:line="360" w:lineRule="auto"/>
              <w:ind w:firstLine="480" w:firstLineChars="200"/>
              <w:jc w:val="left"/>
              <w:rPr>
                <w:color w:val="auto"/>
                <w:kern w:val="0"/>
                <w:sz w:val="24"/>
                <w:lang w:bidi="ar"/>
              </w:rPr>
            </w:pPr>
            <w:r>
              <w:rPr>
                <w:color w:val="auto"/>
                <w:kern w:val="0"/>
                <w:sz w:val="24"/>
                <w:lang w:bidi="ar"/>
              </w:rPr>
              <w:t>砌体外露面应在砌筑后及时养护，经常保持外露面的湿润，并作好防暑、防冻、防雨、防冲工作。工程完工后，砌体未达到设计强度时不得回填。</w:t>
            </w:r>
          </w:p>
          <w:p w14:paraId="2669B0BF">
            <w:pPr>
              <w:widowControl/>
              <w:spacing w:line="360" w:lineRule="auto"/>
              <w:ind w:firstLine="480" w:firstLineChars="200"/>
              <w:jc w:val="left"/>
              <w:rPr>
                <w:color w:val="auto"/>
                <w:kern w:val="0"/>
                <w:sz w:val="24"/>
                <w:lang w:bidi="ar"/>
              </w:rPr>
            </w:pPr>
            <w:r>
              <w:rPr>
                <w:color w:val="auto"/>
                <w:kern w:val="0"/>
                <w:sz w:val="24"/>
                <w:lang w:bidi="ar"/>
              </w:rPr>
              <w:t>砌石工程施工应严格执行现行的施工技术规范。</w:t>
            </w:r>
          </w:p>
          <w:p w14:paraId="0E3C6EE8">
            <w:pPr>
              <w:spacing w:line="360" w:lineRule="auto"/>
              <w:rPr>
                <w:b/>
                <w:bCs/>
                <w:color w:val="auto"/>
                <w:sz w:val="24"/>
              </w:rPr>
            </w:pPr>
            <w:r>
              <w:rPr>
                <w:rFonts w:hint="eastAsia"/>
                <w:b/>
                <w:bCs/>
                <w:color w:val="auto"/>
                <w:sz w:val="24"/>
                <w:lang w:eastAsia="zh-CN"/>
              </w:rPr>
              <w:t>九、</w:t>
            </w:r>
            <w:r>
              <w:rPr>
                <w:b/>
                <w:bCs/>
                <w:color w:val="auto"/>
                <w:sz w:val="24"/>
              </w:rPr>
              <w:t>土石方工程</w:t>
            </w:r>
          </w:p>
          <w:p w14:paraId="3F7764B1">
            <w:pPr>
              <w:spacing w:line="360" w:lineRule="auto"/>
              <w:ind w:firstLine="476" w:firstLineChars="200"/>
              <w:rPr>
                <w:color w:val="auto"/>
                <w:sz w:val="24"/>
              </w:rPr>
            </w:pPr>
            <w:r>
              <w:rPr>
                <w:color w:val="auto"/>
                <w:spacing w:val="-1"/>
                <w:sz w:val="24"/>
              </w:rPr>
              <w:t>河道土方工程：</w:t>
            </w:r>
          </w:p>
          <w:p w14:paraId="625EACCC">
            <w:pPr>
              <w:spacing w:line="360" w:lineRule="auto"/>
              <w:ind w:firstLine="540" w:firstLineChars="200"/>
              <w:rPr>
                <w:color w:val="auto"/>
                <w:sz w:val="24"/>
              </w:rPr>
            </w:pPr>
            <w:r>
              <w:rPr>
                <w:color w:val="auto"/>
                <w:spacing w:val="15"/>
                <w:sz w:val="24"/>
              </w:rPr>
              <w:t>根</w:t>
            </w:r>
            <w:r>
              <w:rPr>
                <w:color w:val="auto"/>
                <w:spacing w:val="9"/>
                <w:sz w:val="24"/>
              </w:rPr>
              <w:t>据工程地质条件及土方开挖的实际特点，施工程序如下：</w:t>
            </w:r>
          </w:p>
          <w:p w14:paraId="6517E76C">
            <w:pPr>
              <w:spacing w:line="360" w:lineRule="auto"/>
              <w:ind w:firstLine="475"/>
              <w:rPr>
                <w:color w:val="auto"/>
                <w:sz w:val="24"/>
              </w:rPr>
            </w:pPr>
            <w:r>
              <w:rPr>
                <w:color w:val="auto"/>
                <w:spacing w:val="20"/>
                <w:sz w:val="24"/>
              </w:rPr>
              <w:t>施</w:t>
            </w:r>
            <w:r>
              <w:rPr>
                <w:color w:val="auto"/>
                <w:spacing w:val="12"/>
                <w:sz w:val="24"/>
              </w:rPr>
              <w:t>工</w:t>
            </w:r>
            <w:r>
              <w:rPr>
                <w:color w:val="auto"/>
                <w:spacing w:val="10"/>
                <w:sz w:val="24"/>
              </w:rPr>
              <w:t>准备→测量放样→场地清理→降排水→河道开挖用于填筑→河道开挖土方</w:t>
            </w:r>
            <w:r>
              <w:rPr>
                <w:color w:val="auto"/>
                <w:spacing w:val="8"/>
                <w:sz w:val="24"/>
              </w:rPr>
              <w:t>弃置→进行下一道工序</w:t>
            </w:r>
            <w:r>
              <w:rPr>
                <w:color w:val="auto"/>
                <w:spacing w:val="6"/>
                <w:sz w:val="24"/>
              </w:rPr>
              <w:t>。</w:t>
            </w:r>
          </w:p>
          <w:p w14:paraId="611607DA">
            <w:pPr>
              <w:spacing w:line="360" w:lineRule="auto"/>
              <w:ind w:firstLine="528" w:firstLineChars="200"/>
              <w:rPr>
                <w:b/>
                <w:bCs/>
                <w:color w:val="auto"/>
                <w:sz w:val="24"/>
              </w:rPr>
            </w:pPr>
            <w:r>
              <w:rPr>
                <w:color w:val="auto"/>
                <w:spacing w:val="12"/>
                <w:sz w:val="24"/>
              </w:rPr>
              <w:t>施</w:t>
            </w:r>
            <w:r>
              <w:rPr>
                <w:color w:val="auto"/>
                <w:spacing w:val="7"/>
                <w:sz w:val="24"/>
              </w:rPr>
              <w:t>工准备：机械设备进场、场地平整、便道修筑等，按抽排水方案实施截、排水</w:t>
            </w:r>
            <w:r>
              <w:rPr>
                <w:color w:val="auto"/>
                <w:spacing w:val="5"/>
                <w:sz w:val="24"/>
              </w:rPr>
              <w:t>沟施工。</w:t>
            </w:r>
          </w:p>
          <w:p w14:paraId="25382C6F">
            <w:pPr>
              <w:spacing w:line="360" w:lineRule="auto"/>
              <w:ind w:firstLine="480"/>
              <w:rPr>
                <w:color w:val="auto"/>
                <w:sz w:val="24"/>
              </w:rPr>
            </w:pPr>
            <w:r>
              <w:rPr>
                <w:color w:val="auto"/>
                <w:spacing w:val="8"/>
                <w:sz w:val="24"/>
              </w:rPr>
              <w:t>测</w:t>
            </w:r>
            <w:r>
              <w:rPr>
                <w:color w:val="auto"/>
                <w:spacing w:val="7"/>
                <w:sz w:val="24"/>
              </w:rPr>
              <w:t>量放样：建好施工平面控制网、高程系统，按设计要求精确地放出开挖高程及</w:t>
            </w:r>
            <w:r>
              <w:rPr>
                <w:color w:val="auto"/>
                <w:spacing w:val="16"/>
                <w:sz w:val="24"/>
              </w:rPr>
              <w:t>开</w:t>
            </w:r>
            <w:r>
              <w:rPr>
                <w:color w:val="auto"/>
                <w:spacing w:val="11"/>
                <w:sz w:val="24"/>
              </w:rPr>
              <w:t>挖</w:t>
            </w:r>
            <w:r>
              <w:rPr>
                <w:color w:val="auto"/>
                <w:spacing w:val="8"/>
                <w:sz w:val="24"/>
              </w:rPr>
              <w:t>边线，并打（放）开挖范围、开挖深度控制桩线。</w:t>
            </w:r>
          </w:p>
          <w:p w14:paraId="770D69ED">
            <w:pPr>
              <w:spacing w:line="360" w:lineRule="auto"/>
              <w:ind w:firstLine="479"/>
              <w:rPr>
                <w:color w:val="auto"/>
                <w:sz w:val="24"/>
              </w:rPr>
            </w:pPr>
            <w:r>
              <w:rPr>
                <w:color w:val="auto"/>
                <w:spacing w:val="9"/>
                <w:sz w:val="24"/>
              </w:rPr>
              <w:t>场</w:t>
            </w:r>
            <w:r>
              <w:rPr>
                <w:color w:val="auto"/>
                <w:spacing w:val="7"/>
                <w:sz w:val="24"/>
              </w:rPr>
              <w:t>地清理及岸坡填筑：填筑前需将填筑面处的耕植土、淤质土、腐殖土和草皮树</w:t>
            </w:r>
            <w:r>
              <w:rPr>
                <w:color w:val="auto"/>
                <w:spacing w:val="14"/>
                <w:sz w:val="24"/>
              </w:rPr>
              <w:t>根</w:t>
            </w:r>
            <w:r>
              <w:rPr>
                <w:color w:val="auto"/>
                <w:spacing w:val="8"/>
                <w:sz w:val="24"/>
              </w:rPr>
              <w:t>等</w:t>
            </w:r>
            <w:r>
              <w:rPr>
                <w:color w:val="auto"/>
                <w:spacing w:val="7"/>
                <w:sz w:val="24"/>
              </w:rPr>
              <w:t>杂物清除，直至新鲜土层，清基土采用推土机推运至临时弃土区堆存。清理后的</w:t>
            </w:r>
            <w:r>
              <w:rPr>
                <w:color w:val="auto"/>
                <w:spacing w:val="6"/>
                <w:sz w:val="24"/>
              </w:rPr>
              <w:t>基面形状应符合《堤</w:t>
            </w:r>
            <w:r>
              <w:rPr>
                <w:color w:val="auto"/>
                <w:spacing w:val="3"/>
                <w:sz w:val="24"/>
              </w:rPr>
              <w:t>防工程施工规范》(</w:t>
            </w:r>
            <w:r>
              <w:rPr>
                <w:color w:val="auto"/>
                <w:sz w:val="24"/>
              </w:rPr>
              <w:t>SL</w:t>
            </w:r>
            <w:r>
              <w:rPr>
                <w:color w:val="auto"/>
                <w:spacing w:val="3"/>
                <w:sz w:val="24"/>
              </w:rPr>
              <w:t>260-2014)的要求。对于清基、填筑间隔</w:t>
            </w:r>
            <w:r>
              <w:rPr>
                <w:color w:val="auto"/>
                <w:spacing w:val="14"/>
                <w:sz w:val="24"/>
              </w:rPr>
              <w:t>时</w:t>
            </w:r>
            <w:r>
              <w:rPr>
                <w:color w:val="auto"/>
                <w:spacing w:val="10"/>
                <w:sz w:val="24"/>
              </w:rPr>
              <w:t>间</w:t>
            </w:r>
            <w:r>
              <w:rPr>
                <w:color w:val="auto"/>
                <w:spacing w:val="7"/>
                <w:sz w:val="24"/>
              </w:rPr>
              <w:t>较长的河段，填筑面应采取洒水、覆盖塑料膜等措施，保证土体湿润，便</w:t>
            </w:r>
            <w:r>
              <w:rPr>
                <w:color w:val="auto"/>
                <w:spacing w:val="8"/>
                <w:sz w:val="24"/>
              </w:rPr>
              <w:t>于新老土体紧密结合。</w:t>
            </w:r>
          </w:p>
          <w:p w14:paraId="58A58D80">
            <w:pPr>
              <w:spacing w:line="360" w:lineRule="auto"/>
              <w:ind w:firstLine="482"/>
              <w:rPr>
                <w:color w:val="auto"/>
                <w:sz w:val="24"/>
              </w:rPr>
            </w:pPr>
            <w:r>
              <w:rPr>
                <w:color w:val="auto"/>
                <w:spacing w:val="7"/>
                <w:sz w:val="24"/>
              </w:rPr>
              <w:t>填筑土料以壤土为主，河道填筑分段自下而上分层施工，填筑土料中不应夹有砂</w:t>
            </w:r>
            <w:r>
              <w:rPr>
                <w:color w:val="auto"/>
                <w:spacing w:val="14"/>
                <w:sz w:val="24"/>
              </w:rPr>
              <w:t>子</w:t>
            </w:r>
            <w:r>
              <w:rPr>
                <w:color w:val="auto"/>
                <w:spacing w:val="11"/>
                <w:sz w:val="24"/>
              </w:rPr>
              <w:t>、</w:t>
            </w:r>
            <w:r>
              <w:rPr>
                <w:color w:val="auto"/>
                <w:spacing w:val="7"/>
                <w:sz w:val="24"/>
              </w:rPr>
              <w:t>淤质土、耕植土、冰雪、冻土块和其它杂质。土料压实前应采取晾晒、洒水等措</w:t>
            </w:r>
            <w:r>
              <w:rPr>
                <w:color w:val="auto"/>
                <w:spacing w:val="14"/>
                <w:sz w:val="24"/>
              </w:rPr>
              <w:t>施</w:t>
            </w:r>
            <w:r>
              <w:rPr>
                <w:color w:val="auto"/>
                <w:spacing w:val="8"/>
                <w:sz w:val="24"/>
              </w:rPr>
              <w:t>，</w:t>
            </w:r>
            <w:r>
              <w:rPr>
                <w:color w:val="auto"/>
                <w:spacing w:val="7"/>
                <w:sz w:val="24"/>
              </w:rPr>
              <w:t>使土料含水量接近最优含水量。对于不同的土料和碾压设备，施工前应通过现场</w:t>
            </w:r>
            <w:r>
              <w:rPr>
                <w:color w:val="auto"/>
                <w:spacing w:val="18"/>
                <w:sz w:val="24"/>
              </w:rPr>
              <w:t>击</w:t>
            </w:r>
            <w:r>
              <w:rPr>
                <w:color w:val="auto"/>
                <w:spacing w:val="11"/>
                <w:sz w:val="24"/>
              </w:rPr>
              <w:t>实</w:t>
            </w:r>
            <w:r>
              <w:rPr>
                <w:color w:val="auto"/>
                <w:spacing w:val="9"/>
                <w:sz w:val="24"/>
              </w:rPr>
              <w:t>试验和碾压试验确定土料的最大干容重、铺料厚度和碾压遍数。</w:t>
            </w:r>
          </w:p>
          <w:p w14:paraId="6232509F">
            <w:pPr>
              <w:spacing w:line="360" w:lineRule="auto"/>
              <w:ind w:firstLine="511"/>
              <w:rPr>
                <w:color w:val="auto"/>
                <w:sz w:val="24"/>
              </w:rPr>
            </w:pPr>
            <w:r>
              <w:rPr>
                <w:color w:val="auto"/>
                <w:spacing w:val="19"/>
                <w:sz w:val="24"/>
              </w:rPr>
              <w:t>河</w:t>
            </w:r>
            <w:r>
              <w:rPr>
                <w:color w:val="auto"/>
                <w:spacing w:val="13"/>
                <w:sz w:val="24"/>
              </w:rPr>
              <w:t>道填筑时每层土料在压实后应按规范要求取样检查，确保压实后的土料压实</w:t>
            </w:r>
            <w:r>
              <w:rPr>
                <w:color w:val="auto"/>
                <w:spacing w:val="14"/>
                <w:sz w:val="24"/>
              </w:rPr>
              <w:t>度</w:t>
            </w:r>
            <w:r>
              <w:rPr>
                <w:color w:val="auto"/>
                <w:spacing w:val="11"/>
                <w:sz w:val="24"/>
              </w:rPr>
              <w:t>不</w:t>
            </w:r>
            <w:r>
              <w:rPr>
                <w:color w:val="auto"/>
                <w:spacing w:val="7"/>
                <w:sz w:val="24"/>
              </w:rPr>
              <w:t>小于设计要求，不符合要求的重新碾压或返工，冬季、雨季填筑时，应严格按照</w:t>
            </w:r>
            <w:r>
              <w:rPr>
                <w:color w:val="auto"/>
                <w:spacing w:val="12"/>
                <w:sz w:val="24"/>
              </w:rPr>
              <w:t>《</w:t>
            </w:r>
            <w:r>
              <w:rPr>
                <w:color w:val="auto"/>
                <w:spacing w:val="9"/>
                <w:sz w:val="24"/>
              </w:rPr>
              <w:t>堤防工程施工规范》的有关要求进行质量控制。</w:t>
            </w:r>
          </w:p>
          <w:p w14:paraId="3F4BDDE5">
            <w:pPr>
              <w:widowControl/>
              <w:spacing w:line="360" w:lineRule="auto"/>
              <w:ind w:firstLine="479"/>
              <w:rPr>
                <w:color w:val="auto"/>
                <w:spacing w:val="3"/>
                <w:sz w:val="24"/>
              </w:rPr>
            </w:pPr>
            <w:r>
              <w:rPr>
                <w:color w:val="auto"/>
                <w:spacing w:val="3"/>
                <w:sz w:val="24"/>
              </w:rPr>
              <w:t>对治理河道防洪标准进行提升，对不满足防洪要求的河段进行扩挖，开挖原则为龙沟先行，分配分层，台阶开挖，先下后上。</w:t>
            </w:r>
          </w:p>
          <w:p w14:paraId="5C8C76E0">
            <w:pPr>
              <w:widowControl/>
              <w:spacing w:line="360" w:lineRule="auto"/>
              <w:ind w:firstLine="479"/>
              <w:rPr>
                <w:color w:val="auto"/>
                <w:spacing w:val="3"/>
                <w:sz w:val="24"/>
              </w:rPr>
            </w:pPr>
            <w:r>
              <w:rPr>
                <w:color w:val="auto"/>
                <w:spacing w:val="3"/>
                <w:sz w:val="24"/>
              </w:rPr>
              <w:t>开挖方法：根据地形地质条件以及地下水埋深、土方开挖深度等条件，采用龙沟一次到底法，然后由龙沟向外逐渐扩大。扩挖时会有大量淤泥和土方产生，利用挖机将淤泥挖至河道一侧沥水，待淤积物较干后按照环卫部门的规定进行利用或者处置</w:t>
            </w:r>
            <w:r>
              <w:rPr>
                <w:rFonts w:hint="eastAsia"/>
                <w:color w:val="auto"/>
                <w:spacing w:val="3"/>
                <w:sz w:val="24"/>
              </w:rPr>
              <w:t>。</w:t>
            </w:r>
          </w:p>
          <w:p w14:paraId="13B963AB">
            <w:pPr>
              <w:spacing w:line="360" w:lineRule="auto"/>
              <w:ind w:firstLine="479"/>
              <w:rPr>
                <w:color w:val="auto"/>
                <w:spacing w:val="3"/>
                <w:sz w:val="24"/>
              </w:rPr>
            </w:pPr>
            <w:r>
              <w:rPr>
                <w:color w:val="auto"/>
                <w:spacing w:val="3"/>
                <w:sz w:val="24"/>
              </w:rPr>
              <w:t>回填土方可采用推土机集料、平料，碾压，土方填筑前，由施工单位做碾压试验，根据碾压试验结果，确定压实参数。</w:t>
            </w:r>
          </w:p>
          <w:p w14:paraId="4A314700">
            <w:pPr>
              <w:spacing w:line="360" w:lineRule="auto"/>
              <w:rPr>
                <w:b/>
                <w:bCs/>
                <w:color w:val="auto"/>
                <w:sz w:val="24"/>
              </w:rPr>
            </w:pPr>
            <w:r>
              <w:rPr>
                <w:rFonts w:hint="eastAsia"/>
                <w:b/>
                <w:bCs/>
                <w:color w:val="auto"/>
                <w:sz w:val="24"/>
                <w:lang w:eastAsia="zh-CN"/>
              </w:rPr>
              <w:t>十、</w:t>
            </w:r>
            <w:r>
              <w:rPr>
                <w:b/>
                <w:bCs/>
                <w:color w:val="auto"/>
                <w:sz w:val="24"/>
              </w:rPr>
              <w:t>拆除工程</w:t>
            </w:r>
          </w:p>
          <w:p w14:paraId="5F7DA776">
            <w:pPr>
              <w:spacing w:line="360" w:lineRule="auto"/>
              <w:ind w:firstLine="556" w:firstLineChars="200"/>
              <w:rPr>
                <w:color w:val="auto"/>
                <w:sz w:val="24"/>
              </w:rPr>
            </w:pPr>
            <w:r>
              <w:rPr>
                <w:color w:val="auto"/>
                <w:spacing w:val="19"/>
                <w:sz w:val="24"/>
              </w:rPr>
              <w:t>拆</w:t>
            </w:r>
            <w:r>
              <w:rPr>
                <w:color w:val="auto"/>
                <w:spacing w:val="13"/>
                <w:sz w:val="24"/>
              </w:rPr>
              <w:t>除工程主要是河道原护砌、桥梁等建筑物的拆除，拆除工程施工程序流程遵</w:t>
            </w:r>
            <w:r>
              <w:rPr>
                <w:color w:val="auto"/>
                <w:spacing w:val="18"/>
                <w:sz w:val="24"/>
              </w:rPr>
              <w:t>循</w:t>
            </w:r>
            <w:r>
              <w:rPr>
                <w:color w:val="auto"/>
                <w:spacing w:val="14"/>
                <w:sz w:val="24"/>
              </w:rPr>
              <w:t>从</w:t>
            </w:r>
            <w:r>
              <w:rPr>
                <w:color w:val="auto"/>
                <w:spacing w:val="9"/>
                <w:sz w:val="24"/>
              </w:rPr>
              <w:t>上至下、同一水平面结构从中间至两边、先轴线后两侧的拆除施工程序。</w:t>
            </w:r>
          </w:p>
          <w:p w14:paraId="728E3940">
            <w:pPr>
              <w:spacing w:line="360" w:lineRule="auto"/>
              <w:ind w:firstLine="548" w:firstLineChars="200"/>
              <w:rPr>
                <w:color w:val="auto"/>
                <w:spacing w:val="4"/>
                <w:sz w:val="24"/>
                <w:highlight w:val="yellow"/>
              </w:rPr>
            </w:pPr>
            <w:r>
              <w:rPr>
                <w:color w:val="auto"/>
                <w:spacing w:val="17"/>
                <w:sz w:val="24"/>
              </w:rPr>
              <w:t>生</w:t>
            </w:r>
            <w:r>
              <w:rPr>
                <w:color w:val="auto"/>
                <w:spacing w:val="13"/>
                <w:sz w:val="24"/>
              </w:rPr>
              <w:t>产桥拆除时，先拆除铺装层结构，然后将边孔桥板缝凿出，将桥板块用吊车</w:t>
            </w:r>
            <w:r>
              <w:rPr>
                <w:color w:val="auto"/>
                <w:spacing w:val="14"/>
                <w:sz w:val="24"/>
              </w:rPr>
              <w:t>吊</w:t>
            </w:r>
            <w:r>
              <w:rPr>
                <w:color w:val="auto"/>
                <w:spacing w:val="9"/>
                <w:sz w:val="24"/>
              </w:rPr>
              <w:t>到</w:t>
            </w:r>
            <w:r>
              <w:rPr>
                <w:color w:val="auto"/>
                <w:spacing w:val="7"/>
                <w:sz w:val="24"/>
              </w:rPr>
              <w:t>自卸车上外运。拆除桥墩混凝土时，采用液压岩石破碎机、风镐等进行拆除，拆</w:t>
            </w:r>
            <w:r>
              <w:rPr>
                <w:color w:val="auto"/>
                <w:spacing w:val="14"/>
                <w:sz w:val="24"/>
              </w:rPr>
              <w:t>除</w:t>
            </w:r>
            <w:r>
              <w:rPr>
                <w:color w:val="auto"/>
                <w:spacing w:val="7"/>
                <w:sz w:val="24"/>
              </w:rPr>
              <w:t>混凝土时露出的钢筋用气焊割断。拆除护岸砌石、建筑物等建筑垃圾全部</w:t>
            </w:r>
            <w:r>
              <w:rPr>
                <w:rFonts w:hint="eastAsia"/>
                <w:color w:val="auto"/>
                <w:spacing w:val="7"/>
                <w:sz w:val="24"/>
              </w:rPr>
              <w:t>按照</w:t>
            </w:r>
            <w:r>
              <w:rPr>
                <w:color w:val="auto"/>
                <w:spacing w:val="7"/>
                <w:sz w:val="24"/>
              </w:rPr>
              <w:t>环卫部门的规定进行利用或者处置。</w:t>
            </w:r>
          </w:p>
          <w:p w14:paraId="55372EDB">
            <w:pPr>
              <w:spacing w:line="360" w:lineRule="auto"/>
              <w:rPr>
                <w:b/>
                <w:bCs/>
                <w:color w:val="auto"/>
                <w:sz w:val="24"/>
              </w:rPr>
            </w:pPr>
            <w:r>
              <w:rPr>
                <w:rFonts w:hint="eastAsia"/>
                <w:b/>
                <w:bCs/>
                <w:color w:val="auto"/>
                <w:sz w:val="24"/>
                <w:lang w:eastAsia="zh-CN"/>
              </w:rPr>
              <w:t>十一、</w:t>
            </w:r>
            <w:r>
              <w:rPr>
                <w:b/>
                <w:bCs/>
                <w:color w:val="auto"/>
                <w:sz w:val="24"/>
              </w:rPr>
              <w:t>混凝土及钢筋混凝土工程</w:t>
            </w:r>
          </w:p>
          <w:p w14:paraId="410D62E5">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本次工程钢筋混凝土施工主要是岸墙、石笼护坡</w:t>
            </w:r>
            <w:r>
              <w:rPr>
                <w:rFonts w:hint="eastAsia" w:ascii="Times New Roman" w:hAnsi="Times New Roman" w:eastAsia="宋体" w:cs="Times New Roman"/>
                <w:color w:val="auto"/>
                <w:kern w:val="0"/>
                <w:sz w:val="24"/>
                <w:szCs w:val="24"/>
                <w:highlight w:val="none"/>
                <w:lang w:val="en-US" w:eastAsia="zh-CN" w:bidi="ar"/>
              </w:rPr>
              <w:t>、桥梁</w:t>
            </w:r>
            <w:r>
              <w:rPr>
                <w:rFonts w:hint="default" w:ascii="Times New Roman" w:hAnsi="Times New Roman" w:eastAsia="宋体" w:cs="Times New Roman"/>
                <w:color w:val="auto"/>
                <w:kern w:val="0"/>
                <w:sz w:val="24"/>
                <w:szCs w:val="24"/>
                <w:highlight w:val="none"/>
                <w:lang w:val="en-US" w:eastAsia="zh-CN" w:bidi="ar"/>
              </w:rPr>
              <w:t>等建筑物。</w:t>
            </w:r>
          </w:p>
          <w:p w14:paraId="3997D524">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混凝土参数、钢筋等级应符合设计图纸要求。混凝土采用不低于42.5号水泥，并优先选用硅酸盐水泥、普通硅酸盐水泥。混凝土的配合比应通过试验确定。</w:t>
            </w:r>
          </w:p>
          <w:p w14:paraId="173FB471">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本工程混凝土统一采用外购商品混凝土，采用商品混凝土运输车运至浇筑地点，低处以混凝土泵或溜槽入仓，高程较高处以汽车吊吊罐入仓。入仓后的混凝土采用插入式或平板式振捣器振捣密实。</w:t>
            </w:r>
          </w:p>
          <w:p w14:paraId="180FFC80">
            <w:pPr>
              <w:keepNext w:val="0"/>
              <w:keepLines w:val="0"/>
              <w:pageBreakBefore w:val="0"/>
              <w:widowControl/>
              <w:suppressLineNumbers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cs="Times New Roman"/>
                <w:b/>
                <w:bCs/>
                <w:color w:val="auto"/>
                <w:kern w:val="0"/>
                <w:sz w:val="24"/>
                <w:szCs w:val="24"/>
                <w:highlight w:val="none"/>
                <w:lang w:val="en-US" w:eastAsia="zh-CN" w:bidi="ar"/>
              </w:rPr>
              <w:t>十二、</w:t>
            </w:r>
            <w:r>
              <w:rPr>
                <w:rFonts w:hint="default" w:ascii="Times New Roman" w:hAnsi="Times New Roman" w:eastAsia="宋体" w:cs="Times New Roman"/>
                <w:b/>
                <w:bCs/>
                <w:color w:val="auto"/>
                <w:kern w:val="0"/>
                <w:sz w:val="24"/>
                <w:szCs w:val="24"/>
                <w:highlight w:val="none"/>
                <w:lang w:val="en-US" w:eastAsia="zh-CN" w:bidi="ar"/>
              </w:rPr>
              <w:t>施工工厂设施</w:t>
            </w:r>
          </w:p>
          <w:p w14:paraId="59734C89">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1、砂石料加工系统</w:t>
            </w:r>
          </w:p>
          <w:p w14:paraId="49DF4A4B">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本工程所需砂石料均为外购，本次工程不设砂石料加工系统。</w:t>
            </w:r>
          </w:p>
          <w:p w14:paraId="3AA3FFD0">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2、混凝土生产系统</w:t>
            </w:r>
          </w:p>
          <w:p w14:paraId="661768DA">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本工程混凝土采用外购商品混凝土，不再单独设置混凝土生产及拌合系统。</w:t>
            </w:r>
          </w:p>
          <w:p w14:paraId="48D2F859">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3、机械修配及综合</w:t>
            </w:r>
            <w:r>
              <w:rPr>
                <w:rFonts w:hint="eastAsia" w:ascii="Times New Roman" w:hAnsi="Times New Roman" w:eastAsia="宋体" w:cs="Times New Roman"/>
                <w:color w:val="auto"/>
                <w:kern w:val="0"/>
                <w:sz w:val="24"/>
                <w:szCs w:val="24"/>
                <w:highlight w:val="none"/>
                <w:lang w:val="en-US" w:eastAsia="zh-CN" w:bidi="ar"/>
              </w:rPr>
              <w:t>仓库</w:t>
            </w:r>
          </w:p>
          <w:p w14:paraId="4B77DDBE">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本工程机械修配及综合</w:t>
            </w:r>
            <w:r>
              <w:rPr>
                <w:rFonts w:hint="eastAsia" w:ascii="Times New Roman" w:hAnsi="Times New Roman" w:eastAsia="宋体" w:cs="Times New Roman"/>
                <w:color w:val="auto"/>
                <w:kern w:val="0"/>
                <w:sz w:val="24"/>
                <w:szCs w:val="24"/>
                <w:highlight w:val="none"/>
                <w:lang w:val="en-US" w:eastAsia="zh-CN" w:bidi="ar"/>
              </w:rPr>
              <w:t>仓库</w:t>
            </w:r>
            <w:r>
              <w:rPr>
                <w:rFonts w:hint="default" w:ascii="Times New Roman" w:hAnsi="Times New Roman" w:eastAsia="宋体" w:cs="Times New Roman"/>
                <w:color w:val="auto"/>
                <w:kern w:val="0"/>
                <w:sz w:val="24"/>
                <w:szCs w:val="24"/>
                <w:highlight w:val="none"/>
                <w:lang w:val="en-US" w:eastAsia="zh-CN" w:bidi="ar"/>
              </w:rPr>
              <w:t>主要包括施工临时仓库、临时生活区及机械临时停放区等。</w:t>
            </w:r>
          </w:p>
          <w:p w14:paraId="0A0AC68B">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本工程施工期间主要施工机械包括：施工机械、材料加工运输机械，以及部分车辆停放。</w:t>
            </w:r>
            <w:r>
              <w:rPr>
                <w:rFonts w:hint="default" w:ascii="Times New Roman" w:hAnsi="Times New Roman" w:eastAsia="宋体" w:cs="Times New Roman"/>
                <w:b w:val="0"/>
                <w:bCs w:val="0"/>
                <w:color w:val="auto"/>
                <w:sz w:val="24"/>
                <w:szCs w:val="24"/>
                <w:highlight w:val="none"/>
                <w:lang w:val="en-US" w:eastAsia="zh-CN"/>
              </w:rPr>
              <w:t>工程所需施工机械为常用机械，工程附近的城镇均具备修理条件，</w:t>
            </w:r>
            <w:r>
              <w:rPr>
                <w:rFonts w:hint="default" w:ascii="Times New Roman" w:hAnsi="Times New Roman" w:eastAsia="宋体" w:cs="Times New Roman"/>
                <w:color w:val="auto"/>
                <w:kern w:val="0"/>
                <w:sz w:val="24"/>
                <w:szCs w:val="24"/>
                <w:highlight w:val="none"/>
                <w:lang w:val="en-US" w:eastAsia="zh-CN" w:bidi="ar"/>
              </w:rPr>
              <w:t>本着精简现场机修设施的原则，</w:t>
            </w:r>
            <w:r>
              <w:rPr>
                <w:rFonts w:hint="default" w:ascii="Times New Roman" w:hAnsi="Times New Roman" w:eastAsia="宋体" w:cs="Times New Roman"/>
                <w:b w:val="0"/>
                <w:bCs w:val="0"/>
                <w:color w:val="auto"/>
                <w:sz w:val="24"/>
                <w:szCs w:val="24"/>
                <w:highlight w:val="none"/>
                <w:lang w:val="en-US" w:eastAsia="zh-CN"/>
              </w:rPr>
              <w:t>施工现场不进行机械设备的维修和保养，仅进行一般供零配件更换和临时故障的处理，</w:t>
            </w:r>
            <w:r>
              <w:rPr>
                <w:rFonts w:hint="default" w:ascii="Times New Roman" w:hAnsi="Times New Roman" w:eastAsia="宋体" w:cs="Times New Roman"/>
                <w:color w:val="auto"/>
                <w:kern w:val="0"/>
                <w:sz w:val="24"/>
                <w:szCs w:val="24"/>
                <w:highlight w:val="none"/>
                <w:lang w:val="en-US" w:eastAsia="zh-CN" w:bidi="ar"/>
              </w:rPr>
              <w:t>不再专设机械修配厂、汽车维修保养场。</w:t>
            </w:r>
          </w:p>
          <w:p w14:paraId="58349641">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eastAsia" w:ascii="Times New Roman" w:hAnsi="Times New Roman" w:eastAsia="宋体" w:cs="Times New Roman"/>
                <w:b/>
                <w:bCs/>
                <w:color w:val="auto"/>
                <w:sz w:val="24"/>
                <w:lang w:eastAsia="zh-CN"/>
              </w:rPr>
            </w:pPr>
            <w:r>
              <w:rPr>
                <w:rFonts w:hint="default" w:ascii="Times New Roman" w:hAnsi="Times New Roman" w:eastAsia="宋体" w:cs="Times New Roman"/>
                <w:color w:val="auto"/>
                <w:kern w:val="0"/>
                <w:sz w:val="24"/>
                <w:szCs w:val="24"/>
                <w:highlight w:val="none"/>
                <w:lang w:val="en-US" w:eastAsia="zh-CN" w:bidi="ar"/>
              </w:rPr>
              <w:t>本项目总布置图见</w:t>
            </w:r>
            <w:r>
              <w:rPr>
                <w:rFonts w:hint="eastAsia" w:cs="Times New Roman"/>
                <w:color w:val="auto"/>
                <w:kern w:val="0"/>
                <w:sz w:val="24"/>
                <w:szCs w:val="24"/>
                <w:highlight w:val="none"/>
                <w:lang w:val="en-US" w:eastAsia="zh-CN" w:bidi="ar"/>
              </w:rPr>
              <w:t>附</w:t>
            </w:r>
            <w:r>
              <w:rPr>
                <w:rFonts w:hint="default" w:ascii="Times New Roman" w:hAnsi="Times New Roman" w:eastAsia="宋体" w:cs="Times New Roman"/>
                <w:color w:val="auto"/>
                <w:kern w:val="0"/>
                <w:sz w:val="24"/>
                <w:szCs w:val="24"/>
                <w:highlight w:val="none"/>
                <w:lang w:val="en-US" w:eastAsia="zh-CN" w:bidi="ar"/>
              </w:rPr>
              <w:t>图</w:t>
            </w:r>
            <w:r>
              <w:rPr>
                <w:rFonts w:hint="eastAsia" w:cs="Times New Roman"/>
                <w:color w:val="auto"/>
                <w:kern w:val="0"/>
                <w:sz w:val="24"/>
                <w:szCs w:val="24"/>
                <w:highlight w:val="none"/>
                <w:lang w:val="en-US" w:eastAsia="zh-CN" w:bidi="ar"/>
              </w:rPr>
              <w:t>8，施工占地平面布置图见附图9</w:t>
            </w:r>
            <w:r>
              <w:rPr>
                <w:rFonts w:hint="default" w:ascii="Times New Roman" w:hAnsi="Times New Roman" w:eastAsia="宋体" w:cs="Times New Roman"/>
                <w:color w:val="auto"/>
                <w:kern w:val="0"/>
                <w:sz w:val="24"/>
                <w:szCs w:val="24"/>
                <w:highlight w:val="none"/>
                <w:lang w:val="en-US" w:eastAsia="zh-CN" w:bidi="ar"/>
              </w:rPr>
              <w:t>。</w:t>
            </w:r>
          </w:p>
        </w:tc>
      </w:tr>
      <w:tr w14:paraId="662AF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96" w:hRule="atLeast"/>
          <w:jc w:val="center"/>
        </w:trPr>
        <w:tc>
          <w:tcPr>
            <w:tcW w:w="311" w:type="pct"/>
            <w:vAlign w:val="center"/>
          </w:tcPr>
          <w:p w14:paraId="73C18DB5">
            <w:pPr>
              <w:jc w:val="center"/>
              <w:rPr>
                <w:color w:val="auto"/>
                <w:kern w:val="0"/>
                <w:szCs w:val="21"/>
              </w:rPr>
            </w:pPr>
            <w:r>
              <w:rPr>
                <w:color w:val="auto"/>
                <w:kern w:val="0"/>
                <w:sz w:val="24"/>
              </w:rPr>
              <w:t>其他</w:t>
            </w:r>
          </w:p>
        </w:tc>
        <w:tc>
          <w:tcPr>
            <w:tcW w:w="4688" w:type="pct"/>
            <w:vAlign w:val="center"/>
          </w:tcPr>
          <w:p w14:paraId="636649D2">
            <w:pPr>
              <w:spacing w:before="120" w:beforeLines="50" w:line="360" w:lineRule="auto"/>
              <w:jc w:val="center"/>
              <w:rPr>
                <w:color w:val="auto"/>
                <w:spacing w:val="4"/>
                <w:sz w:val="24"/>
              </w:rPr>
            </w:pPr>
            <w:r>
              <w:rPr>
                <w:color w:val="auto"/>
                <w:spacing w:val="4"/>
                <w:sz w:val="24"/>
              </w:rPr>
              <w:t>无。</w:t>
            </w:r>
          </w:p>
        </w:tc>
      </w:tr>
    </w:tbl>
    <w:p w14:paraId="188B309F">
      <w:pPr>
        <w:pStyle w:val="17"/>
        <w:spacing w:before="120" w:beforeLines="50" w:beforeAutospacing="0" w:after="120" w:afterLines="50" w:afterAutospacing="0"/>
        <w:jc w:val="center"/>
        <w:outlineLvl w:val="0"/>
        <w:rPr>
          <w:rFonts w:ascii="Times New Roman" w:hAnsi="Times New Roman"/>
          <w:snapToGrid w:val="0"/>
          <w:color w:val="auto"/>
          <w:sz w:val="30"/>
          <w:szCs w:val="30"/>
        </w:rPr>
      </w:pPr>
      <w:r>
        <w:rPr>
          <w:rFonts w:ascii="Times New Roman" w:hAnsi="Times New Roman"/>
          <w:b/>
          <w:bCs/>
          <w:color w:val="auto"/>
          <w:highlight w:val="yellow"/>
        </w:rPr>
        <w:br w:type="page"/>
      </w:r>
      <w:r>
        <w:rPr>
          <w:rFonts w:ascii="Times New Roman" w:hAnsi="Times New Roman"/>
          <w:b/>
          <w:bCs/>
          <w:snapToGrid w:val="0"/>
          <w:color w:val="auto"/>
          <w:sz w:val="28"/>
          <w:szCs w:val="28"/>
        </w:rPr>
        <w:t>三、生态环境现状、保护目标及评价标准</w:t>
      </w:r>
    </w:p>
    <w:tbl>
      <w:tblPr>
        <w:tblStyle w:val="20"/>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2"/>
        <w:gridCol w:w="8458"/>
      </w:tblGrid>
      <w:tr w14:paraId="05D51B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24" w:hRule="atLeast"/>
          <w:jc w:val="center"/>
        </w:trPr>
        <w:tc>
          <w:tcPr>
            <w:tcW w:w="443" w:type="pct"/>
            <w:vAlign w:val="center"/>
          </w:tcPr>
          <w:p w14:paraId="2ED513DD">
            <w:pPr>
              <w:adjustRightInd w:val="0"/>
              <w:snapToGrid w:val="0"/>
              <w:jc w:val="center"/>
              <w:rPr>
                <w:color w:val="auto"/>
                <w:kern w:val="0"/>
                <w:szCs w:val="21"/>
                <w:highlight w:val="yellow"/>
              </w:rPr>
            </w:pPr>
            <w:r>
              <w:rPr>
                <w:color w:val="auto"/>
                <w:kern w:val="0"/>
                <w:sz w:val="24"/>
              </w:rPr>
              <w:t>生态环境现状</w:t>
            </w:r>
          </w:p>
        </w:tc>
        <w:tc>
          <w:tcPr>
            <w:tcW w:w="4556" w:type="pct"/>
            <w:vAlign w:val="center"/>
          </w:tcPr>
          <w:p w14:paraId="3F67BF6E">
            <w:pPr>
              <w:spacing w:line="360" w:lineRule="auto"/>
              <w:ind w:firstLine="498" w:firstLineChars="200"/>
              <w:rPr>
                <w:b/>
                <w:bCs/>
                <w:color w:val="auto"/>
                <w:spacing w:val="4"/>
                <w:sz w:val="24"/>
              </w:rPr>
            </w:pPr>
            <w:r>
              <w:rPr>
                <w:b/>
                <w:bCs/>
                <w:color w:val="auto"/>
                <w:spacing w:val="4"/>
                <w:sz w:val="24"/>
              </w:rPr>
              <w:t>一、生态环境现状</w:t>
            </w:r>
          </w:p>
          <w:p w14:paraId="14933A0C">
            <w:pPr>
              <w:spacing w:line="360" w:lineRule="auto"/>
              <w:ind w:firstLine="512" w:firstLineChars="200"/>
              <w:rPr>
                <w:rFonts w:hint="eastAsia"/>
                <w:color w:val="auto"/>
                <w:spacing w:val="8"/>
                <w:sz w:val="24"/>
                <w:lang w:val="en-US" w:eastAsia="zh-CN"/>
              </w:rPr>
            </w:pPr>
            <w:r>
              <w:rPr>
                <w:rFonts w:hint="eastAsia"/>
                <w:color w:val="auto"/>
                <w:spacing w:val="8"/>
                <w:sz w:val="24"/>
                <w:lang w:val="en-US" w:eastAsia="zh-CN"/>
              </w:rPr>
              <w:t>1、主体功能区划</w:t>
            </w:r>
          </w:p>
          <w:p w14:paraId="45413BB4">
            <w:pPr>
              <w:spacing w:line="360" w:lineRule="auto"/>
              <w:ind w:firstLine="485"/>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按照《山东省国土空间规划（2021—2035 年）》，淄博市有国家级农产品主产区1个，为高青县；国家级重点生态功能区2个，为博山区、沂源县；国家级城市化地区1个，为张店区；省级城市化地区4个，包括淄川区、临淄区、周村区、桓台县。</w:t>
            </w:r>
          </w:p>
          <w:p w14:paraId="0654C92E">
            <w:pPr>
              <w:spacing w:line="360" w:lineRule="auto"/>
              <w:ind w:firstLine="485"/>
              <w:rPr>
                <w:rFonts w:hint="eastAsia" w:ascii="Times New Roman" w:hAnsi="Times New Roman" w:eastAsia="宋体" w:cs="Times New Roman"/>
                <w:bCs/>
                <w:color w:val="auto"/>
                <w:sz w:val="24"/>
                <w:highlight w:val="yellow"/>
                <w:lang w:val="en-US" w:eastAsia="zh-CN"/>
              </w:rPr>
            </w:pPr>
            <w:r>
              <w:rPr>
                <w:rFonts w:hint="eastAsia" w:ascii="Times New Roman" w:hAnsi="Times New Roman" w:eastAsia="宋体" w:cs="Times New Roman"/>
                <w:bCs/>
                <w:color w:val="auto"/>
                <w:sz w:val="24"/>
                <w:highlight w:val="none"/>
                <w:lang w:val="en-US" w:eastAsia="zh-CN"/>
              </w:rPr>
              <w:t>根据《淄博市国土空间总体规划（2021-2035年）》，按照总体稳定、适度优化、统筹兼顾的原则，以乡镇（街道）为单元细化主体功能区，全市范围内确定农产品主产区11个镇（街道），重点生态功能区15个镇（街道），城市化地区29个镇（街道）。本工程</w:t>
            </w:r>
            <w:r>
              <w:rPr>
                <w:rFonts w:hint="eastAsia" w:cs="Times New Roman"/>
                <w:bCs/>
                <w:color w:val="auto"/>
                <w:sz w:val="24"/>
                <w:highlight w:val="none"/>
                <w:lang w:val="en-US" w:eastAsia="zh-CN"/>
              </w:rPr>
              <w:t>涉及</w:t>
            </w:r>
            <w:r>
              <w:rPr>
                <w:rFonts w:hint="eastAsia"/>
                <w:color w:val="auto"/>
                <w:kern w:val="0"/>
                <w:sz w:val="24"/>
              </w:rPr>
              <w:t>沣水镇、</w:t>
            </w:r>
            <w:r>
              <w:rPr>
                <w:color w:val="auto"/>
                <w:kern w:val="0"/>
                <w:sz w:val="24"/>
              </w:rPr>
              <w:t>南定镇、罗村镇</w:t>
            </w:r>
            <w:r>
              <w:rPr>
                <w:rFonts w:hint="eastAsia"/>
                <w:color w:val="auto"/>
                <w:kern w:val="0"/>
                <w:sz w:val="24"/>
              </w:rPr>
              <w:t>、</w:t>
            </w:r>
            <w:r>
              <w:rPr>
                <w:color w:val="auto"/>
                <w:kern w:val="0"/>
                <w:sz w:val="24"/>
              </w:rPr>
              <w:t>傅家镇</w:t>
            </w:r>
            <w:r>
              <w:rPr>
                <w:rFonts w:hint="eastAsia"/>
                <w:color w:val="auto"/>
                <w:kern w:val="0"/>
                <w:sz w:val="24"/>
              </w:rPr>
              <w:t>、</w:t>
            </w:r>
            <w:r>
              <w:rPr>
                <w:color w:val="auto"/>
                <w:kern w:val="0"/>
                <w:sz w:val="24"/>
              </w:rPr>
              <w:t>双杨镇</w:t>
            </w:r>
            <w:r>
              <w:rPr>
                <w:rFonts w:hint="eastAsia"/>
                <w:color w:val="auto"/>
                <w:kern w:val="0"/>
                <w:sz w:val="24"/>
              </w:rPr>
              <w:t>、</w:t>
            </w:r>
            <w:r>
              <w:rPr>
                <w:color w:val="auto"/>
                <w:kern w:val="0"/>
                <w:sz w:val="24"/>
              </w:rPr>
              <w:t>萌水镇</w:t>
            </w:r>
            <w:r>
              <w:rPr>
                <w:rFonts w:hint="eastAsia"/>
                <w:color w:val="auto"/>
                <w:kern w:val="0"/>
                <w:sz w:val="24"/>
              </w:rPr>
              <w:t>、</w:t>
            </w:r>
            <w:r>
              <w:rPr>
                <w:color w:val="auto"/>
                <w:kern w:val="0"/>
                <w:sz w:val="24"/>
              </w:rPr>
              <w:t>南郊镇</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其中沣水镇、南定镇、傅家镇属于国家级城市化地区；罗村镇、双杨镇、萌水镇、南郊镇属于省级城市化地区，详</w:t>
            </w:r>
            <w:r>
              <w:rPr>
                <w:rFonts w:hint="eastAsia" w:ascii="Times New Roman" w:hAnsi="Times New Roman" w:eastAsia="宋体" w:cs="Times New Roman"/>
                <w:bCs/>
                <w:color w:val="auto"/>
                <w:sz w:val="24"/>
                <w:highlight w:val="none"/>
                <w:lang w:val="en-US" w:eastAsia="zh-CN"/>
              </w:rPr>
              <w:t>见附图</w:t>
            </w:r>
            <w:r>
              <w:rPr>
                <w:rFonts w:hint="eastAsia" w:cs="Times New Roman"/>
                <w:bCs/>
                <w:color w:val="auto"/>
                <w:sz w:val="24"/>
                <w:highlight w:val="none"/>
                <w:lang w:val="en-US" w:eastAsia="zh-CN"/>
              </w:rPr>
              <w:t>5淄博市市域主体功能分区图</w:t>
            </w:r>
            <w:r>
              <w:rPr>
                <w:rFonts w:hint="eastAsia" w:ascii="Times New Roman" w:hAnsi="Times New Roman" w:eastAsia="宋体" w:cs="Times New Roman"/>
                <w:bCs/>
                <w:color w:val="auto"/>
                <w:sz w:val="24"/>
                <w:highlight w:val="none"/>
                <w:lang w:val="en-US" w:eastAsia="zh-CN"/>
              </w:rPr>
              <w:t>。</w:t>
            </w:r>
          </w:p>
          <w:p w14:paraId="0A27B701">
            <w:pPr>
              <w:spacing w:line="360" w:lineRule="auto"/>
              <w:ind w:firstLine="512" w:firstLineChars="200"/>
              <w:rPr>
                <w:color w:val="auto"/>
                <w:sz w:val="24"/>
              </w:rPr>
            </w:pPr>
            <w:r>
              <w:rPr>
                <w:rFonts w:hint="eastAsia"/>
                <w:color w:val="auto"/>
                <w:spacing w:val="8"/>
                <w:sz w:val="24"/>
                <w:lang w:val="en-US" w:eastAsia="zh-CN"/>
              </w:rPr>
              <w:t>2</w:t>
            </w:r>
            <w:r>
              <w:rPr>
                <w:color w:val="auto"/>
                <w:spacing w:val="8"/>
                <w:sz w:val="24"/>
              </w:rPr>
              <w:t>、</w:t>
            </w:r>
            <w:r>
              <w:rPr>
                <w:color w:val="auto"/>
                <w:spacing w:val="4"/>
                <w:sz w:val="24"/>
              </w:rPr>
              <w:t>生态功能区划</w:t>
            </w:r>
          </w:p>
          <w:p w14:paraId="185AA722">
            <w:pPr>
              <w:spacing w:line="360" w:lineRule="auto"/>
              <w:ind w:firstLine="485"/>
              <w:rPr>
                <w:rFonts w:ascii="宋体" w:hAnsi="宋体" w:eastAsia="宋体" w:cs="宋体"/>
                <w:color w:val="auto"/>
                <w:sz w:val="24"/>
                <w:szCs w:val="24"/>
              </w:rPr>
            </w:pPr>
            <w:r>
              <w:rPr>
                <w:rFonts w:hint="default" w:ascii="Times New Roman" w:hAnsi="Times New Roman" w:eastAsia="宋体" w:cs="Times New Roman"/>
                <w:bCs/>
                <w:color w:val="auto"/>
                <w:sz w:val="24"/>
                <w:lang w:val="en-US" w:eastAsia="zh-CN"/>
              </w:rPr>
              <w:t>对照《山东</w:t>
            </w:r>
            <w:r>
              <w:rPr>
                <w:rFonts w:hint="eastAsia" w:cs="Times New Roman"/>
                <w:bCs/>
                <w:color w:val="auto"/>
                <w:sz w:val="24"/>
                <w:lang w:val="en-US" w:eastAsia="zh-CN"/>
              </w:rPr>
              <w:t>省</w:t>
            </w:r>
            <w:r>
              <w:rPr>
                <w:rFonts w:hint="default" w:ascii="Times New Roman" w:hAnsi="Times New Roman" w:eastAsia="宋体" w:cs="Times New Roman"/>
                <w:bCs/>
                <w:color w:val="auto"/>
                <w:sz w:val="24"/>
                <w:lang w:val="en-US" w:eastAsia="zh-CN"/>
              </w:rPr>
              <w:t>生态功能区划》</w:t>
            </w:r>
            <w:r>
              <w:rPr>
                <w:rFonts w:hint="eastAsia" w:ascii="Times New Roman" w:hAnsi="Times New Roman" w:eastAsia="宋体" w:cs="Times New Roman"/>
                <w:bCs/>
                <w:color w:val="auto"/>
                <w:sz w:val="24"/>
                <w:lang w:val="en-US" w:eastAsia="zh-CN"/>
              </w:rPr>
              <w:t>（详见附图</w:t>
            </w:r>
            <w:r>
              <w:rPr>
                <w:rFonts w:hint="eastAsia" w:cs="Times New Roman"/>
                <w:bCs/>
                <w:color w:val="auto"/>
                <w:sz w:val="24"/>
                <w:lang w:val="en-US" w:eastAsia="zh-CN"/>
              </w:rPr>
              <w:t>6</w:t>
            </w:r>
            <w:r>
              <w:rPr>
                <w:rFonts w:hint="eastAsia" w:ascii="Times New Roman" w:hAnsi="Times New Roman" w:eastAsia="宋体" w:cs="Times New Roman"/>
                <w:bCs/>
                <w:color w:val="auto"/>
                <w:sz w:val="24"/>
                <w:lang w:val="en-US" w:eastAsia="zh-CN"/>
              </w:rPr>
              <w:t>）</w:t>
            </w:r>
            <w:r>
              <w:rPr>
                <w:rFonts w:hint="default" w:ascii="Times New Roman" w:hAnsi="Times New Roman" w:eastAsia="宋体" w:cs="Times New Roman"/>
                <w:bCs/>
                <w:color w:val="auto"/>
                <w:sz w:val="24"/>
                <w:lang w:val="en-US" w:eastAsia="zh-CN"/>
              </w:rPr>
              <w:t>，本项目所在区域为</w:t>
            </w:r>
            <w:r>
              <w:rPr>
                <w:rFonts w:hint="eastAsia" w:ascii="Times New Roman" w:hAnsi="Times New Roman" w:eastAsia="宋体" w:cs="Times New Roman"/>
                <w:bCs/>
                <w:color w:val="auto"/>
                <w:sz w:val="24"/>
                <w:lang w:val="en-US" w:eastAsia="zh-CN"/>
              </w:rPr>
              <w:t>鲁中南山地丘陵生态区</w:t>
            </w:r>
            <w:r>
              <w:rPr>
                <w:rFonts w:hint="default" w:ascii="Times New Roman" w:hAnsi="Times New Roman" w:eastAsia="宋体" w:cs="Times New Roman"/>
                <w:bCs/>
                <w:color w:val="auto"/>
                <w:sz w:val="24"/>
                <w:lang w:val="en-US" w:eastAsia="zh-CN"/>
              </w:rPr>
              <w:t>。</w:t>
            </w:r>
            <w:r>
              <w:rPr>
                <w:rFonts w:ascii="宋体" w:hAnsi="宋体" w:eastAsia="宋体" w:cs="宋体"/>
                <w:color w:val="auto"/>
                <w:sz w:val="24"/>
                <w:szCs w:val="24"/>
              </w:rPr>
              <w:t>鲁中南山地丘陵区以土地整理和土地复垦为重点，实施小流域综合治理、工矿废弃地复垦，改善农田耕作条件和农业生态环境。</w:t>
            </w:r>
          </w:p>
          <w:p w14:paraId="30A46540">
            <w:pPr>
              <w:spacing w:line="360" w:lineRule="auto"/>
              <w:ind w:firstLine="485"/>
              <w:rPr>
                <w:color w:val="auto"/>
                <w:sz w:val="24"/>
                <w:highlight w:val="none"/>
              </w:rPr>
            </w:pPr>
            <w:r>
              <w:rPr>
                <w:rFonts w:hint="default" w:ascii="Times New Roman" w:hAnsi="Times New Roman" w:eastAsia="宋体" w:cs="Times New Roman"/>
                <w:bCs/>
                <w:color w:val="auto"/>
                <w:sz w:val="24"/>
                <w:highlight w:val="none"/>
                <w:lang w:val="en-US" w:eastAsia="zh-CN"/>
              </w:rPr>
              <w:t>根据</w:t>
            </w:r>
            <w:r>
              <w:rPr>
                <w:rFonts w:hint="eastAsia"/>
                <w:color w:val="auto"/>
                <w:kern w:val="0"/>
                <w:sz w:val="24"/>
                <w:highlight w:val="none"/>
                <w:lang w:val="en-US" w:eastAsia="zh-CN" w:bidi="ar"/>
              </w:rPr>
              <w:t>《淄博市国土空间规划（2021-2035）-市域国土空间控制线规划图》（附图3）</w:t>
            </w:r>
            <w:r>
              <w:rPr>
                <w:bCs/>
                <w:color w:val="auto"/>
                <w:sz w:val="24"/>
                <w:highlight w:val="none"/>
              </w:rPr>
              <w:t>，</w:t>
            </w:r>
            <w:r>
              <w:rPr>
                <w:color w:val="auto"/>
                <w:spacing w:val="8"/>
                <w:sz w:val="24"/>
                <w:highlight w:val="none"/>
              </w:rPr>
              <w:t>本项目不在生态红线区内。</w:t>
            </w:r>
          </w:p>
          <w:p w14:paraId="2DCD1175">
            <w:pPr>
              <w:spacing w:line="360" w:lineRule="auto"/>
              <w:ind w:firstLine="512" w:firstLineChars="200"/>
              <w:rPr>
                <w:color w:val="auto"/>
                <w:sz w:val="24"/>
              </w:rPr>
            </w:pPr>
            <w:r>
              <w:rPr>
                <w:color w:val="auto"/>
                <w:spacing w:val="8"/>
                <w:sz w:val="24"/>
              </w:rPr>
              <w:t>2、</w:t>
            </w:r>
            <w:r>
              <w:rPr>
                <w:color w:val="auto"/>
                <w:spacing w:val="4"/>
                <w:sz w:val="24"/>
              </w:rPr>
              <w:t>生态环境现状</w:t>
            </w:r>
          </w:p>
          <w:p w14:paraId="2F237ABD">
            <w:pPr>
              <w:spacing w:line="360" w:lineRule="auto"/>
              <w:ind w:firstLine="564" w:firstLineChars="200"/>
              <w:rPr>
                <w:color w:val="auto"/>
                <w:sz w:val="24"/>
              </w:rPr>
            </w:pPr>
            <w:r>
              <w:rPr>
                <w:color w:val="auto"/>
                <w:spacing w:val="21"/>
                <w:sz w:val="24"/>
              </w:rPr>
              <w:t>（1）</w:t>
            </w:r>
            <w:r>
              <w:rPr>
                <w:color w:val="auto"/>
                <w:spacing w:val="16"/>
                <w:sz w:val="24"/>
              </w:rPr>
              <w:t>土地利用类型</w:t>
            </w:r>
          </w:p>
          <w:p w14:paraId="7F287834">
            <w:pPr>
              <w:pStyle w:val="32"/>
              <w:rPr>
                <w:rFonts w:ascii="Times New Roman" w:hAnsi="Times New Roman" w:eastAsia="宋体" w:cs="Times New Roman"/>
                <w:bCs/>
                <w:color w:val="auto"/>
                <w:kern w:val="2"/>
                <w:sz w:val="24"/>
                <w:szCs w:val="24"/>
                <w:highlight w:val="none"/>
                <w:lang w:val="en-US" w:eastAsia="zh-CN" w:bidi="ar-SA"/>
              </w:rPr>
            </w:pPr>
            <w:r>
              <w:rPr>
                <w:rFonts w:ascii="Times New Roman" w:hAnsi="Times New Roman" w:eastAsia="宋体" w:cs="Times New Roman"/>
                <w:bCs/>
                <w:color w:val="auto"/>
                <w:kern w:val="2"/>
                <w:sz w:val="24"/>
                <w:szCs w:val="24"/>
                <w:highlight w:val="none"/>
                <w:lang w:val="en-US" w:eastAsia="zh-CN" w:bidi="ar-SA"/>
              </w:rPr>
              <w:t>根据工作需要，通过地图和地面定位判译，在评价范围内确定了多种主要的土地利用类型，项目用地周围土地利用以</w:t>
            </w:r>
            <w:r>
              <w:rPr>
                <w:rFonts w:hint="eastAsia" w:cs="Times New Roman"/>
                <w:bCs/>
                <w:color w:val="auto"/>
                <w:kern w:val="2"/>
                <w:sz w:val="24"/>
                <w:szCs w:val="24"/>
                <w:highlight w:val="none"/>
                <w:lang w:val="en-US" w:eastAsia="zh-CN" w:bidi="ar-SA"/>
              </w:rPr>
              <w:t>建设用地</w:t>
            </w:r>
            <w:r>
              <w:rPr>
                <w:rFonts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耕地</w:t>
            </w:r>
            <w:r>
              <w:rPr>
                <w:rFonts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林地、</w:t>
            </w:r>
            <w:r>
              <w:rPr>
                <w:rFonts w:ascii="Times New Roman" w:hAnsi="Times New Roman" w:eastAsia="宋体" w:cs="Times New Roman"/>
                <w:bCs/>
                <w:color w:val="auto"/>
                <w:kern w:val="2"/>
                <w:sz w:val="24"/>
                <w:szCs w:val="24"/>
                <w:highlight w:val="none"/>
                <w:lang w:val="en-US" w:eastAsia="zh-CN" w:bidi="ar-SA"/>
              </w:rPr>
              <w:t>水域</w:t>
            </w:r>
            <w:r>
              <w:rPr>
                <w:rFonts w:hint="eastAsia" w:cs="Times New Roman"/>
                <w:bCs/>
                <w:color w:val="auto"/>
                <w:kern w:val="2"/>
                <w:sz w:val="24"/>
                <w:szCs w:val="24"/>
                <w:highlight w:val="none"/>
                <w:lang w:val="en-US" w:eastAsia="zh-CN" w:bidi="ar-SA"/>
              </w:rPr>
              <w:t>、</w:t>
            </w:r>
            <w:r>
              <w:rPr>
                <w:rFonts w:ascii="Times New Roman" w:hAnsi="Times New Roman" w:eastAsia="宋体" w:cs="Times New Roman"/>
                <w:bCs/>
                <w:color w:val="auto"/>
                <w:kern w:val="2"/>
                <w:sz w:val="24"/>
                <w:szCs w:val="24"/>
                <w:highlight w:val="none"/>
                <w:lang w:val="en-US" w:eastAsia="zh-CN" w:bidi="ar-SA"/>
              </w:rPr>
              <w:t>道路用地</w:t>
            </w:r>
            <w:r>
              <w:rPr>
                <w:rFonts w:hint="eastAsia" w:cs="Times New Roman"/>
                <w:bCs/>
                <w:color w:val="auto"/>
                <w:kern w:val="2"/>
                <w:sz w:val="24"/>
                <w:szCs w:val="24"/>
                <w:highlight w:val="none"/>
                <w:lang w:val="en-US" w:eastAsia="zh-CN" w:bidi="ar-SA"/>
              </w:rPr>
              <w:t>为主，项目评价范围内土地利用现状图见附图11</w:t>
            </w:r>
            <w:r>
              <w:rPr>
                <w:rFonts w:ascii="Times New Roman" w:hAnsi="Times New Roman" w:eastAsia="宋体" w:cs="Times New Roman"/>
                <w:bCs/>
                <w:color w:val="auto"/>
                <w:kern w:val="2"/>
                <w:sz w:val="24"/>
                <w:szCs w:val="24"/>
                <w:highlight w:val="none"/>
                <w:lang w:val="en-US" w:eastAsia="zh-CN" w:bidi="ar-SA"/>
              </w:rPr>
              <w:t>。</w:t>
            </w:r>
          </w:p>
          <w:p w14:paraId="0A8E55D5">
            <w:pPr>
              <w:pStyle w:val="19"/>
              <w:spacing w:after="0"/>
              <w:ind w:left="0" w:leftChars="0" w:firstLine="0" w:firstLineChars="0"/>
              <w:jc w:val="center"/>
              <w:rPr>
                <w:rFonts w:hint="eastAsia" w:eastAsia="宋体"/>
                <w:b/>
                <w:color w:val="auto"/>
                <w:szCs w:val="21"/>
                <w:lang w:eastAsia="zh-CN"/>
              </w:rPr>
            </w:pPr>
            <w:r>
              <w:rPr>
                <w:b/>
                <w:color w:val="auto"/>
                <w:sz w:val="21"/>
                <w:szCs w:val="21"/>
              </w:rPr>
              <w:t>表3-</w:t>
            </w:r>
            <w:r>
              <w:rPr>
                <w:rFonts w:hint="eastAsia"/>
                <w:b/>
                <w:color w:val="auto"/>
                <w:sz w:val="21"/>
                <w:szCs w:val="21"/>
                <w:lang w:val="en-US" w:eastAsia="zh-CN"/>
              </w:rPr>
              <w:t>1</w:t>
            </w:r>
            <w:r>
              <w:rPr>
                <w:rFonts w:hint="eastAsia"/>
                <w:b/>
                <w:color w:val="auto"/>
                <w:sz w:val="21"/>
                <w:szCs w:val="21"/>
                <w:lang w:eastAsia="zh-CN"/>
              </w:rPr>
              <w:t>土地利用类型</w:t>
            </w:r>
          </w:p>
          <w:tbl>
            <w:tblPr>
              <w:tblStyle w:val="21"/>
              <w:tblW w:w="8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7"/>
              <w:gridCol w:w="2747"/>
              <w:gridCol w:w="2748"/>
            </w:tblGrid>
            <w:tr w14:paraId="4CB84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45452B8">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土地类型</w:t>
                  </w:r>
                </w:p>
              </w:tc>
              <w:tc>
                <w:tcPr>
                  <w:tcW w:w="2747" w:type="dxa"/>
                </w:tcPr>
                <w:p w14:paraId="33DA9115">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占地面积（hm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w:t>
                  </w:r>
                </w:p>
              </w:tc>
              <w:tc>
                <w:tcPr>
                  <w:tcW w:w="2748" w:type="dxa"/>
                </w:tcPr>
                <w:p w14:paraId="5CEBB78E">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占比</w:t>
                  </w:r>
                </w:p>
              </w:tc>
            </w:tr>
            <w:tr w14:paraId="659A6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60DA5DBD">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建设用地</w:t>
                  </w:r>
                </w:p>
              </w:tc>
              <w:tc>
                <w:tcPr>
                  <w:tcW w:w="2747" w:type="dxa"/>
                </w:tcPr>
                <w:p w14:paraId="61335948">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1659.555</w:t>
                  </w:r>
                </w:p>
              </w:tc>
              <w:tc>
                <w:tcPr>
                  <w:tcW w:w="2748" w:type="dxa"/>
                </w:tcPr>
                <w:p w14:paraId="3150F906">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64</w:t>
                  </w:r>
                  <w:r>
                    <w:rPr>
                      <w:rFonts w:hint="default" w:ascii="Times New Roman" w:hAnsi="Times New Roman" w:eastAsia="宋体" w:cs="Times New Roman"/>
                      <w:color w:val="auto"/>
                      <w:sz w:val="21"/>
                      <w:szCs w:val="21"/>
                      <w:lang w:val="en-US" w:eastAsia="zh-CN"/>
                    </w:rPr>
                    <w:t>.7%</w:t>
                  </w:r>
                </w:p>
              </w:tc>
            </w:tr>
            <w:tr w14:paraId="2FEE0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3DEC523">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耕地</w:t>
                  </w:r>
                </w:p>
              </w:tc>
              <w:tc>
                <w:tcPr>
                  <w:tcW w:w="2747" w:type="dxa"/>
                </w:tcPr>
                <w:p w14:paraId="228E3F4C">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302.67</w:t>
                  </w:r>
                </w:p>
              </w:tc>
              <w:tc>
                <w:tcPr>
                  <w:tcW w:w="2748" w:type="dxa"/>
                </w:tcPr>
                <w:p w14:paraId="0242D989">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1.8%</w:t>
                  </w:r>
                </w:p>
              </w:tc>
            </w:tr>
            <w:tr w14:paraId="0A02F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F945916">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林地</w:t>
                  </w:r>
                </w:p>
              </w:tc>
              <w:tc>
                <w:tcPr>
                  <w:tcW w:w="2747" w:type="dxa"/>
                </w:tcPr>
                <w:p w14:paraId="4DC471F0">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538.65</w:t>
                  </w:r>
                </w:p>
              </w:tc>
              <w:tc>
                <w:tcPr>
                  <w:tcW w:w="2748" w:type="dxa"/>
                </w:tcPr>
                <w:p w14:paraId="516D4BB6">
                  <w:pPr>
                    <w:pStyle w:val="48"/>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21.0%</w:t>
                  </w:r>
                </w:p>
              </w:tc>
            </w:tr>
            <w:tr w14:paraId="15C2C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47" w:type="dxa"/>
                </w:tcPr>
                <w:p w14:paraId="69A92B3E">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水域</w:t>
                  </w:r>
                </w:p>
              </w:tc>
              <w:tc>
                <w:tcPr>
                  <w:tcW w:w="2747" w:type="dxa"/>
                </w:tcPr>
                <w:p w14:paraId="11D3BA48">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56.43</w:t>
                  </w:r>
                </w:p>
              </w:tc>
              <w:tc>
                <w:tcPr>
                  <w:tcW w:w="2748" w:type="dxa"/>
                </w:tcPr>
                <w:p w14:paraId="50547665">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r>
            <w:tr w14:paraId="5F8FD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49DDB66">
                  <w:pPr>
                    <w:pStyle w:val="48"/>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道路用地</w:t>
                  </w:r>
                </w:p>
              </w:tc>
              <w:tc>
                <w:tcPr>
                  <w:tcW w:w="2747" w:type="dxa"/>
                </w:tcPr>
                <w:p w14:paraId="148A34F8">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7.695</w:t>
                  </w:r>
                </w:p>
              </w:tc>
              <w:tc>
                <w:tcPr>
                  <w:tcW w:w="2748" w:type="dxa"/>
                </w:tcPr>
                <w:p w14:paraId="7B7D8326">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r>
            <w:tr w14:paraId="470BA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49B217E">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总计</w:t>
                  </w:r>
                </w:p>
              </w:tc>
              <w:tc>
                <w:tcPr>
                  <w:tcW w:w="2747" w:type="dxa"/>
                </w:tcPr>
                <w:p w14:paraId="7CD35DF8">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2565</w:t>
                  </w:r>
                </w:p>
              </w:tc>
              <w:tc>
                <w:tcPr>
                  <w:tcW w:w="2748" w:type="dxa"/>
                </w:tcPr>
                <w:p w14:paraId="26C1F75B">
                  <w:pPr>
                    <w:pStyle w:val="48"/>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bl>
          <w:p w14:paraId="4E985109">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（2）植物与动物资源类型</w:t>
            </w:r>
          </w:p>
          <w:p w14:paraId="4469A0B5">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经调查，评价范围区域内多为次生植被和人工植被，主要的植物群落类型有：</w:t>
            </w:r>
          </w:p>
          <w:p w14:paraId="234722D0">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①农作物群落：评价范围内分布有农田，种植农作物，主要群落为小麦和玉米。</w:t>
            </w:r>
          </w:p>
          <w:p w14:paraId="7B0F3DFB">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②农田杂草群落：生长于宅旁、地头、沟边、路旁等地段，植被分布零散，草本植物种类较复杂，以一年生禾草为主，如黄背草、狗尾草群落，伴生有葎草等，多为伴生植物，受人为干扰较大。</w:t>
            </w:r>
          </w:p>
          <w:p w14:paraId="12C9BDC6">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③森林群落：河流沟渠和道路两侧的林带、农田林网、村头宅旁的小片林地等，主要有杨、刺槐、臭椿、泡桐等，以毛白杨为主。</w:t>
            </w:r>
          </w:p>
          <w:p w14:paraId="60820482">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④湿地群落：分布于河道两侧，多以湿生草本植物为主。天然植被有芦苇、苔草、灯心草、香蒲、白茅、节节草等。</w:t>
            </w:r>
          </w:p>
          <w:p w14:paraId="76F3D62D">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评价区所在区域曾有野鹿、獐子、狐狸、獾、山猫等兽类动物分布，现已绝迹，现仅存野兔、刺猬等，境内常见的鸟类则主要有麻雀、喜鹊、燕子等。</w:t>
            </w:r>
          </w:p>
          <w:p w14:paraId="036C6C38">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（3）水生生态环境</w:t>
            </w:r>
          </w:p>
          <w:p w14:paraId="3D0956E2">
            <w:pPr>
              <w:widowControl/>
              <w:spacing w:line="360" w:lineRule="auto"/>
              <w:ind w:firstLine="480" w:firstLineChars="200"/>
              <w:jc w:val="left"/>
              <w:rPr>
                <w:rFonts w:hint="eastAsia"/>
                <w:color w:val="auto"/>
                <w:kern w:val="0"/>
                <w:sz w:val="24"/>
                <w:lang w:bidi="ar"/>
              </w:rPr>
            </w:pPr>
            <w:r>
              <w:rPr>
                <w:rFonts w:hint="eastAsia"/>
                <w:color w:val="auto"/>
                <w:kern w:val="0"/>
                <w:sz w:val="24"/>
                <w:lang w:bidi="ar"/>
              </w:rPr>
              <w:t>乡镇内虽河湖众多但引水困难，一年中大部分时段生态基流不足，水体流动性弱，应有的引排、水质维护等功能大幅削弱；部分水生动物、植物无法生存，水体自净能力差，生态系统不完善。经现场勘察和查询资料，区域涉及水生生物如下：</w:t>
            </w:r>
          </w:p>
          <w:p w14:paraId="440C7EC1">
            <w:pPr>
              <w:widowControl/>
              <w:spacing w:line="360" w:lineRule="auto"/>
              <w:ind w:firstLine="480" w:firstLineChars="200"/>
              <w:jc w:val="left"/>
              <w:rPr>
                <w:color w:val="auto"/>
                <w:kern w:val="0"/>
                <w:sz w:val="24"/>
                <w:lang w:bidi="ar"/>
              </w:rPr>
            </w:pPr>
            <w:r>
              <w:rPr>
                <w:color w:val="auto"/>
                <w:kern w:val="0"/>
                <w:sz w:val="24"/>
                <w:lang w:bidi="ar"/>
              </w:rPr>
              <w:t>①水生植物</w:t>
            </w:r>
          </w:p>
          <w:p w14:paraId="2E67813D">
            <w:pPr>
              <w:widowControl/>
              <w:spacing w:line="360" w:lineRule="auto"/>
              <w:ind w:firstLine="480" w:firstLineChars="200"/>
              <w:jc w:val="left"/>
              <w:rPr>
                <w:color w:val="auto"/>
                <w:kern w:val="0"/>
                <w:sz w:val="24"/>
                <w:lang w:bidi="ar"/>
              </w:rPr>
            </w:pPr>
            <w:r>
              <w:rPr>
                <w:color w:val="auto"/>
                <w:kern w:val="0"/>
                <w:sz w:val="24"/>
                <w:lang w:bidi="ar"/>
              </w:rPr>
              <w:t>水域功能主要为行洪、农田灌溉，水深较浅，河道中水生植物较少，浮游藻类和浮游动物数量较少，边岸植被多为草本植物和低矮灌木，水生植物主要是芦苇、野葵花、蒲草等。</w:t>
            </w:r>
          </w:p>
          <w:p w14:paraId="53D5D3CE">
            <w:pPr>
              <w:widowControl/>
              <w:spacing w:line="360" w:lineRule="auto"/>
              <w:ind w:firstLine="480" w:firstLineChars="200"/>
              <w:jc w:val="left"/>
              <w:rPr>
                <w:color w:val="auto"/>
                <w:kern w:val="0"/>
                <w:sz w:val="24"/>
                <w:lang w:bidi="ar"/>
              </w:rPr>
            </w:pPr>
            <w:r>
              <w:rPr>
                <w:color w:val="auto"/>
                <w:kern w:val="0"/>
                <w:sz w:val="24"/>
                <w:lang w:bidi="ar"/>
              </w:rPr>
              <w:t>②水生动物</w:t>
            </w:r>
          </w:p>
          <w:p w14:paraId="4D2B6D16">
            <w:pPr>
              <w:widowControl/>
              <w:spacing w:line="360" w:lineRule="auto"/>
              <w:ind w:firstLine="480" w:firstLineChars="200"/>
              <w:jc w:val="left"/>
              <w:rPr>
                <w:color w:val="auto"/>
                <w:kern w:val="0"/>
                <w:sz w:val="24"/>
                <w:lang w:bidi="ar"/>
              </w:rPr>
            </w:pPr>
            <w:r>
              <w:rPr>
                <w:color w:val="auto"/>
                <w:kern w:val="0"/>
                <w:sz w:val="24"/>
                <w:lang w:bidi="ar"/>
              </w:rPr>
              <w:t>经查阅资料、走访周边村民和咨询相关专家，该</w:t>
            </w:r>
            <w:r>
              <w:rPr>
                <w:rFonts w:hint="eastAsia"/>
                <w:color w:val="auto"/>
                <w:kern w:val="0"/>
                <w:sz w:val="24"/>
                <w:lang w:eastAsia="zh-CN" w:bidi="ar"/>
              </w:rPr>
              <w:t>评价范围内</w:t>
            </w:r>
            <w:r>
              <w:rPr>
                <w:color w:val="auto"/>
                <w:kern w:val="0"/>
                <w:sz w:val="24"/>
                <w:lang w:bidi="ar"/>
              </w:rPr>
              <w:t>主要经济鱼类有鲤、鲫、泥鳅、黄膳等。近年来，项目区内鱼类总数较少，且无珍稀濒危及国家重点保护鱼类。</w:t>
            </w:r>
          </w:p>
          <w:p w14:paraId="1604CA60">
            <w:pPr>
              <w:widowControl/>
              <w:spacing w:line="360" w:lineRule="auto"/>
              <w:ind w:firstLine="480" w:firstLineChars="200"/>
              <w:jc w:val="left"/>
              <w:rPr>
                <w:b/>
                <w:bCs/>
                <w:color w:val="auto"/>
                <w:kern w:val="0"/>
                <w:sz w:val="24"/>
                <w:lang w:bidi="ar"/>
              </w:rPr>
            </w:pPr>
            <w:r>
              <w:rPr>
                <w:color w:val="auto"/>
                <w:kern w:val="0"/>
                <w:sz w:val="24"/>
                <w:lang w:bidi="ar"/>
              </w:rPr>
              <w:t>通过访问咨询相关部门、实地考察，本项目评价范围内不涉及鱼类产卵场。</w:t>
            </w:r>
          </w:p>
          <w:p w14:paraId="64362449">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（4）生态系统现状</w:t>
            </w:r>
          </w:p>
          <w:p w14:paraId="0C1AF00C">
            <w:pPr>
              <w:spacing w:line="360" w:lineRule="auto"/>
              <w:ind w:firstLine="480" w:firstLineChars="200"/>
              <w:rPr>
                <w:rFonts w:ascii="Times New Roman" w:hAnsi="Times New Roman" w:eastAsia="宋体" w:cs="Times New Roman"/>
                <w:bCs/>
                <w:color w:val="auto"/>
                <w:kern w:val="2"/>
                <w:sz w:val="24"/>
                <w:szCs w:val="24"/>
                <w:lang w:val="en-US" w:eastAsia="zh-CN" w:bidi="ar-SA"/>
              </w:rPr>
            </w:pPr>
            <w:r>
              <w:rPr>
                <w:rFonts w:ascii="Times New Roman" w:hAnsi="Times New Roman" w:eastAsia="宋体" w:cs="Times New Roman"/>
                <w:bCs/>
                <w:color w:val="auto"/>
                <w:kern w:val="2"/>
                <w:sz w:val="24"/>
                <w:szCs w:val="24"/>
                <w:lang w:val="en-US" w:eastAsia="zh-CN" w:bidi="ar-SA"/>
              </w:rPr>
              <w:t>评价范围内共有4种主要的生态系统类</w:t>
            </w:r>
            <w:r>
              <w:rPr>
                <w:rFonts w:ascii="Times New Roman" w:hAnsi="Times New Roman" w:eastAsia="宋体" w:cs="Times New Roman"/>
                <w:bCs/>
                <w:color w:val="auto"/>
                <w:kern w:val="2"/>
                <w:sz w:val="24"/>
                <w:szCs w:val="24"/>
                <w:highlight w:val="none"/>
                <w:lang w:val="en-US" w:eastAsia="zh-CN" w:bidi="ar-SA"/>
              </w:rPr>
              <w:t>型，主要包含农田生态系统、人工林生态系统、建设用地生态系统和水域生态系统，水</w:t>
            </w:r>
            <w:r>
              <w:rPr>
                <w:rFonts w:ascii="Times New Roman" w:hAnsi="Times New Roman" w:eastAsia="宋体" w:cs="Times New Roman"/>
                <w:bCs/>
                <w:color w:val="auto"/>
                <w:kern w:val="2"/>
                <w:sz w:val="24"/>
                <w:szCs w:val="24"/>
                <w:lang w:val="en-US" w:eastAsia="zh-CN" w:bidi="ar-SA"/>
              </w:rPr>
              <w:t>域生态系统是评价范围内最主要的生态系统，包括河流、灌渠、水塘、坑洼水面等，对于改善生态环境具有非常重要的作用，该类生态系统的生产者主要为河水中的浮游植物、水生维管束植物、浮叶植物和挺水植物，消费者主要为浮游动物、底栖动物和鱼类；农田生态系统的生产力水平相对最高，生产者主要为种植的作物和蔬菜，如小麦、玉米等，消费者主要为农田中的土壤动物和各种鸟类。农田生态系统的生物量是评价区内居民的粮食来源，也是当地农民收入的重要保障，其生产力高低直接影响农民的生活水平；人工林生态系统主要分布在道路沟渠两侧，其生产者主要为栽培的各种乔木，消费者主要为一些鸟类和土壤动物；人工林生态系统的生产力较高，对于改善局地气候、保持水土、绿化美化环境等具有重要的意义，同时也为当地居民带来一定的经济效益；建设用地生态系统主要包括评价范围内的居住和企业等人工建筑和交通用地，该类生态系统中作为生产者的绿色植被覆盖率较低，消费者主要是村镇居民和职工。村庄和工业用地生态系统以居住和经济生产为主体，各级公路是其主要的联系通道，该生态系统的典型特征是相对独立分布、居住人群密集、工业经济活动发达、整体生产力水平较高。</w:t>
            </w:r>
          </w:p>
          <w:p w14:paraId="0077A294">
            <w:pPr>
              <w:spacing w:line="360" w:lineRule="auto"/>
              <w:ind w:firstLine="482" w:firstLineChars="200"/>
              <w:rPr>
                <w:b/>
                <w:color w:val="auto"/>
                <w:sz w:val="24"/>
              </w:rPr>
            </w:pPr>
            <w:r>
              <w:rPr>
                <w:b/>
                <w:color w:val="auto"/>
                <w:sz w:val="24"/>
              </w:rPr>
              <w:t>三、区域环境质量现状</w:t>
            </w:r>
          </w:p>
          <w:p w14:paraId="08A4AD4F">
            <w:pPr>
              <w:spacing w:line="360" w:lineRule="auto"/>
              <w:ind w:firstLine="482" w:firstLineChars="200"/>
              <w:rPr>
                <w:b/>
                <w:color w:val="auto"/>
                <w:sz w:val="24"/>
              </w:rPr>
            </w:pPr>
            <w:r>
              <w:rPr>
                <w:b/>
                <w:color w:val="auto"/>
                <w:sz w:val="24"/>
              </w:rPr>
              <w:t>（一）大气环境现状</w:t>
            </w:r>
          </w:p>
          <w:p w14:paraId="6BB7D36F">
            <w:pPr>
              <w:keepNext w:val="0"/>
              <w:keepLines w:val="0"/>
              <w:widowControl/>
              <w:suppressLineNumbers w:val="0"/>
              <w:spacing w:line="360" w:lineRule="auto"/>
              <w:ind w:firstLine="480" w:firstLineChars="200"/>
              <w:jc w:val="both"/>
              <w:rPr>
                <w:rFonts w:hint="eastAsia" w:ascii="Times New Roman" w:hAnsi="Times New Roman" w:eastAsia="宋体" w:cs="Times New Roman"/>
                <w:color w:val="auto"/>
                <w:sz w:val="24"/>
                <w:highlight w:val="none"/>
                <w:lang w:val="en-US" w:eastAsia="zh-CN"/>
              </w:rPr>
            </w:pPr>
            <w:r>
              <w:rPr>
                <w:color w:val="auto"/>
                <w:sz w:val="24"/>
                <w:highlight w:val="none"/>
              </w:rPr>
              <w:t>根据淄博市生态环境局</w:t>
            </w:r>
            <w:r>
              <w:rPr>
                <w:rFonts w:hint="eastAsia"/>
                <w:color w:val="auto"/>
                <w:sz w:val="24"/>
                <w:highlight w:val="none"/>
                <w:lang w:val="en-US" w:eastAsia="zh-CN"/>
              </w:rPr>
              <w:t>2026</w:t>
            </w:r>
            <w:r>
              <w:rPr>
                <w:color w:val="auto"/>
                <w:sz w:val="24"/>
                <w:highlight w:val="none"/>
              </w:rPr>
              <w:t>年</w:t>
            </w:r>
            <w:r>
              <w:rPr>
                <w:rFonts w:hint="eastAsia"/>
                <w:color w:val="auto"/>
                <w:sz w:val="24"/>
                <w:highlight w:val="none"/>
              </w:rPr>
              <w:t>1</w:t>
            </w:r>
            <w:r>
              <w:rPr>
                <w:color w:val="auto"/>
                <w:sz w:val="24"/>
                <w:highlight w:val="none"/>
              </w:rPr>
              <w:t>月</w:t>
            </w:r>
            <w:r>
              <w:rPr>
                <w:rFonts w:hint="eastAsia"/>
                <w:color w:val="auto"/>
                <w:sz w:val="24"/>
                <w:highlight w:val="none"/>
                <w:lang w:val="en-US" w:eastAsia="zh-CN"/>
              </w:rPr>
              <w:t>29</w:t>
            </w:r>
            <w:r>
              <w:rPr>
                <w:color w:val="auto"/>
                <w:sz w:val="24"/>
                <w:highlight w:val="none"/>
              </w:rPr>
              <w:t>日公布的《</w:t>
            </w:r>
            <w:r>
              <w:rPr>
                <w:rFonts w:hint="eastAsia"/>
                <w:color w:val="auto"/>
                <w:sz w:val="24"/>
                <w:highlight w:val="none"/>
                <w:lang w:val="en-US" w:eastAsia="zh-CN"/>
              </w:rPr>
              <w:t>2025</w:t>
            </w:r>
            <w:r>
              <w:rPr>
                <w:color w:val="auto"/>
                <w:sz w:val="24"/>
                <w:highlight w:val="none"/>
              </w:rPr>
              <w:t>年12月份环境空气质量情况》</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2025</w:t>
            </w:r>
            <w:r>
              <w:rPr>
                <w:rFonts w:hint="eastAsia" w:ascii="Times New Roman" w:hAnsi="Times New Roman" w:eastAsia="宋体" w:cs="Times New Roman"/>
                <w:color w:val="auto"/>
                <w:sz w:val="24"/>
                <w:highlight w:val="none"/>
                <w:lang w:val="en-US" w:eastAsia="zh-CN"/>
              </w:rPr>
              <w:t>年</w:t>
            </w:r>
            <w:r>
              <w:rPr>
                <w:rFonts w:hint="default" w:ascii="Times New Roman" w:hAnsi="Times New Roman" w:eastAsia="宋体" w:cs="Times New Roman"/>
                <w:color w:val="auto"/>
                <w:sz w:val="24"/>
                <w:highlight w:val="none"/>
                <w:lang w:val="en-US" w:eastAsia="zh-CN"/>
              </w:rPr>
              <w:t>1-12</w:t>
            </w:r>
            <w:r>
              <w:rPr>
                <w:rFonts w:hint="eastAsia" w:ascii="Times New Roman" w:hAnsi="Times New Roman" w:eastAsia="宋体" w:cs="Times New Roman"/>
                <w:color w:val="auto"/>
                <w:sz w:val="24"/>
                <w:highlight w:val="none"/>
                <w:lang w:val="en-US" w:eastAsia="zh-CN"/>
              </w:rPr>
              <w:t>月份，全市良好天数</w:t>
            </w:r>
            <w:r>
              <w:rPr>
                <w:rFonts w:hint="default" w:ascii="Times New Roman" w:hAnsi="Times New Roman" w:eastAsia="宋体" w:cs="Times New Roman"/>
                <w:color w:val="auto"/>
                <w:sz w:val="24"/>
                <w:highlight w:val="none"/>
                <w:lang w:val="en-US" w:eastAsia="zh-CN"/>
              </w:rPr>
              <w:t>278</w:t>
            </w:r>
            <w:r>
              <w:rPr>
                <w:rFonts w:hint="eastAsia" w:ascii="Times New Roman" w:hAnsi="Times New Roman" w:eastAsia="宋体" w:cs="Times New Roman"/>
                <w:color w:val="auto"/>
                <w:sz w:val="24"/>
                <w:highlight w:val="none"/>
                <w:lang w:val="en-US" w:eastAsia="zh-CN"/>
              </w:rPr>
              <w:t>天（国控），同比增加</w:t>
            </w:r>
            <w:r>
              <w:rPr>
                <w:rFonts w:hint="default" w:ascii="Times New Roman" w:hAnsi="Times New Roman" w:eastAsia="宋体" w:cs="Times New Roman"/>
                <w:color w:val="auto"/>
                <w:sz w:val="24"/>
                <w:highlight w:val="none"/>
                <w:lang w:val="en-US" w:eastAsia="zh-CN"/>
              </w:rPr>
              <w:t>40</w:t>
            </w:r>
            <w:r>
              <w:rPr>
                <w:rFonts w:hint="eastAsia" w:ascii="Times New Roman" w:hAnsi="Times New Roman" w:eastAsia="宋体" w:cs="Times New Roman"/>
                <w:color w:val="auto"/>
                <w:sz w:val="24"/>
                <w:highlight w:val="none"/>
                <w:lang w:val="en-US" w:eastAsia="zh-CN"/>
              </w:rPr>
              <w:t>天。优良率</w:t>
            </w:r>
            <w:r>
              <w:rPr>
                <w:rFonts w:hint="default" w:ascii="Times New Roman" w:hAnsi="Times New Roman" w:eastAsia="宋体" w:cs="Times New Roman"/>
                <w:color w:val="auto"/>
                <w:sz w:val="24"/>
                <w:highlight w:val="none"/>
                <w:lang w:val="en-US" w:eastAsia="zh-CN"/>
              </w:rPr>
              <w:t>76.2%</w:t>
            </w:r>
            <w:r>
              <w:rPr>
                <w:rFonts w:hint="eastAsia" w:ascii="Times New Roman" w:hAnsi="Times New Roman" w:eastAsia="宋体" w:cs="Times New Roman"/>
                <w:color w:val="auto"/>
                <w:sz w:val="24"/>
                <w:highlight w:val="none"/>
                <w:lang w:val="en-US" w:eastAsia="zh-CN"/>
              </w:rPr>
              <w:t>，同比增加</w:t>
            </w:r>
            <w:r>
              <w:rPr>
                <w:rFonts w:hint="default" w:ascii="Times New Roman" w:hAnsi="Times New Roman" w:eastAsia="宋体" w:cs="Times New Roman"/>
                <w:color w:val="auto"/>
                <w:sz w:val="24"/>
                <w:highlight w:val="none"/>
                <w:lang w:val="en-US" w:eastAsia="zh-CN"/>
              </w:rPr>
              <w:t>11.2</w:t>
            </w:r>
            <w:r>
              <w:rPr>
                <w:rFonts w:hint="eastAsia" w:ascii="Times New Roman" w:hAnsi="Times New Roman" w:eastAsia="宋体" w:cs="Times New Roman"/>
                <w:color w:val="auto"/>
                <w:sz w:val="24"/>
                <w:highlight w:val="none"/>
                <w:lang w:val="en-US" w:eastAsia="zh-CN"/>
              </w:rPr>
              <w:t>个百分点。重污染天数</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天，同比减少</w:t>
            </w: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天。其中，二氧化硫（</w:t>
            </w:r>
            <w:r>
              <w:rPr>
                <w:rFonts w:hint="default" w:ascii="Times New Roman" w:hAnsi="Times New Roman" w:eastAsia="宋体" w:cs="Times New Roman"/>
                <w:color w:val="auto"/>
                <w:sz w:val="24"/>
                <w:highlight w:val="none"/>
                <w:lang w:val="en-US" w:eastAsia="zh-CN"/>
              </w:rPr>
              <w:t>SO</w:t>
            </w:r>
            <w:r>
              <w:rPr>
                <w:rFonts w:hint="default" w:ascii="Times New Roman" w:hAnsi="Times New Roman" w:eastAsia="宋体"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11</w:t>
            </w:r>
            <w:r>
              <w:rPr>
                <w:rFonts w:hint="eastAsia" w:ascii="Times New Roman" w:hAnsi="Times New Roman" w:eastAsia="宋体" w:cs="Times New Roman"/>
                <w:color w:val="auto"/>
                <w:sz w:val="24"/>
                <w:highlight w:val="none"/>
                <w:lang w:val="en-US" w:eastAsia="zh-CN"/>
              </w:rPr>
              <w:t>微克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15.4%</w:t>
            </w:r>
            <w:r>
              <w:rPr>
                <w:rFonts w:hint="eastAsia" w:ascii="Times New Roman" w:hAnsi="Times New Roman" w:eastAsia="宋体" w:cs="Times New Roman"/>
                <w:color w:val="auto"/>
                <w:sz w:val="24"/>
                <w:highlight w:val="none"/>
                <w:lang w:val="en-US" w:eastAsia="zh-CN"/>
              </w:rPr>
              <w:t>；二氧化氮（</w:t>
            </w:r>
            <w:r>
              <w:rPr>
                <w:rFonts w:hint="default" w:ascii="Times New Roman" w:hAnsi="Times New Roman" w:eastAsia="宋体" w:cs="Times New Roman"/>
                <w:color w:val="auto"/>
                <w:sz w:val="24"/>
                <w:highlight w:val="none"/>
                <w:lang w:val="en-US" w:eastAsia="zh-CN"/>
              </w:rPr>
              <w:t>NO</w:t>
            </w:r>
            <w:r>
              <w:rPr>
                <w:rFonts w:hint="default" w:ascii="Times New Roman" w:hAnsi="Times New Roman" w:eastAsia="宋体" w:cs="Times New Roman"/>
                <w:color w:val="auto"/>
                <w:sz w:val="24"/>
                <w:highlight w:val="none"/>
                <w:vertAlign w:val="subscript"/>
                <w:lang w:val="en-US" w:eastAsia="zh-CN"/>
              </w:rPr>
              <w:t>2</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27</w:t>
            </w:r>
            <w:r>
              <w:rPr>
                <w:rFonts w:hint="eastAsia" w:ascii="Times New Roman" w:hAnsi="Times New Roman" w:eastAsia="宋体" w:cs="Times New Roman"/>
                <w:color w:val="auto"/>
                <w:sz w:val="24"/>
                <w:highlight w:val="none"/>
                <w:lang w:val="en-US" w:eastAsia="zh-CN"/>
              </w:rPr>
              <w:t>微克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18.2%</w:t>
            </w:r>
            <w:r>
              <w:rPr>
                <w:rFonts w:hint="eastAsia" w:ascii="Times New Roman" w:hAnsi="Times New Roman" w:eastAsia="宋体" w:cs="Times New Roman"/>
                <w:color w:val="auto"/>
                <w:sz w:val="24"/>
                <w:highlight w:val="none"/>
                <w:lang w:val="en-US" w:eastAsia="zh-CN"/>
              </w:rPr>
              <w:t>；可吸入颗粒物（</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10</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59</w:t>
            </w:r>
            <w:r>
              <w:rPr>
                <w:rFonts w:hint="eastAsia" w:ascii="Times New Roman" w:hAnsi="Times New Roman" w:eastAsia="宋体" w:cs="Times New Roman"/>
                <w:color w:val="auto"/>
                <w:sz w:val="24"/>
                <w:highlight w:val="none"/>
                <w:lang w:val="en-US" w:eastAsia="zh-CN"/>
              </w:rPr>
              <w:t>微克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14.5%</w:t>
            </w:r>
            <w:r>
              <w:rPr>
                <w:rFonts w:hint="eastAsia" w:ascii="Times New Roman" w:hAnsi="Times New Roman" w:eastAsia="宋体" w:cs="Times New Roman"/>
                <w:color w:val="auto"/>
                <w:sz w:val="24"/>
                <w:highlight w:val="none"/>
                <w:lang w:val="en-US" w:eastAsia="zh-CN"/>
              </w:rPr>
              <w:t>；细颗粒物（</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2.5</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35</w:t>
            </w:r>
            <w:r>
              <w:rPr>
                <w:rFonts w:hint="eastAsia" w:ascii="Times New Roman" w:hAnsi="Times New Roman" w:eastAsia="宋体" w:cs="Times New Roman"/>
                <w:color w:val="auto"/>
                <w:sz w:val="24"/>
                <w:highlight w:val="none"/>
                <w:lang w:val="en-US" w:eastAsia="zh-CN"/>
              </w:rPr>
              <w:t>微克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12.5%</w:t>
            </w:r>
            <w:r>
              <w:rPr>
                <w:rFonts w:hint="eastAsia" w:ascii="Times New Roman" w:hAnsi="Times New Roman" w:eastAsia="宋体" w:cs="Times New Roman"/>
                <w:color w:val="auto"/>
                <w:sz w:val="24"/>
                <w:highlight w:val="none"/>
                <w:lang w:val="en-US" w:eastAsia="zh-CN"/>
              </w:rPr>
              <w:t>；一氧化碳（</w:t>
            </w:r>
            <w:r>
              <w:rPr>
                <w:rFonts w:hint="default" w:ascii="Times New Roman" w:hAnsi="Times New Roman" w:eastAsia="宋体" w:cs="Times New Roman"/>
                <w:color w:val="auto"/>
                <w:sz w:val="24"/>
                <w:highlight w:val="none"/>
                <w:lang w:val="en-US" w:eastAsia="zh-CN"/>
              </w:rPr>
              <w:t>CO</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1.1</w:t>
            </w:r>
            <w:r>
              <w:rPr>
                <w:rFonts w:hint="eastAsia" w:ascii="Times New Roman" w:hAnsi="Times New Roman" w:eastAsia="宋体" w:cs="Times New Roman"/>
                <w:color w:val="auto"/>
                <w:sz w:val="24"/>
                <w:highlight w:val="none"/>
                <w:lang w:val="en-US" w:eastAsia="zh-CN"/>
              </w:rPr>
              <w:t>毫克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8.3%</w:t>
            </w:r>
            <w:r>
              <w:rPr>
                <w:rFonts w:hint="eastAsia" w:ascii="Times New Roman" w:hAnsi="Times New Roman" w:eastAsia="宋体" w:cs="Times New Roman"/>
                <w:color w:val="auto"/>
                <w:sz w:val="24"/>
                <w:highlight w:val="none"/>
                <w:lang w:val="en-US" w:eastAsia="zh-CN"/>
              </w:rPr>
              <w:t>；臭氧（</w:t>
            </w:r>
            <w:r>
              <w:rPr>
                <w:rFonts w:hint="default" w:ascii="Times New Roman" w:hAnsi="Times New Roman" w:eastAsia="宋体" w:cs="Times New Roman"/>
                <w:color w:val="auto"/>
                <w:sz w:val="24"/>
                <w:highlight w:val="none"/>
                <w:lang w:val="en-US" w:eastAsia="zh-CN"/>
              </w:rPr>
              <w:t>O</w:t>
            </w:r>
            <w:r>
              <w:rPr>
                <w:rFonts w:hint="default" w:ascii="Times New Roman" w:hAnsi="Times New Roman" w:eastAsia="宋体"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169</w:t>
            </w:r>
            <w:r>
              <w:rPr>
                <w:rFonts w:hint="eastAsia" w:ascii="Times New Roman" w:hAnsi="Times New Roman" w:eastAsia="宋体" w:cs="Times New Roman"/>
                <w:color w:val="auto"/>
                <w:sz w:val="24"/>
                <w:highlight w:val="none"/>
                <w:lang w:val="en-US" w:eastAsia="zh-CN"/>
              </w:rPr>
              <w:t>微克</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立方米，同比改善</w:t>
            </w:r>
            <w:r>
              <w:rPr>
                <w:rFonts w:hint="default" w:ascii="Times New Roman" w:hAnsi="Times New Roman" w:eastAsia="宋体" w:cs="Times New Roman"/>
                <w:color w:val="auto"/>
                <w:sz w:val="24"/>
                <w:highlight w:val="none"/>
                <w:lang w:val="en-US" w:eastAsia="zh-CN"/>
              </w:rPr>
              <w:t>12.9%</w:t>
            </w:r>
            <w:r>
              <w:rPr>
                <w:rFonts w:hint="eastAsia" w:ascii="Times New Roman" w:hAnsi="Times New Roman" w:eastAsia="宋体" w:cs="Times New Roman"/>
                <w:color w:val="auto"/>
                <w:sz w:val="24"/>
                <w:highlight w:val="none"/>
                <w:lang w:val="en-US" w:eastAsia="zh-CN"/>
              </w:rPr>
              <w:t>。全市综合指数为</w:t>
            </w:r>
            <w:r>
              <w:rPr>
                <w:rFonts w:hint="default" w:ascii="Times New Roman" w:hAnsi="Times New Roman" w:eastAsia="宋体" w:cs="Times New Roman"/>
                <w:color w:val="auto"/>
                <w:sz w:val="24"/>
                <w:highlight w:val="none"/>
                <w:lang w:val="en-US" w:eastAsia="zh-CN"/>
              </w:rPr>
              <w:t>4.04</w:t>
            </w:r>
            <w:r>
              <w:rPr>
                <w:rFonts w:hint="eastAsia" w:ascii="Times New Roman" w:hAnsi="Times New Roman" w:eastAsia="宋体" w:cs="Times New Roman"/>
                <w:color w:val="auto"/>
                <w:sz w:val="24"/>
                <w:highlight w:val="none"/>
                <w:lang w:val="en-US" w:eastAsia="zh-CN"/>
              </w:rPr>
              <w:t>，同比改善</w:t>
            </w:r>
            <w:r>
              <w:rPr>
                <w:rFonts w:hint="default" w:ascii="Times New Roman" w:hAnsi="Times New Roman" w:eastAsia="宋体" w:cs="Times New Roman"/>
                <w:color w:val="auto"/>
                <w:sz w:val="24"/>
                <w:highlight w:val="none"/>
                <w:lang w:val="en-US" w:eastAsia="zh-CN"/>
              </w:rPr>
              <w:t>13.7%</w:t>
            </w:r>
            <w:r>
              <w:rPr>
                <w:rFonts w:hint="eastAsia" w:ascii="Times New Roman" w:hAnsi="Times New Roman" w:eastAsia="宋体" w:cs="Times New Roman"/>
                <w:color w:val="auto"/>
                <w:sz w:val="24"/>
                <w:highlight w:val="none"/>
                <w:lang w:val="en-US" w:eastAsia="zh-CN"/>
              </w:rPr>
              <w:t>。</w:t>
            </w:r>
          </w:p>
          <w:p w14:paraId="07817265">
            <w:pPr>
              <w:pStyle w:val="19"/>
              <w:spacing w:after="0"/>
              <w:ind w:left="0" w:leftChars="0" w:firstLine="0" w:firstLineChars="0"/>
              <w:jc w:val="center"/>
              <w:rPr>
                <w:b/>
                <w:color w:val="auto"/>
                <w:szCs w:val="21"/>
              </w:rPr>
            </w:pPr>
            <w:r>
              <w:rPr>
                <w:b/>
                <w:color w:val="auto"/>
                <w:sz w:val="21"/>
                <w:szCs w:val="21"/>
              </w:rPr>
              <w:t>表3-</w:t>
            </w:r>
            <w:r>
              <w:rPr>
                <w:rFonts w:hint="eastAsia"/>
                <w:b/>
                <w:color w:val="auto"/>
                <w:sz w:val="21"/>
                <w:szCs w:val="21"/>
                <w:lang w:val="en-US" w:eastAsia="zh-CN"/>
              </w:rPr>
              <w:t>2</w:t>
            </w:r>
            <w:r>
              <w:rPr>
                <w:rFonts w:hint="eastAsia"/>
                <w:b/>
                <w:color w:val="auto"/>
                <w:sz w:val="21"/>
                <w:szCs w:val="21"/>
                <w:lang w:eastAsia="zh-CN"/>
              </w:rPr>
              <w:t>项目区域</w:t>
            </w:r>
            <w:r>
              <w:rPr>
                <w:b/>
                <w:color w:val="auto"/>
                <w:sz w:val="21"/>
                <w:szCs w:val="21"/>
              </w:rPr>
              <w:t>202</w:t>
            </w:r>
            <w:r>
              <w:rPr>
                <w:rFonts w:hint="eastAsia"/>
                <w:b/>
                <w:color w:val="auto"/>
                <w:sz w:val="21"/>
                <w:szCs w:val="21"/>
                <w:lang w:val="en-US" w:eastAsia="zh-CN"/>
              </w:rPr>
              <w:t>5</w:t>
            </w:r>
            <w:r>
              <w:rPr>
                <w:b/>
                <w:color w:val="auto"/>
                <w:sz w:val="21"/>
                <w:szCs w:val="21"/>
              </w:rPr>
              <w:t>年环境空气监测数据一览表</w:t>
            </w:r>
          </w:p>
          <w:tbl>
            <w:tblPr>
              <w:tblStyle w:val="21"/>
              <w:tblW w:w="4995"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09"/>
              <w:gridCol w:w="993"/>
              <w:gridCol w:w="1883"/>
              <w:gridCol w:w="1293"/>
              <w:gridCol w:w="1140"/>
              <w:gridCol w:w="990"/>
              <w:gridCol w:w="1006"/>
            </w:tblGrid>
            <w:tr w14:paraId="7D05D1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0C0E4A40">
                  <w:pPr>
                    <w:pStyle w:val="48"/>
                    <w:rPr>
                      <w:b/>
                      <w:bCs/>
                      <w:color w:val="auto"/>
                    </w:rPr>
                  </w:pPr>
                  <w:r>
                    <w:rPr>
                      <w:rFonts w:hint="eastAsia"/>
                      <w:color w:val="auto"/>
                    </w:rPr>
                    <w:t>污染物</w:t>
                  </w:r>
                </w:p>
              </w:tc>
              <w:tc>
                <w:tcPr>
                  <w:tcW w:w="993" w:type="dxa"/>
                  <w:tcBorders>
                    <w:tl2br w:val="nil"/>
                    <w:tr2bl w:val="nil"/>
                  </w:tcBorders>
                  <w:vAlign w:val="center"/>
                </w:tcPr>
                <w:p w14:paraId="1B4321E7">
                  <w:pPr>
                    <w:pStyle w:val="48"/>
                    <w:rPr>
                      <w:b/>
                      <w:bCs/>
                      <w:color w:val="auto"/>
                    </w:rPr>
                  </w:pPr>
                  <w:r>
                    <w:rPr>
                      <w:rFonts w:hint="eastAsia"/>
                      <w:color w:val="auto"/>
                    </w:rPr>
                    <w:t>单位</w:t>
                  </w:r>
                </w:p>
              </w:tc>
              <w:tc>
                <w:tcPr>
                  <w:tcW w:w="1883" w:type="dxa"/>
                  <w:tcBorders>
                    <w:tl2br w:val="nil"/>
                    <w:tr2bl w:val="nil"/>
                  </w:tcBorders>
                  <w:vAlign w:val="center"/>
                </w:tcPr>
                <w:p w14:paraId="79784FED">
                  <w:pPr>
                    <w:pStyle w:val="48"/>
                    <w:rPr>
                      <w:b/>
                      <w:bCs/>
                      <w:color w:val="auto"/>
                    </w:rPr>
                  </w:pPr>
                  <w:r>
                    <w:rPr>
                      <w:rFonts w:hint="eastAsia"/>
                      <w:color w:val="auto"/>
                    </w:rPr>
                    <w:t>年评价指标</w:t>
                  </w:r>
                </w:p>
              </w:tc>
              <w:tc>
                <w:tcPr>
                  <w:tcW w:w="1293" w:type="dxa"/>
                  <w:tcBorders>
                    <w:tl2br w:val="nil"/>
                    <w:tr2bl w:val="nil"/>
                  </w:tcBorders>
                  <w:vAlign w:val="center"/>
                </w:tcPr>
                <w:p w14:paraId="179F37B7">
                  <w:pPr>
                    <w:pStyle w:val="48"/>
                    <w:rPr>
                      <w:color w:val="auto"/>
                    </w:rPr>
                  </w:pPr>
                  <w:r>
                    <w:rPr>
                      <w:rFonts w:hint="eastAsia"/>
                      <w:color w:val="auto"/>
                    </w:rPr>
                    <w:t>现状浓度</w:t>
                  </w:r>
                </w:p>
                <w:p w14:paraId="5229260B">
                  <w:pPr>
                    <w:pStyle w:val="48"/>
                    <w:rPr>
                      <w:b/>
                      <w:bCs/>
                      <w:color w:val="auto"/>
                    </w:rPr>
                  </w:pPr>
                  <w:r>
                    <w:rPr>
                      <w:rFonts w:hint="eastAsia"/>
                      <w:color w:val="auto"/>
                    </w:rPr>
                    <w:t>（</w:t>
                  </w:r>
                  <w:r>
                    <w:rPr>
                      <w:color w:val="auto"/>
                    </w:rPr>
                    <w:t>μg/m</w:t>
                  </w:r>
                  <w:r>
                    <w:rPr>
                      <w:rFonts w:hint="eastAsia"/>
                      <w:color w:val="auto"/>
                      <w:vertAlign w:val="superscript"/>
                    </w:rPr>
                    <w:t>3</w:t>
                  </w:r>
                  <w:r>
                    <w:rPr>
                      <w:rFonts w:hint="eastAsia"/>
                      <w:color w:val="auto"/>
                    </w:rPr>
                    <w:t>）</w:t>
                  </w:r>
                </w:p>
              </w:tc>
              <w:tc>
                <w:tcPr>
                  <w:tcW w:w="1140" w:type="dxa"/>
                  <w:tcBorders>
                    <w:tl2br w:val="nil"/>
                    <w:tr2bl w:val="nil"/>
                  </w:tcBorders>
                  <w:vAlign w:val="center"/>
                </w:tcPr>
                <w:p w14:paraId="0FA5678A">
                  <w:pPr>
                    <w:pStyle w:val="48"/>
                    <w:rPr>
                      <w:color w:val="auto"/>
                    </w:rPr>
                  </w:pPr>
                  <w:r>
                    <w:rPr>
                      <w:rFonts w:hint="eastAsia"/>
                      <w:color w:val="auto"/>
                    </w:rPr>
                    <w:t>评价标准</w:t>
                  </w:r>
                </w:p>
                <w:p w14:paraId="5781D00E">
                  <w:pPr>
                    <w:pStyle w:val="48"/>
                    <w:rPr>
                      <w:b/>
                      <w:bCs/>
                      <w:color w:val="auto"/>
                    </w:rPr>
                  </w:pPr>
                  <w:r>
                    <w:rPr>
                      <w:rFonts w:hint="eastAsia"/>
                      <w:color w:val="auto"/>
                    </w:rPr>
                    <w:t>（</w:t>
                  </w:r>
                  <w:r>
                    <w:rPr>
                      <w:color w:val="auto"/>
                    </w:rPr>
                    <w:t>μg/m</w:t>
                  </w:r>
                  <w:r>
                    <w:rPr>
                      <w:rFonts w:hint="eastAsia"/>
                      <w:color w:val="auto"/>
                      <w:vertAlign w:val="superscript"/>
                    </w:rPr>
                    <w:t>3</w:t>
                  </w:r>
                  <w:r>
                    <w:rPr>
                      <w:rFonts w:hint="eastAsia"/>
                      <w:color w:val="auto"/>
                    </w:rPr>
                    <w:t>）</w:t>
                  </w:r>
                </w:p>
              </w:tc>
              <w:tc>
                <w:tcPr>
                  <w:tcW w:w="990" w:type="dxa"/>
                  <w:tcBorders>
                    <w:tl2br w:val="nil"/>
                    <w:tr2bl w:val="nil"/>
                  </w:tcBorders>
                  <w:vAlign w:val="center"/>
                </w:tcPr>
                <w:p w14:paraId="2A178865">
                  <w:pPr>
                    <w:pStyle w:val="48"/>
                    <w:rPr>
                      <w:color w:val="auto"/>
                    </w:rPr>
                  </w:pPr>
                  <w:r>
                    <w:rPr>
                      <w:rFonts w:hint="eastAsia"/>
                      <w:color w:val="auto"/>
                    </w:rPr>
                    <w:t>占标率</w:t>
                  </w:r>
                </w:p>
                <w:p w14:paraId="63D86654">
                  <w:pPr>
                    <w:pStyle w:val="48"/>
                    <w:rPr>
                      <w:b/>
                      <w:bCs/>
                      <w:color w:val="auto"/>
                    </w:rPr>
                  </w:pPr>
                  <w:r>
                    <w:rPr>
                      <w:rFonts w:hint="eastAsia"/>
                      <w:color w:val="auto"/>
                    </w:rPr>
                    <w:t>（</w:t>
                  </w:r>
                  <w:r>
                    <w:rPr>
                      <w:color w:val="auto"/>
                    </w:rPr>
                    <w:t>%</w:t>
                  </w:r>
                  <w:r>
                    <w:rPr>
                      <w:rFonts w:hint="eastAsia"/>
                      <w:color w:val="auto"/>
                    </w:rPr>
                    <w:t>）</w:t>
                  </w:r>
                </w:p>
              </w:tc>
              <w:tc>
                <w:tcPr>
                  <w:tcW w:w="1006" w:type="dxa"/>
                  <w:tcBorders>
                    <w:tl2br w:val="nil"/>
                    <w:tr2bl w:val="nil"/>
                  </w:tcBorders>
                  <w:vAlign w:val="center"/>
                </w:tcPr>
                <w:p w14:paraId="7FDA83F8">
                  <w:pPr>
                    <w:pStyle w:val="48"/>
                    <w:rPr>
                      <w:b/>
                      <w:bCs/>
                      <w:color w:val="auto"/>
                    </w:rPr>
                  </w:pPr>
                  <w:r>
                    <w:rPr>
                      <w:rFonts w:hint="eastAsia"/>
                      <w:color w:val="auto"/>
                    </w:rPr>
                    <w:t>达标情况</w:t>
                  </w:r>
                </w:p>
              </w:tc>
            </w:tr>
            <w:tr w14:paraId="138943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6330F732">
                  <w:pPr>
                    <w:pStyle w:val="48"/>
                    <w:rPr>
                      <w:color w:val="auto"/>
                      <w:vertAlign w:val="subscript"/>
                    </w:rPr>
                  </w:pPr>
                  <w:r>
                    <w:rPr>
                      <w:color w:val="auto"/>
                    </w:rPr>
                    <w:t>SO</w:t>
                  </w:r>
                  <w:r>
                    <w:rPr>
                      <w:color w:val="auto"/>
                      <w:vertAlign w:val="subscript"/>
                    </w:rPr>
                    <w:t>2</w:t>
                  </w:r>
                </w:p>
              </w:tc>
              <w:tc>
                <w:tcPr>
                  <w:tcW w:w="993" w:type="dxa"/>
                  <w:tcBorders>
                    <w:tl2br w:val="nil"/>
                    <w:tr2bl w:val="nil"/>
                  </w:tcBorders>
                  <w:vAlign w:val="center"/>
                </w:tcPr>
                <w:p w14:paraId="68882A87">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4AD4766D">
                  <w:pPr>
                    <w:pStyle w:val="48"/>
                    <w:rPr>
                      <w:color w:val="auto"/>
                    </w:rPr>
                  </w:pPr>
                  <w:r>
                    <w:rPr>
                      <w:rFonts w:hint="eastAsia"/>
                      <w:color w:val="auto"/>
                    </w:rPr>
                    <w:t>年平均</w:t>
                  </w:r>
                </w:p>
              </w:tc>
              <w:tc>
                <w:tcPr>
                  <w:tcW w:w="1293" w:type="dxa"/>
                  <w:tcBorders>
                    <w:tl2br w:val="nil"/>
                    <w:tr2bl w:val="nil"/>
                  </w:tcBorders>
                  <w:vAlign w:val="center"/>
                </w:tcPr>
                <w:p w14:paraId="53D01754">
                  <w:pPr>
                    <w:pStyle w:val="48"/>
                    <w:rPr>
                      <w:rFonts w:hint="default" w:eastAsia="宋体"/>
                      <w:color w:val="auto"/>
                      <w:lang w:val="en-US" w:eastAsia="zh-CN"/>
                    </w:rPr>
                  </w:pPr>
                  <w:r>
                    <w:rPr>
                      <w:rFonts w:hint="eastAsia"/>
                      <w:color w:val="auto"/>
                      <w:lang w:val="en-US" w:eastAsia="zh-CN"/>
                    </w:rPr>
                    <w:t>11</w:t>
                  </w:r>
                </w:p>
              </w:tc>
              <w:tc>
                <w:tcPr>
                  <w:tcW w:w="1140" w:type="dxa"/>
                  <w:tcBorders>
                    <w:tl2br w:val="nil"/>
                    <w:tr2bl w:val="nil"/>
                  </w:tcBorders>
                  <w:vAlign w:val="center"/>
                </w:tcPr>
                <w:p w14:paraId="711BC249">
                  <w:pPr>
                    <w:pStyle w:val="48"/>
                    <w:rPr>
                      <w:color w:val="auto"/>
                    </w:rPr>
                  </w:pPr>
                  <w:r>
                    <w:rPr>
                      <w:color w:val="auto"/>
                    </w:rPr>
                    <w:t>60</w:t>
                  </w:r>
                </w:p>
              </w:tc>
              <w:tc>
                <w:tcPr>
                  <w:tcW w:w="990" w:type="dxa"/>
                  <w:tcBorders>
                    <w:tl2br w:val="nil"/>
                    <w:tr2bl w:val="nil"/>
                  </w:tcBorders>
                  <w:shd w:val="clear" w:color="auto" w:fill="auto"/>
                  <w:vAlign w:val="center"/>
                </w:tcPr>
                <w:p w14:paraId="50F96361">
                  <w:pPr>
                    <w:pStyle w:val="48"/>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18.3</w:t>
                  </w:r>
                </w:p>
              </w:tc>
              <w:tc>
                <w:tcPr>
                  <w:tcW w:w="1006" w:type="dxa"/>
                  <w:tcBorders>
                    <w:tl2br w:val="nil"/>
                    <w:tr2bl w:val="nil"/>
                  </w:tcBorders>
                  <w:vAlign w:val="center"/>
                </w:tcPr>
                <w:p w14:paraId="0A6659A2">
                  <w:pPr>
                    <w:pStyle w:val="48"/>
                    <w:rPr>
                      <w:color w:val="auto"/>
                    </w:rPr>
                  </w:pPr>
                  <w:r>
                    <w:rPr>
                      <w:rFonts w:hint="eastAsia"/>
                      <w:color w:val="auto"/>
                    </w:rPr>
                    <w:t>达标</w:t>
                  </w:r>
                </w:p>
              </w:tc>
            </w:tr>
            <w:tr w14:paraId="124965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13F78F3C">
                  <w:pPr>
                    <w:pStyle w:val="48"/>
                    <w:rPr>
                      <w:color w:val="auto"/>
                    </w:rPr>
                  </w:pPr>
                  <w:r>
                    <w:rPr>
                      <w:color w:val="auto"/>
                    </w:rPr>
                    <w:t>NO</w:t>
                  </w:r>
                  <w:r>
                    <w:rPr>
                      <w:color w:val="auto"/>
                      <w:vertAlign w:val="subscript"/>
                    </w:rPr>
                    <w:t>2</w:t>
                  </w:r>
                </w:p>
              </w:tc>
              <w:tc>
                <w:tcPr>
                  <w:tcW w:w="993" w:type="dxa"/>
                  <w:tcBorders>
                    <w:tl2br w:val="nil"/>
                    <w:tr2bl w:val="nil"/>
                  </w:tcBorders>
                  <w:vAlign w:val="center"/>
                </w:tcPr>
                <w:p w14:paraId="1B3EBCC7">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50DCD8D0">
                  <w:pPr>
                    <w:pStyle w:val="48"/>
                    <w:rPr>
                      <w:color w:val="auto"/>
                    </w:rPr>
                  </w:pPr>
                  <w:r>
                    <w:rPr>
                      <w:rFonts w:hint="eastAsia"/>
                      <w:color w:val="auto"/>
                    </w:rPr>
                    <w:t>年平均</w:t>
                  </w:r>
                </w:p>
              </w:tc>
              <w:tc>
                <w:tcPr>
                  <w:tcW w:w="1293" w:type="dxa"/>
                  <w:tcBorders>
                    <w:tl2br w:val="nil"/>
                    <w:tr2bl w:val="nil"/>
                  </w:tcBorders>
                  <w:vAlign w:val="center"/>
                </w:tcPr>
                <w:p w14:paraId="43767815">
                  <w:pPr>
                    <w:pStyle w:val="48"/>
                    <w:rPr>
                      <w:rFonts w:hint="default" w:eastAsia="宋体"/>
                      <w:color w:val="auto"/>
                      <w:lang w:val="en-US" w:eastAsia="zh-CN"/>
                    </w:rPr>
                  </w:pPr>
                  <w:r>
                    <w:rPr>
                      <w:rFonts w:hint="eastAsia"/>
                      <w:color w:val="auto"/>
                      <w:lang w:val="en-US" w:eastAsia="zh-CN"/>
                    </w:rPr>
                    <w:t>27</w:t>
                  </w:r>
                </w:p>
              </w:tc>
              <w:tc>
                <w:tcPr>
                  <w:tcW w:w="1140" w:type="dxa"/>
                  <w:tcBorders>
                    <w:tl2br w:val="nil"/>
                    <w:tr2bl w:val="nil"/>
                  </w:tcBorders>
                  <w:vAlign w:val="center"/>
                </w:tcPr>
                <w:p w14:paraId="32E99346">
                  <w:pPr>
                    <w:pStyle w:val="48"/>
                    <w:rPr>
                      <w:color w:val="auto"/>
                    </w:rPr>
                  </w:pPr>
                  <w:r>
                    <w:rPr>
                      <w:color w:val="auto"/>
                    </w:rPr>
                    <w:t>40</w:t>
                  </w:r>
                </w:p>
              </w:tc>
              <w:tc>
                <w:tcPr>
                  <w:tcW w:w="990" w:type="dxa"/>
                  <w:tcBorders>
                    <w:tl2br w:val="nil"/>
                    <w:tr2bl w:val="nil"/>
                  </w:tcBorders>
                  <w:shd w:val="clear" w:color="auto" w:fill="auto"/>
                  <w:vAlign w:val="center"/>
                </w:tcPr>
                <w:p w14:paraId="45C3AF82">
                  <w:pPr>
                    <w:pStyle w:val="48"/>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67.5</w:t>
                  </w:r>
                </w:p>
              </w:tc>
              <w:tc>
                <w:tcPr>
                  <w:tcW w:w="1006" w:type="dxa"/>
                  <w:tcBorders>
                    <w:tl2br w:val="nil"/>
                    <w:tr2bl w:val="nil"/>
                  </w:tcBorders>
                  <w:vAlign w:val="center"/>
                </w:tcPr>
                <w:p w14:paraId="7F30E836">
                  <w:pPr>
                    <w:pStyle w:val="48"/>
                    <w:rPr>
                      <w:color w:val="auto"/>
                    </w:rPr>
                  </w:pPr>
                  <w:r>
                    <w:rPr>
                      <w:rFonts w:hint="eastAsia"/>
                      <w:color w:val="auto"/>
                    </w:rPr>
                    <w:t>达标</w:t>
                  </w:r>
                </w:p>
              </w:tc>
            </w:tr>
            <w:tr w14:paraId="68FC55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24CB2301">
                  <w:pPr>
                    <w:pStyle w:val="48"/>
                    <w:rPr>
                      <w:color w:val="auto"/>
                      <w:vertAlign w:val="subscript"/>
                    </w:rPr>
                  </w:pPr>
                  <w:r>
                    <w:rPr>
                      <w:color w:val="auto"/>
                    </w:rPr>
                    <w:t>PM</w:t>
                  </w:r>
                  <w:r>
                    <w:rPr>
                      <w:color w:val="auto"/>
                      <w:vertAlign w:val="subscript"/>
                    </w:rPr>
                    <w:t>10</w:t>
                  </w:r>
                </w:p>
              </w:tc>
              <w:tc>
                <w:tcPr>
                  <w:tcW w:w="993" w:type="dxa"/>
                  <w:tcBorders>
                    <w:tl2br w:val="nil"/>
                    <w:tr2bl w:val="nil"/>
                  </w:tcBorders>
                  <w:vAlign w:val="center"/>
                </w:tcPr>
                <w:p w14:paraId="200AAC57">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54824A50">
                  <w:pPr>
                    <w:pStyle w:val="48"/>
                    <w:rPr>
                      <w:color w:val="auto"/>
                    </w:rPr>
                  </w:pPr>
                  <w:r>
                    <w:rPr>
                      <w:rFonts w:hint="eastAsia"/>
                      <w:color w:val="auto"/>
                    </w:rPr>
                    <w:t>年平均</w:t>
                  </w:r>
                </w:p>
              </w:tc>
              <w:tc>
                <w:tcPr>
                  <w:tcW w:w="1293" w:type="dxa"/>
                  <w:tcBorders>
                    <w:tl2br w:val="nil"/>
                    <w:tr2bl w:val="nil"/>
                  </w:tcBorders>
                  <w:vAlign w:val="center"/>
                </w:tcPr>
                <w:p w14:paraId="2569CE8F">
                  <w:pPr>
                    <w:pStyle w:val="48"/>
                    <w:rPr>
                      <w:rFonts w:hint="default" w:eastAsia="宋体"/>
                      <w:color w:val="auto"/>
                      <w:lang w:val="en-US" w:eastAsia="zh-CN"/>
                    </w:rPr>
                  </w:pPr>
                  <w:r>
                    <w:rPr>
                      <w:rFonts w:hint="eastAsia"/>
                      <w:color w:val="auto"/>
                      <w:lang w:val="en-US" w:eastAsia="zh-CN"/>
                    </w:rPr>
                    <w:t>59</w:t>
                  </w:r>
                </w:p>
              </w:tc>
              <w:tc>
                <w:tcPr>
                  <w:tcW w:w="1140" w:type="dxa"/>
                  <w:tcBorders>
                    <w:tl2br w:val="nil"/>
                    <w:tr2bl w:val="nil"/>
                  </w:tcBorders>
                  <w:vAlign w:val="center"/>
                </w:tcPr>
                <w:p w14:paraId="67260236">
                  <w:pPr>
                    <w:pStyle w:val="48"/>
                    <w:rPr>
                      <w:rFonts w:hint="default" w:eastAsia="宋体"/>
                      <w:color w:val="auto"/>
                      <w:lang w:val="en-US" w:eastAsia="zh-CN"/>
                    </w:rPr>
                  </w:pPr>
                  <w:r>
                    <w:rPr>
                      <w:rFonts w:hint="eastAsia"/>
                      <w:color w:val="auto"/>
                      <w:lang w:val="en-US" w:eastAsia="zh-CN"/>
                    </w:rPr>
                    <w:t>60</w:t>
                  </w:r>
                </w:p>
              </w:tc>
              <w:tc>
                <w:tcPr>
                  <w:tcW w:w="990" w:type="dxa"/>
                  <w:tcBorders>
                    <w:tl2br w:val="nil"/>
                    <w:tr2bl w:val="nil"/>
                  </w:tcBorders>
                  <w:shd w:val="clear" w:color="auto" w:fill="auto"/>
                  <w:vAlign w:val="center"/>
                </w:tcPr>
                <w:p w14:paraId="382FCFA6">
                  <w:pPr>
                    <w:pStyle w:val="48"/>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98.3</w:t>
                  </w:r>
                </w:p>
              </w:tc>
              <w:tc>
                <w:tcPr>
                  <w:tcW w:w="1006" w:type="dxa"/>
                  <w:tcBorders>
                    <w:tl2br w:val="nil"/>
                    <w:tr2bl w:val="nil"/>
                  </w:tcBorders>
                  <w:vAlign w:val="center"/>
                </w:tcPr>
                <w:p w14:paraId="1D3DDAB7">
                  <w:pPr>
                    <w:pStyle w:val="48"/>
                    <w:rPr>
                      <w:color w:val="auto"/>
                    </w:rPr>
                  </w:pPr>
                  <w:r>
                    <w:rPr>
                      <w:rFonts w:hint="eastAsia"/>
                      <w:color w:val="auto"/>
                    </w:rPr>
                    <w:t>达标</w:t>
                  </w:r>
                </w:p>
              </w:tc>
            </w:tr>
            <w:tr w14:paraId="7C9004A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33794ED3">
                  <w:pPr>
                    <w:pStyle w:val="48"/>
                    <w:rPr>
                      <w:color w:val="auto"/>
                      <w:vertAlign w:val="subscript"/>
                    </w:rPr>
                  </w:pPr>
                  <w:r>
                    <w:rPr>
                      <w:color w:val="auto"/>
                    </w:rPr>
                    <w:t>PM</w:t>
                  </w:r>
                  <w:r>
                    <w:rPr>
                      <w:rFonts w:hint="eastAsia"/>
                      <w:color w:val="auto"/>
                      <w:vertAlign w:val="subscript"/>
                    </w:rPr>
                    <w:t>2.5</w:t>
                  </w:r>
                </w:p>
              </w:tc>
              <w:tc>
                <w:tcPr>
                  <w:tcW w:w="993" w:type="dxa"/>
                  <w:tcBorders>
                    <w:tl2br w:val="nil"/>
                    <w:tr2bl w:val="nil"/>
                  </w:tcBorders>
                  <w:vAlign w:val="center"/>
                </w:tcPr>
                <w:p w14:paraId="4FD1B371">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3ADDD822">
                  <w:pPr>
                    <w:pStyle w:val="48"/>
                    <w:rPr>
                      <w:color w:val="auto"/>
                    </w:rPr>
                  </w:pPr>
                  <w:r>
                    <w:rPr>
                      <w:rFonts w:hint="eastAsia"/>
                      <w:color w:val="auto"/>
                    </w:rPr>
                    <w:t>年平均</w:t>
                  </w:r>
                </w:p>
              </w:tc>
              <w:tc>
                <w:tcPr>
                  <w:tcW w:w="1293" w:type="dxa"/>
                  <w:tcBorders>
                    <w:tl2br w:val="nil"/>
                    <w:tr2bl w:val="nil"/>
                  </w:tcBorders>
                  <w:vAlign w:val="center"/>
                </w:tcPr>
                <w:p w14:paraId="6BB96146">
                  <w:pPr>
                    <w:pStyle w:val="48"/>
                    <w:rPr>
                      <w:rFonts w:hint="default" w:eastAsia="宋体"/>
                      <w:color w:val="auto"/>
                      <w:lang w:val="en-US" w:eastAsia="zh-CN"/>
                    </w:rPr>
                  </w:pPr>
                  <w:r>
                    <w:rPr>
                      <w:rFonts w:hint="eastAsia"/>
                      <w:color w:val="auto"/>
                      <w:lang w:val="en-US" w:eastAsia="zh-CN"/>
                    </w:rPr>
                    <w:t>35</w:t>
                  </w:r>
                </w:p>
              </w:tc>
              <w:tc>
                <w:tcPr>
                  <w:tcW w:w="1140" w:type="dxa"/>
                  <w:tcBorders>
                    <w:tl2br w:val="nil"/>
                    <w:tr2bl w:val="nil"/>
                  </w:tcBorders>
                  <w:vAlign w:val="center"/>
                </w:tcPr>
                <w:p w14:paraId="41D59ADD">
                  <w:pPr>
                    <w:pStyle w:val="48"/>
                    <w:rPr>
                      <w:rFonts w:hint="default" w:eastAsia="宋体"/>
                      <w:color w:val="auto"/>
                      <w:lang w:val="en-US" w:eastAsia="zh-CN"/>
                    </w:rPr>
                  </w:pPr>
                  <w:r>
                    <w:rPr>
                      <w:rFonts w:hint="eastAsia"/>
                      <w:color w:val="auto"/>
                      <w:lang w:val="en-US" w:eastAsia="zh-CN"/>
                    </w:rPr>
                    <w:t>30</w:t>
                  </w:r>
                </w:p>
              </w:tc>
              <w:tc>
                <w:tcPr>
                  <w:tcW w:w="990" w:type="dxa"/>
                  <w:tcBorders>
                    <w:tl2br w:val="nil"/>
                    <w:tr2bl w:val="nil"/>
                  </w:tcBorders>
                  <w:shd w:val="clear" w:color="auto" w:fill="auto"/>
                  <w:vAlign w:val="center"/>
                </w:tcPr>
                <w:p w14:paraId="3AA2E16F">
                  <w:pPr>
                    <w:pStyle w:val="48"/>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117</w:t>
                  </w:r>
                </w:p>
              </w:tc>
              <w:tc>
                <w:tcPr>
                  <w:tcW w:w="1006" w:type="dxa"/>
                  <w:tcBorders>
                    <w:tl2br w:val="nil"/>
                    <w:tr2bl w:val="nil"/>
                  </w:tcBorders>
                  <w:vAlign w:val="center"/>
                </w:tcPr>
                <w:p w14:paraId="15AF2E4D">
                  <w:pPr>
                    <w:pStyle w:val="48"/>
                    <w:rPr>
                      <w:rFonts w:hint="eastAsia" w:eastAsia="宋体"/>
                      <w:color w:val="auto"/>
                      <w:lang w:eastAsia="zh-CN"/>
                    </w:rPr>
                  </w:pPr>
                  <w:r>
                    <w:rPr>
                      <w:rFonts w:hint="eastAsia"/>
                      <w:color w:val="auto"/>
                      <w:lang w:eastAsia="zh-CN"/>
                    </w:rPr>
                    <w:t>超标</w:t>
                  </w:r>
                </w:p>
              </w:tc>
            </w:tr>
            <w:tr w14:paraId="2D6D5D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3C1076B4">
                  <w:pPr>
                    <w:pStyle w:val="48"/>
                    <w:rPr>
                      <w:color w:val="auto"/>
                    </w:rPr>
                  </w:pPr>
                  <w:r>
                    <w:rPr>
                      <w:color w:val="auto"/>
                    </w:rPr>
                    <w:t>CO</w:t>
                  </w:r>
                </w:p>
              </w:tc>
              <w:tc>
                <w:tcPr>
                  <w:tcW w:w="993" w:type="dxa"/>
                  <w:tcBorders>
                    <w:tl2br w:val="nil"/>
                    <w:tr2bl w:val="nil"/>
                  </w:tcBorders>
                  <w:vAlign w:val="center"/>
                </w:tcPr>
                <w:p w14:paraId="5EA6BC05">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3D87E37C">
                  <w:pPr>
                    <w:pStyle w:val="48"/>
                    <w:rPr>
                      <w:color w:val="auto"/>
                    </w:rPr>
                  </w:pPr>
                  <w:r>
                    <w:rPr>
                      <w:rFonts w:hint="eastAsia"/>
                      <w:color w:val="auto"/>
                    </w:rPr>
                    <w:t>日均值</w:t>
                  </w:r>
                </w:p>
              </w:tc>
              <w:tc>
                <w:tcPr>
                  <w:tcW w:w="1293" w:type="dxa"/>
                  <w:tcBorders>
                    <w:tl2br w:val="nil"/>
                    <w:tr2bl w:val="nil"/>
                  </w:tcBorders>
                  <w:vAlign w:val="center"/>
                </w:tcPr>
                <w:p w14:paraId="212ED375">
                  <w:pPr>
                    <w:pStyle w:val="48"/>
                    <w:rPr>
                      <w:rFonts w:hint="default" w:eastAsia="宋体"/>
                      <w:color w:val="auto"/>
                      <w:lang w:val="en-US" w:eastAsia="zh-CN"/>
                    </w:rPr>
                  </w:pPr>
                  <w:r>
                    <w:rPr>
                      <w:rFonts w:hint="eastAsia"/>
                      <w:color w:val="auto"/>
                      <w:lang w:val="en-US" w:eastAsia="zh-CN"/>
                    </w:rPr>
                    <w:t>1100</w:t>
                  </w:r>
                </w:p>
              </w:tc>
              <w:tc>
                <w:tcPr>
                  <w:tcW w:w="1140" w:type="dxa"/>
                  <w:tcBorders>
                    <w:tl2br w:val="nil"/>
                    <w:tr2bl w:val="nil"/>
                  </w:tcBorders>
                  <w:vAlign w:val="center"/>
                </w:tcPr>
                <w:p w14:paraId="1C72E6F4">
                  <w:pPr>
                    <w:pStyle w:val="48"/>
                    <w:rPr>
                      <w:color w:val="auto"/>
                    </w:rPr>
                  </w:pPr>
                  <w:r>
                    <w:rPr>
                      <w:color w:val="auto"/>
                    </w:rPr>
                    <w:t>4000</w:t>
                  </w:r>
                </w:p>
              </w:tc>
              <w:tc>
                <w:tcPr>
                  <w:tcW w:w="990" w:type="dxa"/>
                  <w:tcBorders>
                    <w:tl2br w:val="nil"/>
                    <w:tr2bl w:val="nil"/>
                  </w:tcBorders>
                  <w:shd w:val="clear" w:color="auto" w:fill="auto"/>
                  <w:vAlign w:val="center"/>
                </w:tcPr>
                <w:p w14:paraId="7F12E1FF">
                  <w:pPr>
                    <w:pStyle w:val="48"/>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27.5</w:t>
                  </w:r>
                </w:p>
              </w:tc>
              <w:tc>
                <w:tcPr>
                  <w:tcW w:w="1006" w:type="dxa"/>
                  <w:tcBorders>
                    <w:tl2br w:val="nil"/>
                    <w:tr2bl w:val="nil"/>
                  </w:tcBorders>
                  <w:vAlign w:val="center"/>
                </w:tcPr>
                <w:p w14:paraId="1274FF28">
                  <w:pPr>
                    <w:pStyle w:val="48"/>
                    <w:rPr>
                      <w:color w:val="auto"/>
                    </w:rPr>
                  </w:pPr>
                  <w:r>
                    <w:rPr>
                      <w:rFonts w:hint="eastAsia"/>
                      <w:color w:val="auto"/>
                    </w:rPr>
                    <w:t>达标</w:t>
                  </w:r>
                </w:p>
              </w:tc>
            </w:tr>
            <w:tr w14:paraId="106A47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909" w:type="dxa"/>
                  <w:tcBorders>
                    <w:tl2br w:val="nil"/>
                    <w:tr2bl w:val="nil"/>
                  </w:tcBorders>
                  <w:vAlign w:val="center"/>
                </w:tcPr>
                <w:p w14:paraId="57A4F0EA">
                  <w:pPr>
                    <w:pStyle w:val="48"/>
                    <w:rPr>
                      <w:color w:val="auto"/>
                      <w:vertAlign w:val="subscript"/>
                    </w:rPr>
                  </w:pPr>
                  <w:r>
                    <w:rPr>
                      <w:color w:val="auto"/>
                    </w:rPr>
                    <w:t>O</w:t>
                  </w:r>
                  <w:r>
                    <w:rPr>
                      <w:color w:val="auto"/>
                      <w:vertAlign w:val="subscript"/>
                    </w:rPr>
                    <w:t>3</w:t>
                  </w:r>
                </w:p>
              </w:tc>
              <w:tc>
                <w:tcPr>
                  <w:tcW w:w="993" w:type="dxa"/>
                  <w:tcBorders>
                    <w:tl2br w:val="nil"/>
                    <w:tr2bl w:val="nil"/>
                  </w:tcBorders>
                  <w:vAlign w:val="center"/>
                </w:tcPr>
                <w:p w14:paraId="6DBB1932">
                  <w:pPr>
                    <w:pStyle w:val="48"/>
                    <w:rPr>
                      <w:color w:val="auto"/>
                    </w:rPr>
                  </w:pPr>
                  <w:r>
                    <w:rPr>
                      <w:color w:val="auto"/>
                    </w:rPr>
                    <w:t>μg/m</w:t>
                  </w:r>
                  <w:r>
                    <w:rPr>
                      <w:rFonts w:hint="eastAsia"/>
                      <w:color w:val="auto"/>
                      <w:vertAlign w:val="superscript"/>
                    </w:rPr>
                    <w:t>3</w:t>
                  </w:r>
                </w:p>
              </w:tc>
              <w:tc>
                <w:tcPr>
                  <w:tcW w:w="1883" w:type="dxa"/>
                  <w:tcBorders>
                    <w:tl2br w:val="nil"/>
                    <w:tr2bl w:val="nil"/>
                  </w:tcBorders>
                  <w:vAlign w:val="center"/>
                </w:tcPr>
                <w:p w14:paraId="3DC28B59">
                  <w:pPr>
                    <w:pStyle w:val="48"/>
                    <w:rPr>
                      <w:color w:val="auto"/>
                    </w:rPr>
                  </w:pPr>
                  <w:r>
                    <w:rPr>
                      <w:rFonts w:hint="eastAsia"/>
                      <w:color w:val="auto"/>
                    </w:rPr>
                    <w:t>日最大8小时均值</w:t>
                  </w:r>
                </w:p>
              </w:tc>
              <w:tc>
                <w:tcPr>
                  <w:tcW w:w="1293" w:type="dxa"/>
                  <w:tcBorders>
                    <w:tl2br w:val="nil"/>
                    <w:tr2bl w:val="nil"/>
                  </w:tcBorders>
                  <w:vAlign w:val="center"/>
                </w:tcPr>
                <w:p w14:paraId="6B68BCA8">
                  <w:pPr>
                    <w:pStyle w:val="48"/>
                    <w:rPr>
                      <w:rFonts w:hint="default" w:eastAsia="宋体"/>
                      <w:color w:val="auto"/>
                      <w:lang w:val="en-US" w:eastAsia="zh-CN"/>
                    </w:rPr>
                  </w:pPr>
                  <w:r>
                    <w:rPr>
                      <w:rFonts w:hint="eastAsia"/>
                      <w:color w:val="auto"/>
                      <w:lang w:val="en-US" w:eastAsia="zh-CN"/>
                    </w:rPr>
                    <w:t>169</w:t>
                  </w:r>
                </w:p>
              </w:tc>
              <w:tc>
                <w:tcPr>
                  <w:tcW w:w="1140" w:type="dxa"/>
                  <w:tcBorders>
                    <w:tl2br w:val="nil"/>
                    <w:tr2bl w:val="nil"/>
                  </w:tcBorders>
                  <w:vAlign w:val="center"/>
                </w:tcPr>
                <w:p w14:paraId="2C1A6561">
                  <w:pPr>
                    <w:pStyle w:val="48"/>
                    <w:rPr>
                      <w:color w:val="auto"/>
                    </w:rPr>
                  </w:pPr>
                  <w:r>
                    <w:rPr>
                      <w:color w:val="auto"/>
                    </w:rPr>
                    <w:t>160</w:t>
                  </w:r>
                </w:p>
              </w:tc>
              <w:tc>
                <w:tcPr>
                  <w:tcW w:w="990" w:type="dxa"/>
                  <w:tcBorders>
                    <w:tl2br w:val="nil"/>
                    <w:tr2bl w:val="nil"/>
                  </w:tcBorders>
                  <w:shd w:val="clear" w:color="auto" w:fill="auto"/>
                  <w:vAlign w:val="center"/>
                </w:tcPr>
                <w:p w14:paraId="0BB006E5">
                  <w:pPr>
                    <w:pStyle w:val="48"/>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105.6</w:t>
                  </w:r>
                </w:p>
              </w:tc>
              <w:tc>
                <w:tcPr>
                  <w:tcW w:w="1006" w:type="dxa"/>
                  <w:tcBorders>
                    <w:tl2br w:val="nil"/>
                    <w:tr2bl w:val="nil"/>
                  </w:tcBorders>
                  <w:vAlign w:val="center"/>
                </w:tcPr>
                <w:p w14:paraId="7B052BB2">
                  <w:pPr>
                    <w:pStyle w:val="48"/>
                    <w:rPr>
                      <w:color w:val="auto"/>
                    </w:rPr>
                  </w:pPr>
                  <w:r>
                    <w:rPr>
                      <w:rFonts w:hint="eastAsia"/>
                      <w:color w:val="auto"/>
                    </w:rPr>
                    <w:t>超标</w:t>
                  </w:r>
                </w:p>
              </w:tc>
            </w:tr>
          </w:tbl>
          <w:p w14:paraId="58521C61">
            <w:pPr>
              <w:spacing w:line="360" w:lineRule="auto"/>
              <w:ind w:firstLine="480" w:firstLineChars="200"/>
              <w:rPr>
                <w:rFonts w:ascii="Times New Roman" w:hAnsi="Times New Roman" w:eastAsia="宋体" w:cs="Times New Roman"/>
                <w:color w:val="auto"/>
                <w:sz w:val="24"/>
              </w:rPr>
            </w:pPr>
            <w:r>
              <w:rPr>
                <w:color w:val="auto"/>
                <w:sz w:val="24"/>
              </w:rPr>
              <w:t>由上表数据可</w:t>
            </w:r>
            <w:r>
              <w:rPr>
                <w:rFonts w:ascii="Times New Roman" w:hAnsi="Times New Roman" w:eastAsia="宋体" w:cs="Times New Roman"/>
                <w:color w:val="auto"/>
                <w:sz w:val="24"/>
              </w:rPr>
              <w:t>以看出，</w:t>
            </w:r>
            <w:r>
              <w:rPr>
                <w:rFonts w:hint="eastAsia" w:ascii="Times New Roman" w:hAnsi="Times New Roman" w:eastAsia="宋体" w:cs="Times New Roman"/>
                <w:color w:val="auto"/>
                <w:sz w:val="24"/>
                <w:lang w:val="en-US" w:eastAsia="zh-CN"/>
              </w:rPr>
              <w:t>项目所在区域PM</w:t>
            </w:r>
            <w:r>
              <w:rPr>
                <w:rFonts w:hint="eastAsia" w:ascii="Times New Roman" w:hAnsi="Times New Roman" w:eastAsia="宋体" w:cs="Times New Roman"/>
                <w:color w:val="auto"/>
                <w:sz w:val="24"/>
                <w:vertAlign w:val="subscript"/>
                <w:lang w:val="en-US" w:eastAsia="zh-CN"/>
              </w:rPr>
              <w:t>2.5</w:t>
            </w:r>
            <w:r>
              <w:rPr>
                <w:rFonts w:hint="eastAsia" w:ascii="Times New Roman" w:hAnsi="Times New Roman" w:eastAsia="宋体" w:cs="Times New Roman"/>
                <w:color w:val="auto"/>
                <w:sz w:val="24"/>
                <w:lang w:val="en-US" w:eastAsia="zh-CN"/>
              </w:rPr>
              <w:t>年均质量浓度、O</w:t>
            </w:r>
            <w:r>
              <w:rPr>
                <w:rFonts w:hint="eastAsia" w:ascii="Times New Roman" w:hAnsi="Times New Roman" w:eastAsia="宋体" w:cs="Times New Roman"/>
                <w:color w:val="auto"/>
                <w:sz w:val="24"/>
                <w:vertAlign w:val="subscript"/>
                <w:lang w:val="en-US" w:eastAsia="zh-CN"/>
              </w:rPr>
              <w:t>3</w:t>
            </w:r>
            <w:r>
              <w:rPr>
                <w:rFonts w:hint="eastAsia" w:ascii="Times New Roman" w:hAnsi="Times New Roman" w:eastAsia="宋体" w:cs="Times New Roman"/>
                <w:color w:val="auto"/>
                <w:sz w:val="24"/>
              </w:rPr>
              <w:t>日最大8小时均值</w:t>
            </w:r>
            <w:r>
              <w:rPr>
                <w:rFonts w:hint="default" w:ascii="Times New Roman" w:hAnsi="Times New Roman" w:eastAsia="宋体" w:cs="Times New Roman"/>
                <w:color w:val="auto"/>
                <w:sz w:val="24"/>
              </w:rPr>
              <w:t>不满足《环境空气质量标准》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GB3095-20</w:t>
            </w:r>
            <w:r>
              <w:rPr>
                <w:rFonts w:hint="eastAsia" w:ascii="Times New Roman" w:hAnsi="Times New Roman" w:eastAsia="宋体" w:cs="Times New Roman"/>
                <w:color w:val="auto"/>
                <w:sz w:val="24"/>
                <w:lang w:val="en-US" w:eastAsia="zh-CN"/>
              </w:rPr>
              <w:t>26</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过渡期</w:t>
            </w:r>
            <w:r>
              <w:rPr>
                <w:rFonts w:hint="default" w:ascii="Times New Roman" w:hAnsi="Times New Roman" w:eastAsia="宋体" w:cs="Times New Roman"/>
                <w:color w:val="auto"/>
                <w:sz w:val="24"/>
              </w:rPr>
              <w:t>二级标准限值要求</w:t>
            </w:r>
            <w:r>
              <w:rPr>
                <w:rFonts w:ascii="Times New Roman" w:hAnsi="Times New Roman" w:eastAsia="宋体" w:cs="Times New Roman"/>
                <w:color w:val="auto"/>
                <w:sz w:val="24"/>
              </w:rPr>
              <w:t>。</w:t>
            </w:r>
          </w:p>
          <w:p w14:paraId="61178DF4">
            <w:pPr>
              <w:spacing w:line="360" w:lineRule="auto"/>
              <w:ind w:firstLine="480" w:firstLineChars="200"/>
              <w:rPr>
                <w:color w:val="auto"/>
                <w:sz w:val="24"/>
              </w:rPr>
            </w:pPr>
            <w:r>
              <w:rPr>
                <w:color w:val="auto"/>
                <w:sz w:val="24"/>
              </w:rPr>
              <w:t>根据《淄博市“十四五”生态环境保护规划》要求，以持续降低PM</w:t>
            </w:r>
            <w:r>
              <w:rPr>
                <w:color w:val="auto"/>
                <w:sz w:val="24"/>
                <w:vertAlign w:val="subscript"/>
              </w:rPr>
              <w:t>2.5</w:t>
            </w:r>
            <w:r>
              <w:rPr>
                <w:color w:val="auto"/>
                <w:sz w:val="24"/>
              </w:rPr>
              <w:t>浓度，不断提高空气质量优良天数比例，逐步消除重污染天气为目标任务，实施“六大减排工程”</w:t>
            </w:r>
            <w:r>
              <w:rPr>
                <w:rFonts w:hint="eastAsia"/>
                <w:color w:val="auto"/>
                <w:sz w:val="24"/>
              </w:rPr>
              <w:t>：①推动</w:t>
            </w:r>
            <w:r>
              <w:rPr>
                <w:color w:val="auto"/>
                <w:sz w:val="24"/>
              </w:rPr>
              <w:t>产业结构升级</w:t>
            </w:r>
            <w:r>
              <w:rPr>
                <w:rFonts w:hint="eastAsia"/>
                <w:color w:val="auto"/>
                <w:sz w:val="24"/>
              </w:rPr>
              <w:t>减排</w:t>
            </w:r>
            <w:r>
              <w:rPr>
                <w:color w:val="auto"/>
                <w:sz w:val="24"/>
              </w:rPr>
              <w:t>、</w:t>
            </w:r>
            <w:r>
              <w:rPr>
                <w:rFonts w:hint="eastAsia"/>
                <w:color w:val="auto"/>
                <w:sz w:val="24"/>
              </w:rPr>
              <w:t>②实施终端用能清洁化替代</w:t>
            </w:r>
            <w:r>
              <w:rPr>
                <w:color w:val="auto"/>
                <w:sz w:val="24"/>
              </w:rPr>
              <w:t>、</w:t>
            </w:r>
            <w:r>
              <w:rPr>
                <w:rFonts w:hint="eastAsia"/>
                <w:color w:val="auto"/>
                <w:sz w:val="24"/>
              </w:rPr>
              <w:t>③构建高效集约绿色通道体系</w:t>
            </w:r>
            <w:r>
              <w:rPr>
                <w:color w:val="auto"/>
                <w:sz w:val="24"/>
              </w:rPr>
              <w:t>、</w:t>
            </w:r>
            <w:r>
              <w:rPr>
                <w:rFonts w:hint="eastAsia"/>
                <w:color w:val="auto"/>
                <w:sz w:val="24"/>
              </w:rPr>
              <w:t>④全面加强</w:t>
            </w:r>
            <w:r>
              <w:rPr>
                <w:color w:val="auto"/>
                <w:sz w:val="24"/>
              </w:rPr>
              <w:t>VOCs</w:t>
            </w:r>
            <w:r>
              <w:rPr>
                <w:rFonts w:hint="eastAsia"/>
                <w:color w:val="auto"/>
                <w:sz w:val="24"/>
              </w:rPr>
              <w:t>综合</w:t>
            </w:r>
            <w:r>
              <w:rPr>
                <w:color w:val="auto"/>
                <w:sz w:val="24"/>
              </w:rPr>
              <w:t>治理、</w:t>
            </w:r>
            <w:r>
              <w:rPr>
                <w:rFonts w:hint="eastAsia"/>
                <w:color w:val="auto"/>
                <w:sz w:val="24"/>
              </w:rPr>
              <w:t>⑤推进</w:t>
            </w:r>
            <w:r>
              <w:rPr>
                <w:color w:val="auto"/>
                <w:sz w:val="24"/>
              </w:rPr>
              <w:t>氮氧化物深度治理</w:t>
            </w:r>
            <w:r>
              <w:rPr>
                <w:rFonts w:hint="eastAsia"/>
                <w:color w:val="auto"/>
                <w:sz w:val="24"/>
              </w:rPr>
              <w:t>、⑥推进颗粒物精细化管控</w:t>
            </w:r>
            <w:r>
              <w:rPr>
                <w:color w:val="auto"/>
                <w:sz w:val="24"/>
              </w:rPr>
              <w:t>，全面推进重点行业、重点领域的全流程污染治理，治理后环境空气质量将得到改善。</w:t>
            </w:r>
          </w:p>
          <w:p w14:paraId="5FADA5E0">
            <w:pPr>
              <w:spacing w:line="360" w:lineRule="auto"/>
              <w:ind w:firstLine="482" w:firstLineChars="200"/>
              <w:rPr>
                <w:b/>
                <w:bCs/>
                <w:color w:val="auto"/>
                <w:sz w:val="24"/>
              </w:rPr>
            </w:pPr>
            <w:r>
              <w:rPr>
                <w:b/>
                <w:bCs/>
                <w:color w:val="auto"/>
                <w:sz w:val="24"/>
              </w:rPr>
              <w:t>（二）地表水环境</w:t>
            </w:r>
          </w:p>
          <w:p w14:paraId="23C17338">
            <w:pPr>
              <w:spacing w:line="360" w:lineRule="auto"/>
              <w:ind w:firstLine="480" w:firstLineChars="200"/>
              <w:rPr>
                <w:color w:val="auto"/>
                <w:sz w:val="24"/>
                <w:highlight w:val="none"/>
              </w:rPr>
            </w:pPr>
            <w:r>
              <w:rPr>
                <w:color w:val="auto"/>
                <w:sz w:val="24"/>
                <w:highlight w:val="none"/>
              </w:rPr>
              <w:t>根据</w:t>
            </w:r>
            <w:r>
              <w:rPr>
                <w:rFonts w:hint="eastAsia"/>
                <w:color w:val="auto"/>
                <w:sz w:val="24"/>
                <w:highlight w:val="none"/>
                <w:lang w:eastAsia="zh-CN"/>
              </w:rPr>
              <w:t>最新淄博市环境水质信息发布，区域孝妇河满足</w:t>
            </w:r>
            <w:r>
              <w:rPr>
                <w:color w:val="auto"/>
                <w:sz w:val="24"/>
                <w:highlight w:val="none"/>
              </w:rPr>
              <w:t>《地表水环境质量标准》（GB3838-2002）中的</w:t>
            </w:r>
            <w:r>
              <w:rPr>
                <w:color w:val="auto"/>
                <w:sz w:val="24"/>
                <w:highlight w:val="none"/>
              </w:rPr>
              <w:fldChar w:fldCharType="begin"/>
            </w:r>
            <w:r>
              <w:rPr>
                <w:color w:val="auto"/>
                <w:sz w:val="24"/>
                <w:highlight w:val="none"/>
              </w:rPr>
              <w:instrText xml:space="preserve"> = 4 \* ROMAN \* MERGEFORMAT </w:instrText>
            </w:r>
            <w:r>
              <w:rPr>
                <w:color w:val="auto"/>
                <w:sz w:val="24"/>
                <w:highlight w:val="none"/>
              </w:rPr>
              <w:fldChar w:fldCharType="separate"/>
            </w:r>
            <w:r>
              <w:rPr>
                <w:color w:val="auto"/>
                <w:highlight w:val="none"/>
              </w:rPr>
              <w:t>IV</w:t>
            </w:r>
            <w:r>
              <w:rPr>
                <w:color w:val="auto"/>
                <w:sz w:val="24"/>
                <w:highlight w:val="none"/>
              </w:rPr>
              <w:fldChar w:fldCharType="end"/>
            </w:r>
            <w:r>
              <w:rPr>
                <w:color w:val="auto"/>
                <w:sz w:val="24"/>
                <w:highlight w:val="none"/>
              </w:rPr>
              <w:t>类标准</w:t>
            </w:r>
            <w:r>
              <w:rPr>
                <w:rFonts w:hint="eastAsia"/>
                <w:color w:val="auto"/>
                <w:sz w:val="24"/>
                <w:highlight w:val="none"/>
                <w:lang w:eastAsia="zh-CN"/>
              </w:rPr>
              <w:t>、涝淄河、东猪龙河</w:t>
            </w:r>
            <w:r>
              <w:rPr>
                <w:color w:val="auto"/>
                <w:sz w:val="24"/>
                <w:highlight w:val="none"/>
              </w:rPr>
              <w:t>水质能够满足《地表水环境质量标准》（GB3838-2002）中的V类标准。该项目所排放的污染物对周围环境的影响较小，满足环境质量底线要求。</w:t>
            </w:r>
          </w:p>
          <w:p w14:paraId="4F6DF3F3">
            <w:pPr>
              <w:numPr>
                <w:ilvl w:val="0"/>
                <w:numId w:val="5"/>
              </w:numPr>
              <w:spacing w:line="360" w:lineRule="auto"/>
              <w:ind w:firstLine="482" w:firstLineChars="200"/>
              <w:rPr>
                <w:b/>
                <w:bCs/>
                <w:color w:val="auto"/>
                <w:sz w:val="24"/>
              </w:rPr>
            </w:pPr>
            <w:r>
              <w:rPr>
                <w:b/>
                <w:bCs/>
                <w:color w:val="auto"/>
                <w:sz w:val="24"/>
              </w:rPr>
              <w:t>河道底质现状</w:t>
            </w:r>
          </w:p>
          <w:p w14:paraId="48348B7E">
            <w:pPr>
              <w:pStyle w:val="43"/>
              <w:spacing w:line="360" w:lineRule="auto"/>
              <w:ind w:firstLine="480" w:firstLineChars="200"/>
              <w:rPr>
                <w:rFonts w:hint="default" w:ascii="Times New Roman" w:hAnsi="Times New Roman"/>
                <w:color w:val="auto"/>
              </w:rPr>
            </w:pPr>
            <w:r>
              <w:rPr>
                <w:rFonts w:ascii="Times New Roman" w:hAnsi="Times New Roman"/>
                <w:color w:val="auto"/>
              </w:rPr>
              <w:t>本次评价引用</w:t>
            </w:r>
            <w:r>
              <w:rPr>
                <w:rFonts w:hint="default" w:ascii="Times New Roman" w:hAnsi="Times New Roman"/>
                <w:color w:val="auto"/>
              </w:rPr>
              <w:t>山东天智环境监测有限公司对项目各河道底泥进行现状监测，分析河流底质现状。</w:t>
            </w:r>
          </w:p>
          <w:p w14:paraId="22D82EED">
            <w:pPr>
              <w:pStyle w:val="43"/>
              <w:spacing w:line="360" w:lineRule="auto"/>
              <w:ind w:firstLine="480" w:firstLineChars="200"/>
              <w:rPr>
                <w:rFonts w:hint="default" w:ascii="Times New Roman" w:hAnsi="Times New Roman"/>
                <w:color w:val="auto"/>
              </w:rPr>
            </w:pPr>
            <w:r>
              <w:rPr>
                <w:rFonts w:hint="default" w:ascii="Times New Roman" w:hAnsi="Times New Roman"/>
                <w:color w:val="auto"/>
              </w:rPr>
              <w:t>（1）检测结果</w:t>
            </w:r>
          </w:p>
          <w:p w14:paraId="5A8CFEE1">
            <w:pPr>
              <w:pStyle w:val="43"/>
              <w:spacing w:line="360" w:lineRule="auto"/>
              <w:ind w:firstLine="480" w:firstLineChars="200"/>
              <w:rPr>
                <w:rFonts w:hint="default" w:ascii="Times New Roman" w:hAnsi="Times New Roman"/>
                <w:color w:val="auto"/>
              </w:rPr>
            </w:pPr>
            <w:r>
              <w:rPr>
                <w:rFonts w:hint="default" w:ascii="Times New Roman" w:hAnsi="Times New Roman"/>
                <w:color w:val="auto"/>
              </w:rPr>
              <w:t>检测日期2024年7月23日，</w:t>
            </w:r>
            <w:r>
              <w:rPr>
                <w:rFonts w:ascii="Times New Roman" w:hAnsi="Times New Roman"/>
                <w:color w:val="auto"/>
              </w:rPr>
              <w:t>监测点位为：漫泗河涝淄河、暖水河、瓦村沟</w:t>
            </w:r>
            <w:r>
              <w:rPr>
                <w:rFonts w:hint="default" w:ascii="Times New Roman" w:hAnsi="Times New Roman"/>
                <w:color w:val="auto"/>
              </w:rPr>
              <w:t>监测因子为铜、汞、锌、铅、镍、铬、镉、砷。</w:t>
            </w:r>
            <w:r>
              <w:rPr>
                <w:rFonts w:ascii="Times New Roman" w:hAnsi="Times New Roman"/>
                <w:color w:val="auto"/>
              </w:rPr>
              <w:t>河道底泥现状</w:t>
            </w:r>
            <w:r>
              <w:rPr>
                <w:rFonts w:hint="default" w:ascii="Times New Roman" w:hAnsi="Times New Roman"/>
                <w:color w:val="auto"/>
              </w:rPr>
              <w:t>监测布点图见附图</w:t>
            </w:r>
            <w:r>
              <w:rPr>
                <w:rFonts w:hint="eastAsia" w:ascii="Times New Roman" w:hAnsi="Times New Roman"/>
                <w:color w:val="auto"/>
                <w:lang w:val="en-US" w:eastAsia="zh-CN"/>
              </w:rPr>
              <w:t>7</w:t>
            </w:r>
            <w:r>
              <w:rPr>
                <w:rFonts w:hint="default" w:ascii="Times New Roman" w:hAnsi="Times New Roman"/>
                <w:color w:val="auto"/>
              </w:rPr>
              <w:t>，监测点相对位置见表3-</w:t>
            </w:r>
            <w:r>
              <w:rPr>
                <w:rFonts w:hint="eastAsia" w:ascii="Times New Roman" w:hAnsi="Times New Roman"/>
                <w:color w:val="auto"/>
                <w:lang w:val="en-US" w:eastAsia="zh-CN"/>
              </w:rPr>
              <w:t>3</w:t>
            </w:r>
            <w:r>
              <w:rPr>
                <w:rFonts w:hint="default" w:ascii="Times New Roman" w:hAnsi="Times New Roman"/>
                <w:color w:val="auto"/>
              </w:rPr>
              <w:t>。监测结果详见表3-</w:t>
            </w:r>
            <w:r>
              <w:rPr>
                <w:rFonts w:hint="eastAsia" w:ascii="Times New Roman" w:hAnsi="Times New Roman"/>
                <w:color w:val="auto"/>
                <w:lang w:val="en-US" w:eastAsia="zh-CN"/>
              </w:rPr>
              <w:t>4</w:t>
            </w:r>
            <w:r>
              <w:rPr>
                <w:rFonts w:hint="default" w:ascii="Times New Roman" w:hAnsi="Times New Roman"/>
                <w:color w:val="auto"/>
                <w:szCs w:val="24"/>
              </w:rPr>
              <w:t>，淤泥检测报告详见附件</w:t>
            </w:r>
            <w:r>
              <w:rPr>
                <w:rFonts w:ascii="Times New Roman" w:hAnsi="Times New Roman"/>
                <w:color w:val="auto"/>
                <w:szCs w:val="24"/>
              </w:rPr>
              <w:t>6</w:t>
            </w:r>
            <w:r>
              <w:rPr>
                <w:rFonts w:hint="default" w:ascii="Times New Roman" w:hAnsi="Times New Roman"/>
                <w:color w:val="auto"/>
              </w:rPr>
              <w:t>。</w:t>
            </w:r>
          </w:p>
          <w:p w14:paraId="6E1AF433">
            <w:pPr>
              <w:ind w:firstLine="422" w:firstLineChars="200"/>
              <w:jc w:val="center"/>
              <w:rPr>
                <w:b/>
                <w:color w:val="auto"/>
                <w:szCs w:val="21"/>
              </w:rPr>
            </w:pPr>
            <w:r>
              <w:rPr>
                <w:b/>
                <w:color w:val="auto"/>
                <w:szCs w:val="21"/>
              </w:rPr>
              <w:t>表3-</w:t>
            </w:r>
            <w:r>
              <w:rPr>
                <w:rFonts w:hint="eastAsia"/>
                <w:b/>
                <w:color w:val="auto"/>
                <w:szCs w:val="21"/>
                <w:lang w:val="en-US" w:eastAsia="zh-CN"/>
              </w:rPr>
              <w:t>3</w:t>
            </w:r>
            <w:r>
              <w:rPr>
                <w:b/>
                <w:color w:val="auto"/>
                <w:szCs w:val="21"/>
              </w:rPr>
              <w:t xml:space="preserve"> 河道底泥环境质量监测布点</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68"/>
              <w:gridCol w:w="3255"/>
              <w:gridCol w:w="2586"/>
            </w:tblGrid>
            <w:tr w14:paraId="517C39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42" w:type="pct"/>
                  <w:vAlign w:val="center"/>
                </w:tcPr>
                <w:p w14:paraId="1B17290A">
                  <w:pPr>
                    <w:jc w:val="center"/>
                    <w:rPr>
                      <w:b/>
                      <w:color w:val="auto"/>
                    </w:rPr>
                  </w:pPr>
                  <w:r>
                    <w:rPr>
                      <w:rFonts w:hint="eastAsia"/>
                      <w:b/>
                      <w:color w:val="auto"/>
                    </w:rPr>
                    <w:t>监测时间</w:t>
                  </w:r>
                </w:p>
              </w:tc>
              <w:tc>
                <w:tcPr>
                  <w:tcW w:w="1982" w:type="pct"/>
                  <w:vAlign w:val="center"/>
                </w:tcPr>
                <w:p w14:paraId="628E164F">
                  <w:pPr>
                    <w:jc w:val="center"/>
                    <w:rPr>
                      <w:b/>
                      <w:bCs/>
                      <w:color w:val="auto"/>
                      <w:szCs w:val="21"/>
                    </w:rPr>
                  </w:pPr>
                  <w:r>
                    <w:rPr>
                      <w:b/>
                      <w:color w:val="auto"/>
                    </w:rPr>
                    <w:t>监测点位置</w:t>
                  </w:r>
                </w:p>
              </w:tc>
              <w:tc>
                <w:tcPr>
                  <w:tcW w:w="1575" w:type="pct"/>
                  <w:vAlign w:val="center"/>
                </w:tcPr>
                <w:p w14:paraId="7FFABEF2">
                  <w:pPr>
                    <w:jc w:val="center"/>
                    <w:rPr>
                      <w:b/>
                      <w:color w:val="auto"/>
                      <w:szCs w:val="21"/>
                    </w:rPr>
                  </w:pPr>
                  <w:r>
                    <w:rPr>
                      <w:b/>
                      <w:bCs/>
                      <w:color w:val="auto"/>
                    </w:rPr>
                    <w:t>采样河流</w:t>
                  </w:r>
                </w:p>
              </w:tc>
            </w:tr>
            <w:tr w14:paraId="0F306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73" w:hRule="atLeast"/>
                <w:jc w:val="center"/>
              </w:trPr>
              <w:tc>
                <w:tcPr>
                  <w:tcW w:w="1442" w:type="pct"/>
                  <w:vMerge w:val="restart"/>
                  <w:vAlign w:val="center"/>
                </w:tcPr>
                <w:p w14:paraId="25B60F5C">
                  <w:pPr>
                    <w:jc w:val="center"/>
                    <w:rPr>
                      <w:color w:val="auto"/>
                      <w:szCs w:val="21"/>
                    </w:rPr>
                  </w:pPr>
                  <w:r>
                    <w:rPr>
                      <w:rFonts w:hint="eastAsia"/>
                      <w:color w:val="auto"/>
                      <w:szCs w:val="21"/>
                    </w:rPr>
                    <w:t>2024.7.23</w:t>
                  </w:r>
                </w:p>
              </w:tc>
              <w:tc>
                <w:tcPr>
                  <w:tcW w:w="1982" w:type="pct"/>
                  <w:vAlign w:val="center"/>
                </w:tcPr>
                <w:p w14:paraId="5477F092">
                  <w:pPr>
                    <w:jc w:val="center"/>
                    <w:rPr>
                      <w:color w:val="auto"/>
                      <w:szCs w:val="21"/>
                    </w:rPr>
                  </w:pPr>
                  <w:r>
                    <w:rPr>
                      <w:color w:val="auto"/>
                      <w:szCs w:val="21"/>
                    </w:rPr>
                    <w:t>漫泗河：漫泗河村段(E118.03992,N36.73000)</w:t>
                  </w:r>
                </w:p>
              </w:tc>
              <w:tc>
                <w:tcPr>
                  <w:tcW w:w="1575" w:type="pct"/>
                  <w:vAlign w:val="center"/>
                </w:tcPr>
                <w:p w14:paraId="1854FB11">
                  <w:pPr>
                    <w:adjustRightInd w:val="0"/>
                    <w:snapToGrid w:val="0"/>
                    <w:spacing w:line="0" w:lineRule="atLeast"/>
                    <w:jc w:val="center"/>
                    <w:rPr>
                      <w:color w:val="auto"/>
                      <w:szCs w:val="21"/>
                    </w:rPr>
                  </w:pPr>
                  <w:r>
                    <w:rPr>
                      <w:color w:val="auto"/>
                      <w:szCs w:val="21"/>
                    </w:rPr>
                    <w:t>漫泗河</w:t>
                  </w:r>
                </w:p>
              </w:tc>
            </w:tr>
            <w:tr w14:paraId="1CAD1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50316CEB">
                  <w:pPr>
                    <w:jc w:val="center"/>
                    <w:rPr>
                      <w:color w:val="auto"/>
                      <w:szCs w:val="21"/>
                    </w:rPr>
                  </w:pPr>
                </w:p>
              </w:tc>
              <w:tc>
                <w:tcPr>
                  <w:tcW w:w="1982" w:type="pct"/>
                  <w:vAlign w:val="center"/>
                </w:tcPr>
                <w:p w14:paraId="132C45CC">
                  <w:pPr>
                    <w:jc w:val="center"/>
                    <w:rPr>
                      <w:color w:val="auto"/>
                      <w:szCs w:val="21"/>
                    </w:rPr>
                  </w:pPr>
                  <w:r>
                    <w:rPr>
                      <w:color w:val="auto"/>
                      <w:szCs w:val="21"/>
                    </w:rPr>
                    <w:t>涝淄河：昌国路下游河段(E118.09452,N36.77414)</w:t>
                  </w:r>
                </w:p>
              </w:tc>
              <w:tc>
                <w:tcPr>
                  <w:tcW w:w="1575" w:type="pct"/>
                  <w:vAlign w:val="center"/>
                </w:tcPr>
                <w:p w14:paraId="247E4F18">
                  <w:pPr>
                    <w:adjustRightInd w:val="0"/>
                    <w:snapToGrid w:val="0"/>
                    <w:spacing w:line="0" w:lineRule="atLeast"/>
                    <w:jc w:val="center"/>
                    <w:rPr>
                      <w:color w:val="auto"/>
                      <w:szCs w:val="21"/>
                    </w:rPr>
                  </w:pPr>
                  <w:r>
                    <w:rPr>
                      <w:color w:val="auto"/>
                      <w:szCs w:val="21"/>
                    </w:rPr>
                    <w:t>涝淄河</w:t>
                  </w:r>
                </w:p>
              </w:tc>
            </w:tr>
            <w:tr w14:paraId="15EA23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375BE995">
                  <w:pPr>
                    <w:jc w:val="center"/>
                    <w:rPr>
                      <w:color w:val="auto"/>
                      <w:szCs w:val="21"/>
                    </w:rPr>
                  </w:pPr>
                </w:p>
              </w:tc>
              <w:tc>
                <w:tcPr>
                  <w:tcW w:w="1982" w:type="pct"/>
                  <w:vAlign w:val="center"/>
                </w:tcPr>
                <w:p w14:paraId="5C1CC840">
                  <w:pPr>
                    <w:jc w:val="center"/>
                    <w:rPr>
                      <w:color w:val="auto"/>
                      <w:szCs w:val="21"/>
                    </w:rPr>
                  </w:pPr>
                  <w:r>
                    <w:rPr>
                      <w:color w:val="auto"/>
                      <w:szCs w:val="21"/>
                    </w:rPr>
                    <w:t>暖水河：车站街下游河段（E118.03240,N36.72867）</w:t>
                  </w:r>
                </w:p>
              </w:tc>
              <w:tc>
                <w:tcPr>
                  <w:tcW w:w="1575" w:type="pct"/>
                  <w:vAlign w:val="center"/>
                </w:tcPr>
                <w:p w14:paraId="573B3842">
                  <w:pPr>
                    <w:adjustRightInd w:val="0"/>
                    <w:snapToGrid w:val="0"/>
                    <w:spacing w:line="0" w:lineRule="atLeast"/>
                    <w:jc w:val="center"/>
                    <w:rPr>
                      <w:color w:val="auto"/>
                      <w:szCs w:val="21"/>
                    </w:rPr>
                  </w:pPr>
                  <w:r>
                    <w:rPr>
                      <w:color w:val="auto"/>
                      <w:szCs w:val="21"/>
                    </w:rPr>
                    <w:t>暖水河</w:t>
                  </w:r>
                </w:p>
              </w:tc>
            </w:tr>
            <w:tr w14:paraId="104DCC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42" w:type="pct"/>
                  <w:vMerge w:val="continue"/>
                  <w:vAlign w:val="center"/>
                </w:tcPr>
                <w:p w14:paraId="52564D73">
                  <w:pPr>
                    <w:jc w:val="center"/>
                    <w:rPr>
                      <w:color w:val="auto"/>
                      <w:szCs w:val="21"/>
                    </w:rPr>
                  </w:pPr>
                </w:p>
              </w:tc>
              <w:tc>
                <w:tcPr>
                  <w:tcW w:w="1982" w:type="pct"/>
                  <w:vAlign w:val="center"/>
                </w:tcPr>
                <w:p w14:paraId="53E60566">
                  <w:pPr>
                    <w:jc w:val="center"/>
                    <w:rPr>
                      <w:color w:val="auto"/>
                      <w:szCs w:val="21"/>
                    </w:rPr>
                  </w:pPr>
                  <w:r>
                    <w:rPr>
                      <w:color w:val="auto"/>
                      <w:szCs w:val="21"/>
                    </w:rPr>
                    <w:t>瓦村沟：柳泉路下游河段（E118.00639,N36.73016）</w:t>
                  </w:r>
                </w:p>
              </w:tc>
              <w:tc>
                <w:tcPr>
                  <w:tcW w:w="1575" w:type="pct"/>
                  <w:vAlign w:val="center"/>
                </w:tcPr>
                <w:p w14:paraId="3A6A04FA">
                  <w:pPr>
                    <w:adjustRightInd w:val="0"/>
                    <w:snapToGrid w:val="0"/>
                    <w:spacing w:line="0" w:lineRule="atLeast"/>
                    <w:jc w:val="center"/>
                    <w:rPr>
                      <w:color w:val="auto"/>
                      <w:szCs w:val="21"/>
                    </w:rPr>
                  </w:pPr>
                  <w:r>
                    <w:rPr>
                      <w:color w:val="auto"/>
                      <w:szCs w:val="21"/>
                    </w:rPr>
                    <w:t>瓦村沟</w:t>
                  </w:r>
                </w:p>
              </w:tc>
            </w:tr>
            <w:tr w14:paraId="26488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13A66BC0">
                  <w:pPr>
                    <w:jc w:val="center"/>
                    <w:rPr>
                      <w:color w:val="auto"/>
                      <w:szCs w:val="21"/>
                    </w:rPr>
                  </w:pPr>
                </w:p>
              </w:tc>
              <w:tc>
                <w:tcPr>
                  <w:tcW w:w="1982" w:type="pct"/>
                  <w:vAlign w:val="center"/>
                </w:tcPr>
                <w:p w14:paraId="7280554D">
                  <w:pPr>
                    <w:jc w:val="center"/>
                    <w:rPr>
                      <w:color w:val="auto"/>
                      <w:szCs w:val="21"/>
                    </w:rPr>
                  </w:pPr>
                  <w:r>
                    <w:rPr>
                      <w:color w:val="auto"/>
                      <w:szCs w:val="21"/>
                    </w:rPr>
                    <w:t>白蛇沟：李家村段（E117.96229,N36.78284）</w:t>
                  </w:r>
                </w:p>
              </w:tc>
              <w:tc>
                <w:tcPr>
                  <w:tcW w:w="1575" w:type="pct"/>
                  <w:vAlign w:val="center"/>
                </w:tcPr>
                <w:p w14:paraId="40555FC9">
                  <w:pPr>
                    <w:adjustRightInd w:val="0"/>
                    <w:snapToGrid w:val="0"/>
                    <w:spacing w:line="0" w:lineRule="atLeast"/>
                    <w:jc w:val="center"/>
                    <w:rPr>
                      <w:color w:val="auto"/>
                      <w:szCs w:val="21"/>
                    </w:rPr>
                  </w:pPr>
                  <w:r>
                    <w:rPr>
                      <w:color w:val="auto"/>
                      <w:szCs w:val="21"/>
                    </w:rPr>
                    <w:t>白蛇沟</w:t>
                  </w:r>
                </w:p>
              </w:tc>
            </w:tr>
            <w:tr w14:paraId="76A45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46CCECB2">
                  <w:pPr>
                    <w:jc w:val="center"/>
                    <w:rPr>
                      <w:color w:val="auto"/>
                      <w:szCs w:val="21"/>
                    </w:rPr>
                  </w:pPr>
                </w:p>
              </w:tc>
              <w:tc>
                <w:tcPr>
                  <w:tcW w:w="1982" w:type="pct"/>
                  <w:vAlign w:val="center"/>
                </w:tcPr>
                <w:p w14:paraId="3EA1468D">
                  <w:pPr>
                    <w:jc w:val="center"/>
                    <w:rPr>
                      <w:color w:val="auto"/>
                      <w:szCs w:val="21"/>
                    </w:rPr>
                  </w:pPr>
                  <w:r>
                    <w:rPr>
                      <w:color w:val="auto"/>
                      <w:szCs w:val="21"/>
                    </w:rPr>
                    <w:t>焕然河：官三村段（E117.93444,N36.73737）</w:t>
                  </w:r>
                </w:p>
              </w:tc>
              <w:tc>
                <w:tcPr>
                  <w:tcW w:w="1575" w:type="pct"/>
                  <w:vAlign w:val="center"/>
                </w:tcPr>
                <w:p w14:paraId="4C1C598D">
                  <w:pPr>
                    <w:adjustRightInd w:val="0"/>
                    <w:snapToGrid w:val="0"/>
                    <w:spacing w:line="0" w:lineRule="atLeast"/>
                    <w:jc w:val="center"/>
                    <w:rPr>
                      <w:color w:val="auto"/>
                      <w:szCs w:val="21"/>
                    </w:rPr>
                  </w:pPr>
                  <w:r>
                    <w:rPr>
                      <w:color w:val="auto"/>
                      <w:szCs w:val="21"/>
                    </w:rPr>
                    <w:t>焕然河</w:t>
                  </w:r>
                </w:p>
              </w:tc>
            </w:tr>
            <w:tr w14:paraId="7B8DB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42" w:type="pct"/>
                  <w:vMerge w:val="restart"/>
                  <w:vAlign w:val="center"/>
                </w:tcPr>
                <w:p w14:paraId="19B43B12">
                  <w:pPr>
                    <w:jc w:val="center"/>
                    <w:rPr>
                      <w:color w:val="auto"/>
                      <w:szCs w:val="21"/>
                    </w:rPr>
                  </w:pPr>
                  <w:r>
                    <w:rPr>
                      <w:rFonts w:hint="eastAsia"/>
                      <w:color w:val="auto"/>
                      <w:szCs w:val="21"/>
                    </w:rPr>
                    <w:t>2025.12.26</w:t>
                  </w:r>
                </w:p>
              </w:tc>
              <w:tc>
                <w:tcPr>
                  <w:tcW w:w="1982" w:type="pct"/>
                  <w:vAlign w:val="center"/>
                </w:tcPr>
                <w:p w14:paraId="324AEF17">
                  <w:pPr>
                    <w:jc w:val="center"/>
                    <w:rPr>
                      <w:color w:val="auto"/>
                      <w:szCs w:val="21"/>
                    </w:rPr>
                  </w:pPr>
                  <w:r>
                    <w:rPr>
                      <w:rFonts w:hint="eastAsia"/>
                      <w:color w:val="auto"/>
                      <w:szCs w:val="21"/>
                    </w:rPr>
                    <w:t>东猪龙河上游：东支（E118.05400,N36.76852）</w:t>
                  </w:r>
                </w:p>
              </w:tc>
              <w:tc>
                <w:tcPr>
                  <w:tcW w:w="1575" w:type="pct"/>
                  <w:vAlign w:val="center"/>
                </w:tcPr>
                <w:p w14:paraId="7FC31F1E">
                  <w:pPr>
                    <w:adjustRightInd w:val="0"/>
                    <w:snapToGrid w:val="0"/>
                    <w:spacing w:line="0" w:lineRule="atLeast"/>
                    <w:jc w:val="center"/>
                    <w:rPr>
                      <w:color w:val="auto"/>
                      <w:szCs w:val="21"/>
                    </w:rPr>
                  </w:pPr>
                  <w:r>
                    <w:rPr>
                      <w:color w:val="auto"/>
                      <w:szCs w:val="21"/>
                    </w:rPr>
                    <w:t>东猪龙河</w:t>
                  </w:r>
                </w:p>
              </w:tc>
            </w:tr>
            <w:tr w14:paraId="7F110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1442" w:type="pct"/>
                  <w:vMerge w:val="continue"/>
                  <w:vAlign w:val="center"/>
                </w:tcPr>
                <w:p w14:paraId="06178B52">
                  <w:pPr>
                    <w:jc w:val="center"/>
                    <w:rPr>
                      <w:color w:val="auto"/>
                      <w:szCs w:val="21"/>
                    </w:rPr>
                  </w:pPr>
                </w:p>
              </w:tc>
              <w:tc>
                <w:tcPr>
                  <w:tcW w:w="1982" w:type="pct"/>
                  <w:vAlign w:val="center"/>
                </w:tcPr>
                <w:p w14:paraId="50487752">
                  <w:pPr>
                    <w:pStyle w:val="2"/>
                    <w:rPr>
                      <w:color w:val="auto"/>
                    </w:rPr>
                  </w:pPr>
                  <w:r>
                    <w:rPr>
                      <w:rFonts w:hint="eastAsia"/>
                      <w:color w:val="auto"/>
                      <w:szCs w:val="21"/>
                    </w:rPr>
                    <w:t>东猪龙河上游：西支（E118.04657,N36.76114）</w:t>
                  </w:r>
                </w:p>
              </w:tc>
              <w:tc>
                <w:tcPr>
                  <w:tcW w:w="1575" w:type="pct"/>
                  <w:vAlign w:val="center"/>
                </w:tcPr>
                <w:p w14:paraId="071656EA">
                  <w:pPr>
                    <w:adjustRightInd w:val="0"/>
                    <w:snapToGrid w:val="0"/>
                    <w:spacing w:line="0" w:lineRule="atLeast"/>
                    <w:jc w:val="center"/>
                    <w:rPr>
                      <w:color w:val="auto"/>
                      <w:szCs w:val="21"/>
                    </w:rPr>
                  </w:pPr>
                  <w:r>
                    <w:rPr>
                      <w:color w:val="auto"/>
                      <w:szCs w:val="21"/>
                    </w:rPr>
                    <w:t>东猪龙河</w:t>
                  </w:r>
                </w:p>
              </w:tc>
            </w:tr>
            <w:tr w14:paraId="4865B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4B0C1B8C">
                  <w:pPr>
                    <w:jc w:val="center"/>
                    <w:rPr>
                      <w:color w:val="auto"/>
                      <w:szCs w:val="21"/>
                    </w:rPr>
                  </w:pPr>
                </w:p>
              </w:tc>
              <w:tc>
                <w:tcPr>
                  <w:tcW w:w="1982" w:type="pct"/>
                  <w:vAlign w:val="center"/>
                </w:tcPr>
                <w:p w14:paraId="2A899803">
                  <w:pPr>
                    <w:jc w:val="center"/>
                    <w:rPr>
                      <w:color w:val="auto"/>
                      <w:szCs w:val="21"/>
                    </w:rPr>
                  </w:pPr>
                  <w:r>
                    <w:rPr>
                      <w:rFonts w:hint="eastAsia"/>
                      <w:color w:val="auto"/>
                      <w:szCs w:val="21"/>
                    </w:rPr>
                    <w:t>三泉沟：矿机路河段（E118.02724,N36.75466）</w:t>
                  </w:r>
                </w:p>
              </w:tc>
              <w:tc>
                <w:tcPr>
                  <w:tcW w:w="1575" w:type="pct"/>
                  <w:vAlign w:val="center"/>
                </w:tcPr>
                <w:p w14:paraId="7B996FDF">
                  <w:pPr>
                    <w:adjustRightInd w:val="0"/>
                    <w:snapToGrid w:val="0"/>
                    <w:spacing w:line="0" w:lineRule="atLeast"/>
                    <w:jc w:val="center"/>
                    <w:rPr>
                      <w:color w:val="auto"/>
                      <w:szCs w:val="21"/>
                    </w:rPr>
                  </w:pPr>
                  <w:r>
                    <w:rPr>
                      <w:color w:val="auto"/>
                      <w:szCs w:val="21"/>
                    </w:rPr>
                    <w:t>三泉沟</w:t>
                  </w:r>
                </w:p>
              </w:tc>
            </w:tr>
            <w:tr w14:paraId="5AEBB8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00C9668B">
                  <w:pPr>
                    <w:jc w:val="center"/>
                    <w:rPr>
                      <w:color w:val="auto"/>
                      <w:szCs w:val="21"/>
                    </w:rPr>
                  </w:pPr>
                </w:p>
              </w:tc>
              <w:tc>
                <w:tcPr>
                  <w:tcW w:w="1982" w:type="pct"/>
                  <w:vAlign w:val="center"/>
                </w:tcPr>
                <w:p w14:paraId="496F9B24">
                  <w:pPr>
                    <w:jc w:val="center"/>
                    <w:rPr>
                      <w:color w:val="auto"/>
                      <w:szCs w:val="21"/>
                    </w:rPr>
                  </w:pPr>
                  <w:r>
                    <w:rPr>
                      <w:rFonts w:hint="eastAsia"/>
                      <w:color w:val="auto"/>
                      <w:szCs w:val="21"/>
                    </w:rPr>
                    <w:t>袁家河：梁家村河段（E117.95790,N36.74328）</w:t>
                  </w:r>
                </w:p>
              </w:tc>
              <w:tc>
                <w:tcPr>
                  <w:tcW w:w="1575" w:type="pct"/>
                  <w:vAlign w:val="center"/>
                </w:tcPr>
                <w:p w14:paraId="599F9A35">
                  <w:pPr>
                    <w:adjustRightInd w:val="0"/>
                    <w:snapToGrid w:val="0"/>
                    <w:spacing w:line="0" w:lineRule="atLeast"/>
                    <w:jc w:val="center"/>
                    <w:rPr>
                      <w:color w:val="auto"/>
                      <w:szCs w:val="21"/>
                    </w:rPr>
                  </w:pPr>
                  <w:r>
                    <w:rPr>
                      <w:rFonts w:hint="eastAsia"/>
                      <w:color w:val="auto"/>
                      <w:szCs w:val="21"/>
                    </w:rPr>
                    <w:t>袁家河</w:t>
                  </w:r>
                </w:p>
              </w:tc>
            </w:tr>
            <w:tr w14:paraId="7AA87F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200A1BAB">
                  <w:pPr>
                    <w:jc w:val="center"/>
                    <w:rPr>
                      <w:color w:val="auto"/>
                      <w:szCs w:val="21"/>
                    </w:rPr>
                  </w:pPr>
                </w:p>
              </w:tc>
              <w:tc>
                <w:tcPr>
                  <w:tcW w:w="1982" w:type="pct"/>
                  <w:vAlign w:val="center"/>
                </w:tcPr>
                <w:p w14:paraId="3ED443B7">
                  <w:pPr>
                    <w:jc w:val="center"/>
                    <w:rPr>
                      <w:color w:val="auto"/>
                      <w:szCs w:val="21"/>
                    </w:rPr>
                  </w:pPr>
                  <w:r>
                    <w:rPr>
                      <w:rFonts w:hint="eastAsia"/>
                      <w:color w:val="auto"/>
                      <w:szCs w:val="21"/>
                    </w:rPr>
                    <w:t>天津路排涝沟：淄河大道河段（E117.96382,N36.74767）</w:t>
                  </w:r>
                </w:p>
              </w:tc>
              <w:tc>
                <w:tcPr>
                  <w:tcW w:w="1575" w:type="pct"/>
                  <w:vAlign w:val="center"/>
                </w:tcPr>
                <w:p w14:paraId="7036A017">
                  <w:pPr>
                    <w:adjustRightInd w:val="0"/>
                    <w:snapToGrid w:val="0"/>
                    <w:spacing w:line="0" w:lineRule="atLeast"/>
                    <w:jc w:val="center"/>
                    <w:rPr>
                      <w:color w:val="auto"/>
                      <w:szCs w:val="21"/>
                    </w:rPr>
                  </w:pPr>
                  <w:r>
                    <w:rPr>
                      <w:rFonts w:hint="eastAsia"/>
                      <w:color w:val="auto"/>
                      <w:szCs w:val="21"/>
                    </w:rPr>
                    <w:t>天津路排涝沟</w:t>
                  </w:r>
                </w:p>
              </w:tc>
            </w:tr>
            <w:tr w14:paraId="038A37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2D36EA4A">
                  <w:pPr>
                    <w:jc w:val="center"/>
                    <w:rPr>
                      <w:color w:val="auto"/>
                      <w:szCs w:val="21"/>
                    </w:rPr>
                  </w:pPr>
                </w:p>
              </w:tc>
              <w:tc>
                <w:tcPr>
                  <w:tcW w:w="1982" w:type="pct"/>
                  <w:vAlign w:val="center"/>
                </w:tcPr>
                <w:p w14:paraId="2EC6D5A7">
                  <w:pPr>
                    <w:jc w:val="center"/>
                    <w:rPr>
                      <w:color w:val="auto"/>
                      <w:szCs w:val="21"/>
                    </w:rPr>
                  </w:pPr>
                  <w:r>
                    <w:rPr>
                      <w:rFonts w:hint="eastAsia"/>
                      <w:color w:val="auto"/>
                      <w:szCs w:val="21"/>
                    </w:rPr>
                    <w:t>小旦村排涝沟：下游河段（E118.04527,N36.72868）</w:t>
                  </w:r>
                </w:p>
              </w:tc>
              <w:tc>
                <w:tcPr>
                  <w:tcW w:w="1575" w:type="pct"/>
                  <w:vAlign w:val="center"/>
                </w:tcPr>
                <w:p w14:paraId="1CFF270F">
                  <w:pPr>
                    <w:adjustRightInd w:val="0"/>
                    <w:snapToGrid w:val="0"/>
                    <w:spacing w:line="0" w:lineRule="atLeast"/>
                    <w:jc w:val="center"/>
                    <w:rPr>
                      <w:color w:val="auto"/>
                      <w:szCs w:val="21"/>
                    </w:rPr>
                  </w:pPr>
                  <w:r>
                    <w:rPr>
                      <w:rFonts w:hint="eastAsia"/>
                      <w:color w:val="auto"/>
                      <w:szCs w:val="21"/>
                    </w:rPr>
                    <w:t>小旦村排涝沟</w:t>
                  </w:r>
                </w:p>
              </w:tc>
            </w:tr>
            <w:tr w14:paraId="5D20D0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1442" w:type="pct"/>
                  <w:vMerge w:val="continue"/>
                  <w:vAlign w:val="center"/>
                </w:tcPr>
                <w:p w14:paraId="6881F28A">
                  <w:pPr>
                    <w:jc w:val="center"/>
                    <w:rPr>
                      <w:color w:val="auto"/>
                      <w:szCs w:val="21"/>
                    </w:rPr>
                  </w:pPr>
                </w:p>
              </w:tc>
              <w:tc>
                <w:tcPr>
                  <w:tcW w:w="1982" w:type="pct"/>
                  <w:vAlign w:val="center"/>
                </w:tcPr>
                <w:p w14:paraId="5C427B90">
                  <w:pPr>
                    <w:jc w:val="center"/>
                    <w:rPr>
                      <w:color w:val="auto"/>
                      <w:szCs w:val="21"/>
                    </w:rPr>
                  </w:pPr>
                  <w:r>
                    <w:rPr>
                      <w:rFonts w:hint="eastAsia"/>
                      <w:color w:val="auto"/>
                      <w:szCs w:val="21"/>
                    </w:rPr>
                    <w:t>大高村排涝沟：下游河段（E118.11222,N36.76348）</w:t>
                  </w:r>
                </w:p>
              </w:tc>
              <w:tc>
                <w:tcPr>
                  <w:tcW w:w="1575" w:type="pct"/>
                  <w:vAlign w:val="center"/>
                </w:tcPr>
                <w:p w14:paraId="7D8B1E92">
                  <w:pPr>
                    <w:adjustRightInd w:val="0"/>
                    <w:snapToGrid w:val="0"/>
                    <w:spacing w:line="0" w:lineRule="atLeast"/>
                    <w:jc w:val="center"/>
                    <w:rPr>
                      <w:color w:val="auto"/>
                      <w:szCs w:val="21"/>
                    </w:rPr>
                  </w:pPr>
                  <w:r>
                    <w:rPr>
                      <w:rFonts w:hint="eastAsia"/>
                      <w:color w:val="auto"/>
                      <w:szCs w:val="21"/>
                    </w:rPr>
                    <w:t>大高村排涝沟</w:t>
                  </w:r>
                </w:p>
              </w:tc>
            </w:tr>
          </w:tbl>
          <w:p w14:paraId="4EE7177E">
            <w:pPr>
              <w:jc w:val="center"/>
              <w:rPr>
                <w:color w:val="auto"/>
              </w:rPr>
            </w:pPr>
            <w:r>
              <w:rPr>
                <w:b/>
                <w:color w:val="auto"/>
                <w:szCs w:val="21"/>
              </w:rPr>
              <w:t>表3-</w:t>
            </w:r>
            <w:r>
              <w:rPr>
                <w:rFonts w:hint="eastAsia"/>
                <w:b/>
                <w:color w:val="auto"/>
                <w:szCs w:val="21"/>
                <w:lang w:val="en-US" w:eastAsia="zh-CN"/>
              </w:rPr>
              <w:t>4</w:t>
            </w:r>
            <w:r>
              <w:rPr>
                <w:b/>
                <w:color w:val="auto"/>
                <w:szCs w:val="21"/>
              </w:rPr>
              <w:t xml:space="preserve"> 河道底泥现状监测结果（</w:t>
            </w:r>
            <w:r>
              <w:rPr>
                <w:color w:val="auto"/>
                <w:kern w:val="0"/>
                <w:sz w:val="22"/>
                <w:szCs w:val="22"/>
                <w:lang w:bidi="ar"/>
              </w:rPr>
              <w:t>单位：</w:t>
            </w:r>
            <w:r>
              <w:rPr>
                <w:color w:val="auto"/>
                <w:kern w:val="0"/>
                <w:szCs w:val="21"/>
                <w:lang w:bidi="ar"/>
              </w:rPr>
              <w:t>mg/kg</w:t>
            </w:r>
            <w:r>
              <w:rPr>
                <w:b/>
                <w:color w:val="auto"/>
                <w:szCs w:val="21"/>
              </w:rPr>
              <w:t>）</w:t>
            </w:r>
          </w:p>
          <w:tbl>
            <w:tblPr>
              <w:tblStyle w:val="20"/>
              <w:tblW w:w="821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426"/>
              <w:gridCol w:w="3113"/>
              <w:gridCol w:w="704"/>
              <w:gridCol w:w="608"/>
              <w:gridCol w:w="601"/>
              <w:gridCol w:w="548"/>
              <w:gridCol w:w="546"/>
              <w:gridCol w:w="584"/>
              <w:gridCol w:w="548"/>
              <w:gridCol w:w="541"/>
            </w:tblGrid>
            <w:tr w14:paraId="5AF3DD8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84" w:hRule="atLeast"/>
                <w:jc w:val="center"/>
              </w:trPr>
              <w:tc>
                <w:tcPr>
                  <w:tcW w:w="3539" w:type="dxa"/>
                  <w:gridSpan w:val="2"/>
                  <w:tcBorders>
                    <w:tl2br w:val="nil"/>
                    <w:tr2bl w:val="nil"/>
                  </w:tcBorders>
                  <w:shd w:val="clear" w:color="auto" w:fill="auto"/>
                  <w:vAlign w:val="center"/>
                </w:tcPr>
                <w:p w14:paraId="127D1917">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采样日期</w:t>
                  </w:r>
                </w:p>
              </w:tc>
              <w:tc>
                <w:tcPr>
                  <w:tcW w:w="4680" w:type="dxa"/>
                  <w:gridSpan w:val="8"/>
                  <w:tcBorders>
                    <w:tl2br w:val="nil"/>
                    <w:tr2bl w:val="nil"/>
                  </w:tcBorders>
                  <w:shd w:val="clear" w:color="auto" w:fill="auto"/>
                  <w:vAlign w:val="center"/>
                </w:tcPr>
                <w:p w14:paraId="6438327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2024.7.23</w:t>
                  </w:r>
                </w:p>
              </w:tc>
            </w:tr>
            <w:tr w14:paraId="497BFF5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4" w:hRule="atLeast"/>
                <w:jc w:val="center"/>
              </w:trPr>
              <w:tc>
                <w:tcPr>
                  <w:tcW w:w="3539" w:type="dxa"/>
                  <w:gridSpan w:val="2"/>
                  <w:tcBorders>
                    <w:tl2br w:val="nil"/>
                    <w:tr2bl w:val="nil"/>
                  </w:tcBorders>
                  <w:shd w:val="clear" w:color="auto" w:fill="auto"/>
                  <w:noWrap/>
                  <w:vAlign w:val="center"/>
                </w:tcPr>
                <w:p w14:paraId="5886AB5B">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检测项目</w:t>
                  </w:r>
                </w:p>
              </w:tc>
              <w:tc>
                <w:tcPr>
                  <w:tcW w:w="704" w:type="dxa"/>
                  <w:tcBorders>
                    <w:tl2br w:val="nil"/>
                    <w:tr2bl w:val="nil"/>
                  </w:tcBorders>
                  <w:shd w:val="clear" w:color="auto" w:fill="auto"/>
                  <w:vAlign w:val="center"/>
                </w:tcPr>
                <w:p w14:paraId="4168B30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汞</w:t>
                  </w:r>
                </w:p>
              </w:tc>
              <w:tc>
                <w:tcPr>
                  <w:tcW w:w="608" w:type="dxa"/>
                  <w:tcBorders>
                    <w:tl2br w:val="nil"/>
                    <w:tr2bl w:val="nil"/>
                  </w:tcBorders>
                  <w:shd w:val="clear" w:color="auto" w:fill="auto"/>
                  <w:vAlign w:val="center"/>
                </w:tcPr>
                <w:p w14:paraId="68A9D04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砷</w:t>
                  </w:r>
                </w:p>
              </w:tc>
              <w:tc>
                <w:tcPr>
                  <w:tcW w:w="601" w:type="dxa"/>
                  <w:tcBorders>
                    <w:tl2br w:val="nil"/>
                    <w:tr2bl w:val="nil"/>
                  </w:tcBorders>
                  <w:shd w:val="clear" w:color="auto" w:fill="auto"/>
                  <w:vAlign w:val="center"/>
                </w:tcPr>
                <w:p w14:paraId="55A792A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镉</w:t>
                  </w:r>
                </w:p>
              </w:tc>
              <w:tc>
                <w:tcPr>
                  <w:tcW w:w="548" w:type="dxa"/>
                  <w:tcBorders>
                    <w:tl2br w:val="nil"/>
                    <w:tr2bl w:val="nil"/>
                  </w:tcBorders>
                  <w:shd w:val="clear" w:color="auto" w:fill="auto"/>
                  <w:vAlign w:val="center"/>
                </w:tcPr>
                <w:p w14:paraId="18B2C5C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铅</w:t>
                  </w:r>
                </w:p>
              </w:tc>
              <w:tc>
                <w:tcPr>
                  <w:tcW w:w="546" w:type="dxa"/>
                  <w:tcBorders>
                    <w:tl2br w:val="nil"/>
                    <w:tr2bl w:val="nil"/>
                  </w:tcBorders>
                  <w:shd w:val="clear" w:color="auto" w:fill="auto"/>
                  <w:vAlign w:val="center"/>
                </w:tcPr>
                <w:p w14:paraId="1D59147E">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锌</w:t>
                  </w:r>
                </w:p>
              </w:tc>
              <w:tc>
                <w:tcPr>
                  <w:tcW w:w="584" w:type="dxa"/>
                  <w:tcBorders>
                    <w:tl2br w:val="nil"/>
                    <w:tr2bl w:val="nil"/>
                  </w:tcBorders>
                  <w:shd w:val="clear" w:color="auto" w:fill="auto"/>
                  <w:vAlign w:val="center"/>
                </w:tcPr>
                <w:p w14:paraId="7D73F30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铬</w:t>
                  </w:r>
                </w:p>
              </w:tc>
              <w:tc>
                <w:tcPr>
                  <w:tcW w:w="548" w:type="dxa"/>
                  <w:tcBorders>
                    <w:tl2br w:val="nil"/>
                    <w:tr2bl w:val="nil"/>
                  </w:tcBorders>
                  <w:shd w:val="clear" w:color="auto" w:fill="auto"/>
                  <w:vAlign w:val="center"/>
                </w:tcPr>
                <w:p w14:paraId="643F116F">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铜</w:t>
                  </w:r>
                </w:p>
              </w:tc>
              <w:tc>
                <w:tcPr>
                  <w:tcW w:w="541" w:type="dxa"/>
                  <w:tcBorders>
                    <w:tl2br w:val="nil"/>
                    <w:tr2bl w:val="nil"/>
                  </w:tcBorders>
                  <w:shd w:val="clear" w:color="auto" w:fill="auto"/>
                  <w:vAlign w:val="center"/>
                </w:tcPr>
                <w:p w14:paraId="628CAAA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镍</w:t>
                  </w:r>
                </w:p>
              </w:tc>
            </w:tr>
            <w:tr w14:paraId="0A6AAE4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93" w:hRule="atLeast"/>
                <w:jc w:val="center"/>
              </w:trPr>
              <w:tc>
                <w:tcPr>
                  <w:tcW w:w="426" w:type="dxa"/>
                  <w:vMerge w:val="restart"/>
                  <w:tcBorders>
                    <w:tl2br w:val="nil"/>
                    <w:tr2bl w:val="nil"/>
                  </w:tcBorders>
                  <w:shd w:val="clear" w:color="auto" w:fill="auto"/>
                  <w:noWrap/>
                  <w:vAlign w:val="center"/>
                </w:tcPr>
                <w:p w14:paraId="34FFA6AA">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检测结果</w:t>
                  </w:r>
                </w:p>
              </w:tc>
              <w:tc>
                <w:tcPr>
                  <w:tcW w:w="3113" w:type="dxa"/>
                  <w:tcBorders>
                    <w:tl2br w:val="nil"/>
                    <w:tr2bl w:val="nil"/>
                  </w:tcBorders>
                  <w:shd w:val="clear" w:color="auto" w:fill="auto"/>
                  <w:vAlign w:val="center"/>
                </w:tcPr>
                <w:p w14:paraId="4EA99D7A">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漫泗河：漫泗河村段1#</w:t>
                  </w:r>
                </w:p>
                <w:p w14:paraId="5C0B235E">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(E118.03992,N36.73000)</w:t>
                  </w:r>
                </w:p>
              </w:tc>
              <w:tc>
                <w:tcPr>
                  <w:tcW w:w="704" w:type="dxa"/>
                  <w:tcBorders>
                    <w:tl2br w:val="nil"/>
                    <w:tr2bl w:val="nil"/>
                  </w:tcBorders>
                  <w:shd w:val="clear" w:color="auto" w:fill="auto"/>
                  <w:vAlign w:val="center"/>
                </w:tcPr>
                <w:p w14:paraId="3258A30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0.046</w:t>
                  </w:r>
                </w:p>
              </w:tc>
              <w:tc>
                <w:tcPr>
                  <w:tcW w:w="608" w:type="dxa"/>
                  <w:tcBorders>
                    <w:tl2br w:val="nil"/>
                    <w:tr2bl w:val="nil"/>
                  </w:tcBorders>
                  <w:shd w:val="clear" w:color="auto" w:fill="auto"/>
                  <w:vAlign w:val="center"/>
                </w:tcPr>
                <w:p w14:paraId="0D72B071">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1.82</w:t>
                  </w:r>
                </w:p>
              </w:tc>
              <w:tc>
                <w:tcPr>
                  <w:tcW w:w="601" w:type="dxa"/>
                  <w:tcBorders>
                    <w:tl2br w:val="nil"/>
                    <w:tr2bl w:val="nil"/>
                  </w:tcBorders>
                  <w:shd w:val="clear" w:color="auto" w:fill="auto"/>
                  <w:vAlign w:val="center"/>
                </w:tcPr>
                <w:p w14:paraId="03E78651">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0.3</w:t>
                  </w:r>
                </w:p>
              </w:tc>
              <w:tc>
                <w:tcPr>
                  <w:tcW w:w="548" w:type="dxa"/>
                  <w:tcBorders>
                    <w:tl2br w:val="nil"/>
                    <w:tr2bl w:val="nil"/>
                  </w:tcBorders>
                  <w:shd w:val="clear" w:color="auto" w:fill="auto"/>
                  <w:vAlign w:val="center"/>
                </w:tcPr>
                <w:p w14:paraId="64188BCB">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34</w:t>
                  </w:r>
                </w:p>
              </w:tc>
              <w:tc>
                <w:tcPr>
                  <w:tcW w:w="546" w:type="dxa"/>
                  <w:tcBorders>
                    <w:tl2br w:val="nil"/>
                    <w:tr2bl w:val="nil"/>
                  </w:tcBorders>
                  <w:shd w:val="clear" w:color="auto" w:fill="auto"/>
                  <w:vAlign w:val="center"/>
                </w:tcPr>
                <w:p w14:paraId="1CB7D7B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48</w:t>
                  </w:r>
                </w:p>
              </w:tc>
              <w:tc>
                <w:tcPr>
                  <w:tcW w:w="584" w:type="dxa"/>
                  <w:tcBorders>
                    <w:tl2br w:val="nil"/>
                    <w:tr2bl w:val="nil"/>
                  </w:tcBorders>
                  <w:shd w:val="clear" w:color="auto" w:fill="auto"/>
                  <w:vAlign w:val="center"/>
                </w:tcPr>
                <w:p w14:paraId="53DA7F2F">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42</w:t>
                  </w:r>
                </w:p>
              </w:tc>
              <w:tc>
                <w:tcPr>
                  <w:tcW w:w="548" w:type="dxa"/>
                  <w:tcBorders>
                    <w:tl2br w:val="nil"/>
                    <w:tr2bl w:val="nil"/>
                  </w:tcBorders>
                  <w:shd w:val="clear" w:color="auto" w:fill="auto"/>
                  <w:vAlign w:val="center"/>
                </w:tcPr>
                <w:p w14:paraId="004E1EC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22</w:t>
                  </w:r>
                </w:p>
              </w:tc>
              <w:tc>
                <w:tcPr>
                  <w:tcW w:w="541" w:type="dxa"/>
                  <w:tcBorders>
                    <w:tl2br w:val="nil"/>
                    <w:tr2bl w:val="nil"/>
                  </w:tcBorders>
                  <w:shd w:val="clear" w:color="auto" w:fill="auto"/>
                  <w:vAlign w:val="center"/>
                </w:tcPr>
                <w:p w14:paraId="4FFF263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22</w:t>
                  </w:r>
                </w:p>
              </w:tc>
            </w:tr>
            <w:tr w14:paraId="7C36B59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39ABCF67">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0F40697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涝淄河：昌国路下游河段</w:t>
                  </w:r>
                  <w:r>
                    <w:rPr>
                      <w:rStyle w:val="44"/>
                      <w:rFonts w:hint="default" w:ascii="Times New Roman" w:hAnsi="Times New Roman" w:eastAsia="宋体" w:cs="Times New Roman"/>
                      <w:color w:val="auto"/>
                      <w:sz w:val="21"/>
                      <w:szCs w:val="21"/>
                      <w:lang w:bidi="ar"/>
                    </w:rPr>
                    <w:t>2# (E118.09452,N36.77414)</w:t>
                  </w:r>
                </w:p>
              </w:tc>
              <w:tc>
                <w:tcPr>
                  <w:tcW w:w="704" w:type="dxa"/>
                  <w:tcBorders>
                    <w:tl2br w:val="nil"/>
                    <w:tr2bl w:val="nil"/>
                  </w:tcBorders>
                  <w:shd w:val="clear" w:color="auto" w:fill="auto"/>
                  <w:vAlign w:val="center"/>
                </w:tcPr>
                <w:p w14:paraId="351A421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0.034</w:t>
                  </w:r>
                </w:p>
              </w:tc>
              <w:tc>
                <w:tcPr>
                  <w:tcW w:w="608" w:type="dxa"/>
                  <w:tcBorders>
                    <w:tl2br w:val="nil"/>
                    <w:tr2bl w:val="nil"/>
                  </w:tcBorders>
                  <w:shd w:val="clear" w:color="auto" w:fill="auto"/>
                  <w:vAlign w:val="center"/>
                </w:tcPr>
                <w:p w14:paraId="4B67042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1.45</w:t>
                  </w:r>
                </w:p>
              </w:tc>
              <w:tc>
                <w:tcPr>
                  <w:tcW w:w="601" w:type="dxa"/>
                  <w:tcBorders>
                    <w:tl2br w:val="nil"/>
                    <w:tr2bl w:val="nil"/>
                  </w:tcBorders>
                  <w:shd w:val="clear" w:color="auto" w:fill="auto"/>
                  <w:vAlign w:val="center"/>
                </w:tcPr>
                <w:p w14:paraId="4A1695FF">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0.26</w:t>
                  </w:r>
                </w:p>
              </w:tc>
              <w:tc>
                <w:tcPr>
                  <w:tcW w:w="548" w:type="dxa"/>
                  <w:tcBorders>
                    <w:tl2br w:val="nil"/>
                    <w:tr2bl w:val="nil"/>
                  </w:tcBorders>
                  <w:shd w:val="clear" w:color="auto" w:fill="auto"/>
                  <w:vAlign w:val="center"/>
                </w:tcPr>
                <w:p w14:paraId="5F8524F6">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28</w:t>
                  </w:r>
                </w:p>
              </w:tc>
              <w:tc>
                <w:tcPr>
                  <w:tcW w:w="546" w:type="dxa"/>
                  <w:tcBorders>
                    <w:tl2br w:val="nil"/>
                    <w:tr2bl w:val="nil"/>
                  </w:tcBorders>
                  <w:shd w:val="clear" w:color="auto" w:fill="auto"/>
                  <w:vAlign w:val="center"/>
                </w:tcPr>
                <w:p w14:paraId="11E7DC9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45</w:t>
                  </w:r>
                </w:p>
              </w:tc>
              <w:tc>
                <w:tcPr>
                  <w:tcW w:w="584" w:type="dxa"/>
                  <w:tcBorders>
                    <w:tl2br w:val="nil"/>
                    <w:tr2bl w:val="nil"/>
                  </w:tcBorders>
                  <w:shd w:val="clear" w:color="auto" w:fill="auto"/>
                  <w:vAlign w:val="center"/>
                </w:tcPr>
                <w:p w14:paraId="070663E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35</w:t>
                  </w:r>
                </w:p>
              </w:tc>
              <w:tc>
                <w:tcPr>
                  <w:tcW w:w="548" w:type="dxa"/>
                  <w:tcBorders>
                    <w:tl2br w:val="nil"/>
                    <w:tr2bl w:val="nil"/>
                  </w:tcBorders>
                  <w:shd w:val="clear" w:color="auto" w:fill="auto"/>
                  <w:vAlign w:val="center"/>
                </w:tcPr>
                <w:p w14:paraId="1B34312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20</w:t>
                  </w:r>
                </w:p>
              </w:tc>
              <w:tc>
                <w:tcPr>
                  <w:tcW w:w="541" w:type="dxa"/>
                  <w:tcBorders>
                    <w:tl2br w:val="nil"/>
                    <w:tr2bl w:val="nil"/>
                  </w:tcBorders>
                  <w:shd w:val="clear" w:color="auto" w:fill="auto"/>
                  <w:vAlign w:val="center"/>
                </w:tcPr>
                <w:p w14:paraId="3C4D4AA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21</w:t>
                  </w:r>
                </w:p>
              </w:tc>
            </w:tr>
            <w:tr w14:paraId="1DE96EC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59E0A35D">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19E8146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暖水河：车站街下游河段</w:t>
                  </w:r>
                  <w:r>
                    <w:rPr>
                      <w:rStyle w:val="44"/>
                      <w:rFonts w:hint="default" w:ascii="Times New Roman" w:hAnsi="Times New Roman" w:eastAsia="宋体" w:cs="Times New Roman"/>
                      <w:color w:val="auto"/>
                      <w:sz w:val="21"/>
                      <w:szCs w:val="21"/>
                      <w:lang w:bidi="ar"/>
                    </w:rPr>
                    <w:t>3#(E118.03240,N36.72867)</w:t>
                  </w:r>
                </w:p>
              </w:tc>
              <w:tc>
                <w:tcPr>
                  <w:tcW w:w="704" w:type="dxa"/>
                  <w:tcBorders>
                    <w:tl2br w:val="nil"/>
                    <w:tr2bl w:val="nil"/>
                  </w:tcBorders>
                  <w:shd w:val="clear" w:color="auto" w:fill="auto"/>
                  <w:vAlign w:val="center"/>
                </w:tcPr>
                <w:p w14:paraId="7763A9A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0.032</w:t>
                  </w:r>
                </w:p>
              </w:tc>
              <w:tc>
                <w:tcPr>
                  <w:tcW w:w="608" w:type="dxa"/>
                  <w:tcBorders>
                    <w:tl2br w:val="nil"/>
                    <w:tr2bl w:val="nil"/>
                  </w:tcBorders>
                  <w:shd w:val="clear" w:color="auto" w:fill="auto"/>
                  <w:vAlign w:val="center"/>
                </w:tcPr>
                <w:p w14:paraId="45705DA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1.27</w:t>
                  </w:r>
                </w:p>
              </w:tc>
              <w:tc>
                <w:tcPr>
                  <w:tcW w:w="601" w:type="dxa"/>
                  <w:tcBorders>
                    <w:tl2br w:val="nil"/>
                    <w:tr2bl w:val="nil"/>
                  </w:tcBorders>
                  <w:shd w:val="clear" w:color="auto" w:fill="auto"/>
                  <w:vAlign w:val="center"/>
                </w:tcPr>
                <w:p w14:paraId="02C4F456">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0.29</w:t>
                  </w:r>
                </w:p>
              </w:tc>
              <w:tc>
                <w:tcPr>
                  <w:tcW w:w="548" w:type="dxa"/>
                  <w:tcBorders>
                    <w:tl2br w:val="nil"/>
                    <w:tr2bl w:val="nil"/>
                  </w:tcBorders>
                  <w:shd w:val="clear" w:color="auto" w:fill="auto"/>
                  <w:vAlign w:val="center"/>
                </w:tcPr>
                <w:p w14:paraId="58DE2A9B">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33</w:t>
                  </w:r>
                </w:p>
              </w:tc>
              <w:tc>
                <w:tcPr>
                  <w:tcW w:w="546" w:type="dxa"/>
                  <w:tcBorders>
                    <w:tl2br w:val="nil"/>
                    <w:tr2bl w:val="nil"/>
                  </w:tcBorders>
                  <w:shd w:val="clear" w:color="auto" w:fill="auto"/>
                  <w:vAlign w:val="center"/>
                </w:tcPr>
                <w:p w14:paraId="5E15725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48</w:t>
                  </w:r>
                </w:p>
              </w:tc>
              <w:tc>
                <w:tcPr>
                  <w:tcW w:w="584" w:type="dxa"/>
                  <w:tcBorders>
                    <w:tl2br w:val="nil"/>
                    <w:tr2bl w:val="nil"/>
                  </w:tcBorders>
                  <w:shd w:val="clear" w:color="auto" w:fill="auto"/>
                  <w:vAlign w:val="center"/>
                </w:tcPr>
                <w:p w14:paraId="77CFA7D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43</w:t>
                  </w:r>
                </w:p>
              </w:tc>
              <w:tc>
                <w:tcPr>
                  <w:tcW w:w="548" w:type="dxa"/>
                  <w:tcBorders>
                    <w:tl2br w:val="nil"/>
                    <w:tr2bl w:val="nil"/>
                  </w:tcBorders>
                  <w:shd w:val="clear" w:color="auto" w:fill="auto"/>
                  <w:vAlign w:val="center"/>
                </w:tcPr>
                <w:p w14:paraId="74673DE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23</w:t>
                  </w:r>
                </w:p>
              </w:tc>
              <w:tc>
                <w:tcPr>
                  <w:tcW w:w="541" w:type="dxa"/>
                  <w:tcBorders>
                    <w:tl2br w:val="nil"/>
                    <w:tr2bl w:val="nil"/>
                  </w:tcBorders>
                  <w:shd w:val="clear" w:color="auto" w:fill="auto"/>
                  <w:vAlign w:val="center"/>
                </w:tcPr>
                <w:p w14:paraId="37BE630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22</w:t>
                  </w:r>
                </w:p>
              </w:tc>
            </w:tr>
            <w:tr w14:paraId="2D56A60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1F4C0929">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4308323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瓦村沟：柳泉路下游河段</w:t>
                  </w:r>
                  <w:r>
                    <w:rPr>
                      <w:rStyle w:val="44"/>
                      <w:rFonts w:hint="default" w:ascii="Times New Roman" w:hAnsi="Times New Roman" w:eastAsia="宋体" w:cs="Times New Roman"/>
                      <w:color w:val="auto"/>
                      <w:sz w:val="21"/>
                      <w:szCs w:val="21"/>
                      <w:lang w:bidi="ar"/>
                    </w:rPr>
                    <w:t>4#(E118.00639,N36.73016)</w:t>
                  </w:r>
                </w:p>
              </w:tc>
              <w:tc>
                <w:tcPr>
                  <w:tcW w:w="704" w:type="dxa"/>
                  <w:tcBorders>
                    <w:tl2br w:val="nil"/>
                    <w:tr2bl w:val="nil"/>
                  </w:tcBorders>
                  <w:shd w:val="clear" w:color="auto" w:fill="auto"/>
                  <w:vAlign w:val="center"/>
                </w:tcPr>
                <w:p w14:paraId="2C7AB33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0.033</w:t>
                  </w:r>
                </w:p>
              </w:tc>
              <w:tc>
                <w:tcPr>
                  <w:tcW w:w="608" w:type="dxa"/>
                  <w:tcBorders>
                    <w:tl2br w:val="nil"/>
                    <w:tr2bl w:val="nil"/>
                  </w:tcBorders>
                  <w:shd w:val="clear" w:color="auto" w:fill="auto"/>
                  <w:vAlign w:val="center"/>
                </w:tcPr>
                <w:p w14:paraId="7A3ABD11">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3.12</w:t>
                  </w:r>
                </w:p>
              </w:tc>
              <w:tc>
                <w:tcPr>
                  <w:tcW w:w="601" w:type="dxa"/>
                  <w:tcBorders>
                    <w:tl2br w:val="nil"/>
                    <w:tr2bl w:val="nil"/>
                  </w:tcBorders>
                  <w:shd w:val="clear" w:color="auto" w:fill="auto"/>
                  <w:vAlign w:val="center"/>
                </w:tcPr>
                <w:p w14:paraId="3A741ED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0.34</w:t>
                  </w:r>
                </w:p>
              </w:tc>
              <w:tc>
                <w:tcPr>
                  <w:tcW w:w="548" w:type="dxa"/>
                  <w:tcBorders>
                    <w:tl2br w:val="nil"/>
                    <w:tr2bl w:val="nil"/>
                  </w:tcBorders>
                  <w:shd w:val="clear" w:color="auto" w:fill="auto"/>
                  <w:vAlign w:val="center"/>
                </w:tcPr>
                <w:p w14:paraId="13CF62F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35</w:t>
                  </w:r>
                </w:p>
              </w:tc>
              <w:tc>
                <w:tcPr>
                  <w:tcW w:w="546" w:type="dxa"/>
                  <w:tcBorders>
                    <w:tl2br w:val="nil"/>
                    <w:tr2bl w:val="nil"/>
                  </w:tcBorders>
                  <w:shd w:val="clear" w:color="auto" w:fill="auto"/>
                  <w:vAlign w:val="center"/>
                </w:tcPr>
                <w:p w14:paraId="161551B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53</w:t>
                  </w:r>
                </w:p>
              </w:tc>
              <w:tc>
                <w:tcPr>
                  <w:tcW w:w="584" w:type="dxa"/>
                  <w:tcBorders>
                    <w:tl2br w:val="nil"/>
                    <w:tr2bl w:val="nil"/>
                  </w:tcBorders>
                  <w:shd w:val="clear" w:color="auto" w:fill="auto"/>
                  <w:vAlign w:val="center"/>
                </w:tcPr>
                <w:p w14:paraId="4AEB953E">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42</w:t>
                  </w:r>
                </w:p>
              </w:tc>
              <w:tc>
                <w:tcPr>
                  <w:tcW w:w="548" w:type="dxa"/>
                  <w:tcBorders>
                    <w:tl2br w:val="nil"/>
                    <w:tr2bl w:val="nil"/>
                  </w:tcBorders>
                  <w:shd w:val="clear" w:color="auto" w:fill="auto"/>
                  <w:vAlign w:val="center"/>
                </w:tcPr>
                <w:p w14:paraId="4AC9503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26</w:t>
                  </w:r>
                </w:p>
              </w:tc>
              <w:tc>
                <w:tcPr>
                  <w:tcW w:w="541" w:type="dxa"/>
                  <w:tcBorders>
                    <w:tl2br w:val="nil"/>
                    <w:tr2bl w:val="nil"/>
                  </w:tcBorders>
                  <w:shd w:val="clear" w:color="auto" w:fill="auto"/>
                  <w:vAlign w:val="center"/>
                </w:tcPr>
                <w:p w14:paraId="28179FB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26</w:t>
                  </w:r>
                </w:p>
              </w:tc>
            </w:tr>
            <w:tr w14:paraId="632418D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702CABD1">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7CC85720">
                  <w:pPr>
                    <w:widowControl/>
                    <w:jc w:val="center"/>
                    <w:textAlignment w:val="center"/>
                    <w:rPr>
                      <w:rStyle w:val="44"/>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白蛇沟：李家村段</w:t>
                  </w:r>
                  <w:r>
                    <w:rPr>
                      <w:rStyle w:val="44"/>
                      <w:rFonts w:hint="default" w:ascii="Times New Roman" w:hAnsi="Times New Roman" w:eastAsia="宋体" w:cs="Times New Roman"/>
                      <w:color w:val="auto"/>
                      <w:sz w:val="21"/>
                      <w:szCs w:val="21"/>
                      <w:lang w:bidi="ar"/>
                    </w:rPr>
                    <w:t>6#</w:t>
                  </w:r>
                </w:p>
                <w:p w14:paraId="2CC35D8A">
                  <w:pPr>
                    <w:widowControl/>
                    <w:jc w:val="center"/>
                    <w:textAlignment w:val="center"/>
                    <w:rPr>
                      <w:rFonts w:hint="default" w:ascii="Times New Roman" w:hAnsi="Times New Roman" w:eastAsia="宋体" w:cs="Times New Roman"/>
                      <w:color w:val="auto"/>
                      <w:sz w:val="21"/>
                      <w:szCs w:val="21"/>
                    </w:rPr>
                  </w:pPr>
                  <w:r>
                    <w:rPr>
                      <w:rStyle w:val="44"/>
                      <w:rFonts w:hint="default" w:ascii="Times New Roman" w:hAnsi="Times New Roman" w:eastAsia="宋体" w:cs="Times New Roman"/>
                      <w:color w:val="auto"/>
                      <w:sz w:val="21"/>
                      <w:szCs w:val="21"/>
                      <w:lang w:bidi="ar"/>
                    </w:rPr>
                    <w:t>(E117.96229,N36.78284)</w:t>
                  </w:r>
                </w:p>
              </w:tc>
              <w:tc>
                <w:tcPr>
                  <w:tcW w:w="704" w:type="dxa"/>
                  <w:tcBorders>
                    <w:tl2br w:val="nil"/>
                    <w:tr2bl w:val="nil"/>
                  </w:tcBorders>
                  <w:shd w:val="clear" w:color="auto" w:fill="auto"/>
                  <w:vAlign w:val="center"/>
                </w:tcPr>
                <w:p w14:paraId="5DE834C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0.065</w:t>
                  </w:r>
                </w:p>
              </w:tc>
              <w:tc>
                <w:tcPr>
                  <w:tcW w:w="608" w:type="dxa"/>
                  <w:tcBorders>
                    <w:tl2br w:val="nil"/>
                    <w:tr2bl w:val="nil"/>
                  </w:tcBorders>
                  <w:shd w:val="clear" w:color="auto" w:fill="auto"/>
                  <w:vAlign w:val="center"/>
                </w:tcPr>
                <w:p w14:paraId="303E62C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1.38</w:t>
                  </w:r>
                </w:p>
              </w:tc>
              <w:tc>
                <w:tcPr>
                  <w:tcW w:w="601" w:type="dxa"/>
                  <w:tcBorders>
                    <w:tl2br w:val="nil"/>
                    <w:tr2bl w:val="nil"/>
                  </w:tcBorders>
                  <w:shd w:val="clear" w:color="auto" w:fill="auto"/>
                  <w:vAlign w:val="center"/>
                </w:tcPr>
                <w:p w14:paraId="645F6E7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0.3</w:t>
                  </w:r>
                </w:p>
              </w:tc>
              <w:tc>
                <w:tcPr>
                  <w:tcW w:w="548" w:type="dxa"/>
                  <w:tcBorders>
                    <w:tl2br w:val="nil"/>
                    <w:tr2bl w:val="nil"/>
                  </w:tcBorders>
                  <w:shd w:val="clear" w:color="auto" w:fill="auto"/>
                  <w:vAlign w:val="center"/>
                </w:tcPr>
                <w:p w14:paraId="3C1E8C3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29</w:t>
                  </w:r>
                </w:p>
              </w:tc>
              <w:tc>
                <w:tcPr>
                  <w:tcW w:w="546" w:type="dxa"/>
                  <w:tcBorders>
                    <w:tl2br w:val="nil"/>
                    <w:tr2bl w:val="nil"/>
                  </w:tcBorders>
                  <w:shd w:val="clear" w:color="auto" w:fill="auto"/>
                  <w:vAlign w:val="center"/>
                </w:tcPr>
                <w:p w14:paraId="7AF6463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43</w:t>
                  </w:r>
                </w:p>
              </w:tc>
              <w:tc>
                <w:tcPr>
                  <w:tcW w:w="584" w:type="dxa"/>
                  <w:tcBorders>
                    <w:tl2br w:val="nil"/>
                    <w:tr2bl w:val="nil"/>
                  </w:tcBorders>
                  <w:shd w:val="clear" w:color="auto" w:fill="auto"/>
                  <w:vAlign w:val="center"/>
                </w:tcPr>
                <w:p w14:paraId="54F182B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41</w:t>
                  </w:r>
                </w:p>
              </w:tc>
              <w:tc>
                <w:tcPr>
                  <w:tcW w:w="548" w:type="dxa"/>
                  <w:tcBorders>
                    <w:tl2br w:val="nil"/>
                    <w:tr2bl w:val="nil"/>
                  </w:tcBorders>
                  <w:shd w:val="clear" w:color="auto" w:fill="auto"/>
                  <w:vAlign w:val="center"/>
                </w:tcPr>
                <w:p w14:paraId="503006A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27</w:t>
                  </w:r>
                </w:p>
              </w:tc>
              <w:tc>
                <w:tcPr>
                  <w:tcW w:w="541" w:type="dxa"/>
                  <w:tcBorders>
                    <w:tl2br w:val="nil"/>
                    <w:tr2bl w:val="nil"/>
                  </w:tcBorders>
                  <w:shd w:val="clear" w:color="auto" w:fill="auto"/>
                  <w:vAlign w:val="center"/>
                </w:tcPr>
                <w:p w14:paraId="5D7B6D7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27</w:t>
                  </w:r>
                </w:p>
              </w:tc>
            </w:tr>
            <w:tr w14:paraId="792874C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7AD903E8">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7277D064">
                  <w:pPr>
                    <w:widowControl/>
                    <w:jc w:val="center"/>
                    <w:textAlignment w:val="center"/>
                    <w:rPr>
                      <w:rStyle w:val="44"/>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kern w:val="0"/>
                      <w:sz w:val="21"/>
                      <w:szCs w:val="21"/>
                      <w:lang w:bidi="ar"/>
                    </w:rPr>
                    <w:t>焕然河：官三村段</w:t>
                  </w:r>
                  <w:r>
                    <w:rPr>
                      <w:rStyle w:val="44"/>
                      <w:rFonts w:hint="default" w:ascii="Times New Roman" w:hAnsi="Times New Roman" w:eastAsia="宋体" w:cs="Times New Roman"/>
                      <w:color w:val="auto"/>
                      <w:sz w:val="21"/>
                      <w:szCs w:val="21"/>
                      <w:lang w:bidi="ar"/>
                    </w:rPr>
                    <w:t>7#</w:t>
                  </w:r>
                </w:p>
                <w:p w14:paraId="798288EE">
                  <w:pPr>
                    <w:widowControl/>
                    <w:jc w:val="center"/>
                    <w:textAlignment w:val="center"/>
                    <w:rPr>
                      <w:rFonts w:hint="default" w:ascii="Times New Roman" w:hAnsi="Times New Roman" w:eastAsia="宋体" w:cs="Times New Roman"/>
                      <w:color w:val="auto"/>
                      <w:sz w:val="21"/>
                      <w:szCs w:val="21"/>
                    </w:rPr>
                  </w:pPr>
                  <w:r>
                    <w:rPr>
                      <w:rStyle w:val="44"/>
                      <w:rFonts w:hint="default" w:ascii="Times New Roman" w:hAnsi="Times New Roman" w:eastAsia="宋体" w:cs="Times New Roman"/>
                      <w:color w:val="auto"/>
                      <w:sz w:val="21"/>
                      <w:szCs w:val="21"/>
                      <w:lang w:bidi="ar"/>
                    </w:rPr>
                    <w:t>(E117.93444,N36.73737)</w:t>
                  </w:r>
                </w:p>
              </w:tc>
              <w:tc>
                <w:tcPr>
                  <w:tcW w:w="704" w:type="dxa"/>
                  <w:tcBorders>
                    <w:tl2br w:val="nil"/>
                    <w:tr2bl w:val="nil"/>
                  </w:tcBorders>
                  <w:shd w:val="clear" w:color="auto" w:fill="auto"/>
                  <w:vAlign w:val="center"/>
                </w:tcPr>
                <w:p w14:paraId="1FCC155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0.059</w:t>
                  </w:r>
                </w:p>
              </w:tc>
              <w:tc>
                <w:tcPr>
                  <w:tcW w:w="608" w:type="dxa"/>
                  <w:tcBorders>
                    <w:tl2br w:val="nil"/>
                    <w:tr2bl w:val="nil"/>
                  </w:tcBorders>
                  <w:shd w:val="clear" w:color="auto" w:fill="auto"/>
                  <w:vAlign w:val="center"/>
                </w:tcPr>
                <w:p w14:paraId="735C50D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1.65</w:t>
                  </w:r>
                </w:p>
              </w:tc>
              <w:tc>
                <w:tcPr>
                  <w:tcW w:w="601" w:type="dxa"/>
                  <w:tcBorders>
                    <w:tl2br w:val="nil"/>
                    <w:tr2bl w:val="nil"/>
                  </w:tcBorders>
                  <w:shd w:val="clear" w:color="auto" w:fill="auto"/>
                  <w:vAlign w:val="center"/>
                </w:tcPr>
                <w:p w14:paraId="37967A4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0.32</w:t>
                  </w:r>
                </w:p>
              </w:tc>
              <w:tc>
                <w:tcPr>
                  <w:tcW w:w="548" w:type="dxa"/>
                  <w:tcBorders>
                    <w:tl2br w:val="nil"/>
                    <w:tr2bl w:val="nil"/>
                  </w:tcBorders>
                  <w:shd w:val="clear" w:color="auto" w:fill="auto"/>
                  <w:vAlign w:val="center"/>
                </w:tcPr>
                <w:p w14:paraId="22DE1A4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31</w:t>
                  </w:r>
                </w:p>
              </w:tc>
              <w:tc>
                <w:tcPr>
                  <w:tcW w:w="546" w:type="dxa"/>
                  <w:tcBorders>
                    <w:tl2br w:val="nil"/>
                    <w:tr2bl w:val="nil"/>
                  </w:tcBorders>
                  <w:shd w:val="clear" w:color="auto" w:fill="auto"/>
                  <w:vAlign w:val="center"/>
                </w:tcPr>
                <w:p w14:paraId="3DA24AB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44</w:t>
                  </w:r>
                </w:p>
              </w:tc>
              <w:tc>
                <w:tcPr>
                  <w:tcW w:w="584" w:type="dxa"/>
                  <w:tcBorders>
                    <w:tl2br w:val="nil"/>
                    <w:tr2bl w:val="nil"/>
                  </w:tcBorders>
                  <w:shd w:val="clear" w:color="auto" w:fill="auto"/>
                  <w:vAlign w:val="center"/>
                </w:tcPr>
                <w:p w14:paraId="1619282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44</w:t>
                  </w:r>
                </w:p>
              </w:tc>
              <w:tc>
                <w:tcPr>
                  <w:tcW w:w="548" w:type="dxa"/>
                  <w:tcBorders>
                    <w:tl2br w:val="nil"/>
                    <w:tr2bl w:val="nil"/>
                  </w:tcBorders>
                  <w:shd w:val="clear" w:color="auto" w:fill="auto"/>
                  <w:vAlign w:val="center"/>
                </w:tcPr>
                <w:p w14:paraId="5E26E3B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29</w:t>
                  </w:r>
                </w:p>
              </w:tc>
              <w:tc>
                <w:tcPr>
                  <w:tcW w:w="541" w:type="dxa"/>
                  <w:tcBorders>
                    <w:tl2br w:val="nil"/>
                    <w:tr2bl w:val="nil"/>
                  </w:tcBorders>
                  <w:shd w:val="clear" w:color="auto" w:fill="auto"/>
                  <w:vAlign w:val="center"/>
                </w:tcPr>
                <w:p w14:paraId="14FAEB7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30</w:t>
                  </w:r>
                </w:p>
              </w:tc>
            </w:tr>
            <w:tr w14:paraId="197DF7D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3539" w:type="dxa"/>
                  <w:gridSpan w:val="2"/>
                  <w:tcBorders>
                    <w:tl2br w:val="nil"/>
                    <w:tr2bl w:val="nil"/>
                  </w:tcBorders>
                  <w:shd w:val="clear" w:color="auto" w:fill="auto"/>
                  <w:noWrap/>
                  <w:vAlign w:val="center"/>
                </w:tcPr>
                <w:p w14:paraId="201588E8">
                  <w:pPr>
                    <w:widowControl/>
                    <w:jc w:val="center"/>
                    <w:textAlignment w:val="center"/>
                    <w:rPr>
                      <w:rStyle w:val="44"/>
                      <w:rFonts w:hint="default" w:ascii="Times New Roman" w:hAnsi="Times New Roman" w:eastAsia="宋体" w:cs="Times New Roman"/>
                      <w:color w:val="auto"/>
                      <w:sz w:val="21"/>
                      <w:szCs w:val="21"/>
                      <w:lang w:bidi="ar"/>
                    </w:rPr>
                  </w:pPr>
                  <w:r>
                    <w:rPr>
                      <w:rStyle w:val="44"/>
                      <w:rFonts w:hint="default" w:ascii="Times New Roman" w:hAnsi="Times New Roman" w:eastAsia="宋体" w:cs="Times New Roman"/>
                      <w:color w:val="auto"/>
                      <w:sz w:val="21"/>
                      <w:szCs w:val="21"/>
                      <w:lang w:bidi="ar"/>
                    </w:rPr>
                    <w:t>采样日期</w:t>
                  </w:r>
                </w:p>
              </w:tc>
              <w:tc>
                <w:tcPr>
                  <w:tcW w:w="4680" w:type="dxa"/>
                  <w:gridSpan w:val="8"/>
                  <w:tcBorders>
                    <w:tl2br w:val="nil"/>
                    <w:tr2bl w:val="nil"/>
                  </w:tcBorders>
                  <w:shd w:val="clear" w:color="auto" w:fill="auto"/>
                  <w:vAlign w:val="center"/>
                </w:tcPr>
                <w:p w14:paraId="7531FB2E">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2025.12.26</w:t>
                  </w:r>
                </w:p>
              </w:tc>
            </w:tr>
            <w:tr w14:paraId="3191D2E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3539" w:type="dxa"/>
                  <w:gridSpan w:val="2"/>
                  <w:tcBorders>
                    <w:tl2br w:val="nil"/>
                    <w:tr2bl w:val="nil"/>
                  </w:tcBorders>
                  <w:shd w:val="clear" w:color="auto" w:fill="auto"/>
                  <w:noWrap/>
                  <w:vAlign w:val="center"/>
                </w:tcPr>
                <w:p w14:paraId="1098DA2E">
                  <w:pPr>
                    <w:widowControl/>
                    <w:jc w:val="center"/>
                    <w:textAlignment w:val="center"/>
                    <w:rPr>
                      <w:rStyle w:val="44"/>
                      <w:rFonts w:hint="default" w:ascii="Times New Roman" w:hAnsi="Times New Roman" w:eastAsia="宋体" w:cs="Times New Roman"/>
                      <w:color w:val="auto"/>
                      <w:sz w:val="21"/>
                      <w:szCs w:val="21"/>
                      <w:lang w:bidi="ar"/>
                    </w:rPr>
                  </w:pPr>
                  <w:r>
                    <w:rPr>
                      <w:rStyle w:val="44"/>
                      <w:rFonts w:hint="default" w:ascii="Times New Roman" w:hAnsi="Times New Roman" w:eastAsia="宋体" w:cs="Times New Roman"/>
                      <w:color w:val="auto"/>
                      <w:sz w:val="21"/>
                      <w:szCs w:val="21"/>
                      <w:lang w:bidi="ar"/>
                    </w:rPr>
                    <w:t>检测项目</w:t>
                  </w:r>
                </w:p>
              </w:tc>
              <w:tc>
                <w:tcPr>
                  <w:tcW w:w="704" w:type="dxa"/>
                  <w:tcBorders>
                    <w:tl2br w:val="nil"/>
                    <w:tr2bl w:val="nil"/>
                  </w:tcBorders>
                  <w:shd w:val="clear" w:color="auto" w:fill="auto"/>
                  <w:vAlign w:val="center"/>
                </w:tcPr>
                <w:p w14:paraId="52F6D49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汞</w:t>
                  </w:r>
                </w:p>
              </w:tc>
              <w:tc>
                <w:tcPr>
                  <w:tcW w:w="608" w:type="dxa"/>
                  <w:tcBorders>
                    <w:tl2br w:val="nil"/>
                    <w:tr2bl w:val="nil"/>
                  </w:tcBorders>
                  <w:shd w:val="clear" w:color="auto" w:fill="auto"/>
                  <w:vAlign w:val="center"/>
                </w:tcPr>
                <w:p w14:paraId="6246F32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砷</w:t>
                  </w:r>
                </w:p>
              </w:tc>
              <w:tc>
                <w:tcPr>
                  <w:tcW w:w="601" w:type="dxa"/>
                  <w:tcBorders>
                    <w:tl2br w:val="nil"/>
                    <w:tr2bl w:val="nil"/>
                  </w:tcBorders>
                  <w:shd w:val="clear" w:color="auto" w:fill="auto"/>
                  <w:vAlign w:val="center"/>
                </w:tcPr>
                <w:p w14:paraId="56EA3B5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镉</w:t>
                  </w:r>
                </w:p>
              </w:tc>
              <w:tc>
                <w:tcPr>
                  <w:tcW w:w="548" w:type="dxa"/>
                  <w:tcBorders>
                    <w:tl2br w:val="nil"/>
                    <w:tr2bl w:val="nil"/>
                  </w:tcBorders>
                  <w:shd w:val="clear" w:color="auto" w:fill="auto"/>
                  <w:vAlign w:val="center"/>
                </w:tcPr>
                <w:p w14:paraId="72F43AB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铅</w:t>
                  </w:r>
                </w:p>
              </w:tc>
              <w:tc>
                <w:tcPr>
                  <w:tcW w:w="546" w:type="dxa"/>
                  <w:tcBorders>
                    <w:tl2br w:val="nil"/>
                    <w:tr2bl w:val="nil"/>
                  </w:tcBorders>
                  <w:shd w:val="clear" w:color="auto" w:fill="auto"/>
                  <w:vAlign w:val="center"/>
                </w:tcPr>
                <w:p w14:paraId="1E7DA02E">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锌</w:t>
                  </w:r>
                </w:p>
              </w:tc>
              <w:tc>
                <w:tcPr>
                  <w:tcW w:w="584" w:type="dxa"/>
                  <w:tcBorders>
                    <w:tl2br w:val="nil"/>
                    <w:tr2bl w:val="nil"/>
                  </w:tcBorders>
                  <w:shd w:val="clear" w:color="auto" w:fill="auto"/>
                  <w:vAlign w:val="center"/>
                </w:tcPr>
                <w:p w14:paraId="5476B796">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铬</w:t>
                  </w:r>
                </w:p>
              </w:tc>
              <w:tc>
                <w:tcPr>
                  <w:tcW w:w="548" w:type="dxa"/>
                  <w:tcBorders>
                    <w:tl2br w:val="nil"/>
                    <w:tr2bl w:val="nil"/>
                  </w:tcBorders>
                  <w:shd w:val="clear" w:color="auto" w:fill="auto"/>
                  <w:vAlign w:val="center"/>
                </w:tcPr>
                <w:p w14:paraId="696DDC2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铜</w:t>
                  </w:r>
                </w:p>
              </w:tc>
              <w:tc>
                <w:tcPr>
                  <w:tcW w:w="541" w:type="dxa"/>
                  <w:tcBorders>
                    <w:tl2br w:val="nil"/>
                    <w:tr2bl w:val="nil"/>
                  </w:tcBorders>
                  <w:shd w:val="clear" w:color="auto" w:fill="auto"/>
                  <w:vAlign w:val="center"/>
                </w:tcPr>
                <w:p w14:paraId="36A34B7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镍</w:t>
                  </w:r>
                </w:p>
              </w:tc>
            </w:tr>
            <w:tr w14:paraId="7D02B95B">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restart"/>
                  <w:tcBorders>
                    <w:tl2br w:val="nil"/>
                    <w:tr2bl w:val="nil"/>
                  </w:tcBorders>
                  <w:shd w:val="clear" w:color="auto" w:fill="auto"/>
                  <w:noWrap/>
                  <w:vAlign w:val="center"/>
                </w:tcPr>
                <w:p w14:paraId="425542E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检测结果</w:t>
                  </w:r>
                </w:p>
              </w:tc>
              <w:tc>
                <w:tcPr>
                  <w:tcW w:w="3113" w:type="dxa"/>
                  <w:tcBorders>
                    <w:tl2br w:val="nil"/>
                    <w:tr2bl w:val="nil"/>
                  </w:tcBorders>
                  <w:shd w:val="clear" w:color="auto" w:fill="auto"/>
                  <w:vAlign w:val="center"/>
                </w:tcPr>
                <w:p w14:paraId="5BF5A23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东猪龙河上游：东支</w:t>
                  </w:r>
                </w:p>
                <w:p w14:paraId="795C03B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（E118.05400,N36.76852）</w:t>
                  </w:r>
                </w:p>
              </w:tc>
              <w:tc>
                <w:tcPr>
                  <w:tcW w:w="704" w:type="dxa"/>
                  <w:tcBorders>
                    <w:tl2br w:val="nil"/>
                    <w:tr2bl w:val="nil"/>
                  </w:tcBorders>
                  <w:shd w:val="clear" w:color="auto" w:fill="auto"/>
                  <w:vAlign w:val="center"/>
                </w:tcPr>
                <w:p w14:paraId="5A06B1F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0.050</w:t>
                  </w:r>
                </w:p>
              </w:tc>
              <w:tc>
                <w:tcPr>
                  <w:tcW w:w="608" w:type="dxa"/>
                  <w:tcBorders>
                    <w:tl2br w:val="nil"/>
                    <w:tr2bl w:val="nil"/>
                  </w:tcBorders>
                  <w:shd w:val="clear" w:color="auto" w:fill="auto"/>
                  <w:vAlign w:val="center"/>
                </w:tcPr>
                <w:p w14:paraId="4DE5EC3B">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8.32</w:t>
                  </w:r>
                </w:p>
              </w:tc>
              <w:tc>
                <w:tcPr>
                  <w:tcW w:w="601" w:type="dxa"/>
                  <w:tcBorders>
                    <w:tl2br w:val="nil"/>
                    <w:tr2bl w:val="nil"/>
                  </w:tcBorders>
                  <w:shd w:val="clear" w:color="auto" w:fill="auto"/>
                  <w:vAlign w:val="center"/>
                </w:tcPr>
                <w:p w14:paraId="08A4605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0.18</w:t>
                  </w:r>
                </w:p>
              </w:tc>
              <w:tc>
                <w:tcPr>
                  <w:tcW w:w="548" w:type="dxa"/>
                  <w:tcBorders>
                    <w:tl2br w:val="nil"/>
                    <w:tr2bl w:val="nil"/>
                  </w:tcBorders>
                  <w:shd w:val="clear" w:color="auto" w:fill="auto"/>
                  <w:vAlign w:val="center"/>
                </w:tcPr>
                <w:p w14:paraId="250F9E7A">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42</w:t>
                  </w:r>
                </w:p>
              </w:tc>
              <w:tc>
                <w:tcPr>
                  <w:tcW w:w="546" w:type="dxa"/>
                  <w:tcBorders>
                    <w:tl2br w:val="nil"/>
                    <w:tr2bl w:val="nil"/>
                  </w:tcBorders>
                  <w:shd w:val="clear" w:color="auto" w:fill="auto"/>
                  <w:vAlign w:val="center"/>
                </w:tcPr>
                <w:p w14:paraId="633F77C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49</w:t>
                  </w:r>
                </w:p>
              </w:tc>
              <w:tc>
                <w:tcPr>
                  <w:tcW w:w="584" w:type="dxa"/>
                  <w:tcBorders>
                    <w:tl2br w:val="nil"/>
                    <w:tr2bl w:val="nil"/>
                  </w:tcBorders>
                  <w:shd w:val="clear" w:color="auto" w:fill="auto"/>
                  <w:vAlign w:val="center"/>
                </w:tcPr>
                <w:p w14:paraId="14E1DAE4">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48</w:t>
                  </w:r>
                </w:p>
              </w:tc>
              <w:tc>
                <w:tcPr>
                  <w:tcW w:w="548" w:type="dxa"/>
                  <w:tcBorders>
                    <w:tl2br w:val="nil"/>
                    <w:tr2bl w:val="nil"/>
                  </w:tcBorders>
                  <w:shd w:val="clear" w:color="auto" w:fill="auto"/>
                  <w:vAlign w:val="center"/>
                </w:tcPr>
                <w:p w14:paraId="37972403">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44</w:t>
                  </w:r>
                </w:p>
              </w:tc>
              <w:tc>
                <w:tcPr>
                  <w:tcW w:w="541" w:type="dxa"/>
                  <w:tcBorders>
                    <w:tl2br w:val="nil"/>
                    <w:tr2bl w:val="nil"/>
                  </w:tcBorders>
                  <w:shd w:val="clear" w:color="auto" w:fill="auto"/>
                  <w:vAlign w:val="center"/>
                </w:tcPr>
                <w:p w14:paraId="3C4D4FF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48</w:t>
                  </w:r>
                </w:p>
              </w:tc>
            </w:tr>
            <w:tr w14:paraId="1176D71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6C8DE273">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1A35428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东猪龙河上游：西支</w:t>
                  </w:r>
                </w:p>
                <w:p w14:paraId="0844F18F">
                  <w:pPr>
                    <w:pStyle w:val="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（E118.04657,N36.76114）</w:t>
                  </w:r>
                </w:p>
              </w:tc>
              <w:tc>
                <w:tcPr>
                  <w:tcW w:w="704" w:type="dxa"/>
                  <w:tcBorders>
                    <w:tl2br w:val="nil"/>
                    <w:tr2bl w:val="nil"/>
                  </w:tcBorders>
                  <w:shd w:val="clear" w:color="auto" w:fill="auto"/>
                  <w:vAlign w:val="center"/>
                </w:tcPr>
                <w:p w14:paraId="57F3B23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0.034</w:t>
                  </w:r>
                </w:p>
              </w:tc>
              <w:tc>
                <w:tcPr>
                  <w:tcW w:w="608" w:type="dxa"/>
                  <w:tcBorders>
                    <w:tl2br w:val="nil"/>
                    <w:tr2bl w:val="nil"/>
                  </w:tcBorders>
                  <w:shd w:val="clear" w:color="auto" w:fill="auto"/>
                  <w:vAlign w:val="center"/>
                </w:tcPr>
                <w:p w14:paraId="3B09F6AD">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7.39</w:t>
                  </w:r>
                </w:p>
              </w:tc>
              <w:tc>
                <w:tcPr>
                  <w:tcW w:w="601" w:type="dxa"/>
                  <w:tcBorders>
                    <w:tl2br w:val="nil"/>
                    <w:tr2bl w:val="nil"/>
                  </w:tcBorders>
                  <w:shd w:val="clear" w:color="auto" w:fill="auto"/>
                  <w:vAlign w:val="center"/>
                </w:tcPr>
                <w:p w14:paraId="084911E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0.28</w:t>
                  </w:r>
                </w:p>
              </w:tc>
              <w:tc>
                <w:tcPr>
                  <w:tcW w:w="548" w:type="dxa"/>
                  <w:tcBorders>
                    <w:tl2br w:val="nil"/>
                    <w:tr2bl w:val="nil"/>
                  </w:tcBorders>
                  <w:shd w:val="clear" w:color="auto" w:fill="auto"/>
                  <w:vAlign w:val="center"/>
                </w:tcPr>
                <w:p w14:paraId="763FC611">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48</w:t>
                  </w:r>
                </w:p>
              </w:tc>
              <w:tc>
                <w:tcPr>
                  <w:tcW w:w="546" w:type="dxa"/>
                  <w:tcBorders>
                    <w:tl2br w:val="nil"/>
                    <w:tr2bl w:val="nil"/>
                  </w:tcBorders>
                  <w:shd w:val="clear" w:color="auto" w:fill="auto"/>
                  <w:vAlign w:val="center"/>
                </w:tcPr>
                <w:p w14:paraId="079E788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40</w:t>
                  </w:r>
                </w:p>
              </w:tc>
              <w:tc>
                <w:tcPr>
                  <w:tcW w:w="584" w:type="dxa"/>
                  <w:tcBorders>
                    <w:tl2br w:val="nil"/>
                    <w:tr2bl w:val="nil"/>
                  </w:tcBorders>
                  <w:shd w:val="clear" w:color="auto" w:fill="auto"/>
                  <w:vAlign w:val="center"/>
                </w:tcPr>
                <w:p w14:paraId="6581D04B">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40</w:t>
                  </w:r>
                </w:p>
              </w:tc>
              <w:tc>
                <w:tcPr>
                  <w:tcW w:w="548" w:type="dxa"/>
                  <w:tcBorders>
                    <w:tl2br w:val="nil"/>
                    <w:tr2bl w:val="nil"/>
                  </w:tcBorders>
                  <w:shd w:val="clear" w:color="auto" w:fill="auto"/>
                  <w:vAlign w:val="center"/>
                </w:tcPr>
                <w:p w14:paraId="4020A88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56</w:t>
                  </w:r>
                </w:p>
              </w:tc>
              <w:tc>
                <w:tcPr>
                  <w:tcW w:w="541" w:type="dxa"/>
                  <w:tcBorders>
                    <w:tl2br w:val="nil"/>
                    <w:tr2bl w:val="nil"/>
                  </w:tcBorders>
                  <w:shd w:val="clear" w:color="auto" w:fill="auto"/>
                  <w:vAlign w:val="center"/>
                </w:tcPr>
                <w:p w14:paraId="3FED663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40</w:t>
                  </w:r>
                </w:p>
              </w:tc>
            </w:tr>
            <w:tr w14:paraId="7910727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1725A2E3">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19E68DA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三泉沟：矿机路河段</w:t>
                  </w:r>
                </w:p>
                <w:p w14:paraId="3CD5C39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（E118.02724,N36.75466）</w:t>
                  </w:r>
                </w:p>
              </w:tc>
              <w:tc>
                <w:tcPr>
                  <w:tcW w:w="704" w:type="dxa"/>
                  <w:tcBorders>
                    <w:tl2br w:val="nil"/>
                    <w:tr2bl w:val="nil"/>
                  </w:tcBorders>
                  <w:shd w:val="clear" w:color="auto" w:fill="auto"/>
                  <w:vAlign w:val="center"/>
                </w:tcPr>
                <w:p w14:paraId="6FBD7C53">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0.036</w:t>
                  </w:r>
                </w:p>
              </w:tc>
              <w:tc>
                <w:tcPr>
                  <w:tcW w:w="608" w:type="dxa"/>
                  <w:tcBorders>
                    <w:tl2br w:val="nil"/>
                    <w:tr2bl w:val="nil"/>
                  </w:tcBorders>
                  <w:shd w:val="clear" w:color="auto" w:fill="auto"/>
                  <w:vAlign w:val="center"/>
                </w:tcPr>
                <w:p w14:paraId="535781C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6.02</w:t>
                  </w:r>
                </w:p>
              </w:tc>
              <w:tc>
                <w:tcPr>
                  <w:tcW w:w="601" w:type="dxa"/>
                  <w:tcBorders>
                    <w:tl2br w:val="nil"/>
                    <w:tr2bl w:val="nil"/>
                  </w:tcBorders>
                  <w:shd w:val="clear" w:color="auto" w:fill="auto"/>
                  <w:vAlign w:val="center"/>
                </w:tcPr>
                <w:p w14:paraId="5F19777E">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0.17</w:t>
                  </w:r>
                </w:p>
              </w:tc>
              <w:tc>
                <w:tcPr>
                  <w:tcW w:w="548" w:type="dxa"/>
                  <w:tcBorders>
                    <w:tl2br w:val="nil"/>
                    <w:tr2bl w:val="nil"/>
                  </w:tcBorders>
                  <w:shd w:val="clear" w:color="auto" w:fill="auto"/>
                  <w:vAlign w:val="center"/>
                </w:tcPr>
                <w:p w14:paraId="6F0A075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51</w:t>
                  </w:r>
                </w:p>
              </w:tc>
              <w:tc>
                <w:tcPr>
                  <w:tcW w:w="546" w:type="dxa"/>
                  <w:tcBorders>
                    <w:tl2br w:val="nil"/>
                    <w:tr2bl w:val="nil"/>
                  </w:tcBorders>
                  <w:shd w:val="clear" w:color="auto" w:fill="auto"/>
                  <w:vAlign w:val="center"/>
                </w:tcPr>
                <w:p w14:paraId="6EC7B9DD">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45</w:t>
                  </w:r>
                </w:p>
              </w:tc>
              <w:tc>
                <w:tcPr>
                  <w:tcW w:w="584" w:type="dxa"/>
                  <w:tcBorders>
                    <w:tl2br w:val="nil"/>
                    <w:tr2bl w:val="nil"/>
                  </w:tcBorders>
                  <w:shd w:val="clear" w:color="auto" w:fill="auto"/>
                  <w:vAlign w:val="center"/>
                </w:tcPr>
                <w:p w14:paraId="7F3254D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42</w:t>
                  </w:r>
                </w:p>
              </w:tc>
              <w:tc>
                <w:tcPr>
                  <w:tcW w:w="548" w:type="dxa"/>
                  <w:tcBorders>
                    <w:tl2br w:val="nil"/>
                    <w:tr2bl w:val="nil"/>
                  </w:tcBorders>
                  <w:shd w:val="clear" w:color="auto" w:fill="auto"/>
                  <w:vAlign w:val="center"/>
                </w:tcPr>
                <w:p w14:paraId="48ED71D4">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42</w:t>
                  </w:r>
                </w:p>
              </w:tc>
              <w:tc>
                <w:tcPr>
                  <w:tcW w:w="541" w:type="dxa"/>
                  <w:tcBorders>
                    <w:tl2br w:val="nil"/>
                    <w:tr2bl w:val="nil"/>
                  </w:tcBorders>
                  <w:shd w:val="clear" w:color="auto" w:fill="auto"/>
                  <w:vAlign w:val="center"/>
                </w:tcPr>
                <w:p w14:paraId="5834B4F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52</w:t>
                  </w:r>
                </w:p>
              </w:tc>
            </w:tr>
            <w:tr w14:paraId="792C23D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0703A17D">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3156E7B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袁家河：梁家村河段（E117.95790,N36.74328）</w:t>
                  </w:r>
                </w:p>
              </w:tc>
              <w:tc>
                <w:tcPr>
                  <w:tcW w:w="704" w:type="dxa"/>
                  <w:tcBorders>
                    <w:tl2br w:val="nil"/>
                    <w:tr2bl w:val="nil"/>
                  </w:tcBorders>
                  <w:shd w:val="clear" w:color="auto" w:fill="auto"/>
                  <w:vAlign w:val="center"/>
                </w:tcPr>
                <w:p w14:paraId="6E033C6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0.074</w:t>
                  </w:r>
                </w:p>
              </w:tc>
              <w:tc>
                <w:tcPr>
                  <w:tcW w:w="608" w:type="dxa"/>
                  <w:tcBorders>
                    <w:tl2br w:val="nil"/>
                    <w:tr2bl w:val="nil"/>
                  </w:tcBorders>
                  <w:shd w:val="clear" w:color="auto" w:fill="auto"/>
                  <w:vAlign w:val="center"/>
                </w:tcPr>
                <w:p w14:paraId="0D302F3B">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5.92</w:t>
                  </w:r>
                </w:p>
              </w:tc>
              <w:tc>
                <w:tcPr>
                  <w:tcW w:w="601" w:type="dxa"/>
                  <w:tcBorders>
                    <w:tl2br w:val="nil"/>
                    <w:tr2bl w:val="nil"/>
                  </w:tcBorders>
                  <w:shd w:val="clear" w:color="auto" w:fill="auto"/>
                  <w:vAlign w:val="center"/>
                </w:tcPr>
                <w:p w14:paraId="0C90A3C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0.20</w:t>
                  </w:r>
                </w:p>
              </w:tc>
              <w:tc>
                <w:tcPr>
                  <w:tcW w:w="548" w:type="dxa"/>
                  <w:tcBorders>
                    <w:tl2br w:val="nil"/>
                    <w:tr2bl w:val="nil"/>
                  </w:tcBorders>
                  <w:shd w:val="clear" w:color="auto" w:fill="auto"/>
                  <w:vAlign w:val="center"/>
                </w:tcPr>
                <w:p w14:paraId="23E6FB3B">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58</w:t>
                  </w:r>
                </w:p>
              </w:tc>
              <w:tc>
                <w:tcPr>
                  <w:tcW w:w="546" w:type="dxa"/>
                  <w:tcBorders>
                    <w:tl2br w:val="nil"/>
                    <w:tr2bl w:val="nil"/>
                  </w:tcBorders>
                  <w:shd w:val="clear" w:color="auto" w:fill="auto"/>
                  <w:vAlign w:val="center"/>
                </w:tcPr>
                <w:p w14:paraId="6F40D149">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52</w:t>
                  </w:r>
                </w:p>
              </w:tc>
              <w:tc>
                <w:tcPr>
                  <w:tcW w:w="584" w:type="dxa"/>
                  <w:tcBorders>
                    <w:tl2br w:val="nil"/>
                    <w:tr2bl w:val="nil"/>
                  </w:tcBorders>
                  <w:shd w:val="clear" w:color="auto" w:fill="auto"/>
                  <w:vAlign w:val="center"/>
                </w:tcPr>
                <w:p w14:paraId="24A9C8F8">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44</w:t>
                  </w:r>
                </w:p>
              </w:tc>
              <w:tc>
                <w:tcPr>
                  <w:tcW w:w="548" w:type="dxa"/>
                  <w:tcBorders>
                    <w:tl2br w:val="nil"/>
                    <w:tr2bl w:val="nil"/>
                  </w:tcBorders>
                  <w:shd w:val="clear" w:color="auto" w:fill="auto"/>
                  <w:vAlign w:val="center"/>
                </w:tcPr>
                <w:p w14:paraId="208F97DB">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47</w:t>
                  </w:r>
                </w:p>
              </w:tc>
              <w:tc>
                <w:tcPr>
                  <w:tcW w:w="541" w:type="dxa"/>
                  <w:tcBorders>
                    <w:tl2br w:val="nil"/>
                    <w:tr2bl w:val="nil"/>
                  </w:tcBorders>
                  <w:shd w:val="clear" w:color="auto" w:fill="auto"/>
                  <w:vAlign w:val="center"/>
                </w:tcPr>
                <w:p w14:paraId="3FC16428">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55</w:t>
                  </w:r>
                </w:p>
              </w:tc>
            </w:tr>
            <w:tr w14:paraId="7EC651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2D6758EE">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70CB5EE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天津路排涝沟：淄河大道河段（E117.96382,N36.74767）</w:t>
                  </w:r>
                </w:p>
              </w:tc>
              <w:tc>
                <w:tcPr>
                  <w:tcW w:w="704" w:type="dxa"/>
                  <w:tcBorders>
                    <w:tl2br w:val="nil"/>
                    <w:tr2bl w:val="nil"/>
                  </w:tcBorders>
                  <w:shd w:val="clear" w:color="auto" w:fill="auto"/>
                  <w:vAlign w:val="center"/>
                </w:tcPr>
                <w:p w14:paraId="45059A57">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0.112</w:t>
                  </w:r>
                </w:p>
              </w:tc>
              <w:tc>
                <w:tcPr>
                  <w:tcW w:w="608" w:type="dxa"/>
                  <w:tcBorders>
                    <w:tl2br w:val="nil"/>
                    <w:tr2bl w:val="nil"/>
                  </w:tcBorders>
                  <w:shd w:val="clear" w:color="auto" w:fill="auto"/>
                  <w:vAlign w:val="center"/>
                </w:tcPr>
                <w:p w14:paraId="02FED958">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10.2</w:t>
                  </w:r>
                </w:p>
              </w:tc>
              <w:tc>
                <w:tcPr>
                  <w:tcW w:w="601" w:type="dxa"/>
                  <w:tcBorders>
                    <w:tl2br w:val="nil"/>
                    <w:tr2bl w:val="nil"/>
                  </w:tcBorders>
                  <w:shd w:val="clear" w:color="auto" w:fill="auto"/>
                  <w:vAlign w:val="center"/>
                </w:tcPr>
                <w:p w14:paraId="05E4C15D">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0.16</w:t>
                  </w:r>
                </w:p>
              </w:tc>
              <w:tc>
                <w:tcPr>
                  <w:tcW w:w="548" w:type="dxa"/>
                  <w:tcBorders>
                    <w:tl2br w:val="nil"/>
                    <w:tr2bl w:val="nil"/>
                  </w:tcBorders>
                  <w:shd w:val="clear" w:color="auto" w:fill="auto"/>
                  <w:vAlign w:val="center"/>
                </w:tcPr>
                <w:p w14:paraId="33DACFB3">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45</w:t>
                  </w:r>
                </w:p>
              </w:tc>
              <w:tc>
                <w:tcPr>
                  <w:tcW w:w="546" w:type="dxa"/>
                  <w:tcBorders>
                    <w:tl2br w:val="nil"/>
                    <w:tr2bl w:val="nil"/>
                  </w:tcBorders>
                  <w:shd w:val="clear" w:color="auto" w:fill="auto"/>
                  <w:vAlign w:val="center"/>
                </w:tcPr>
                <w:p w14:paraId="6C5ED85D">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47</w:t>
                  </w:r>
                </w:p>
              </w:tc>
              <w:tc>
                <w:tcPr>
                  <w:tcW w:w="584" w:type="dxa"/>
                  <w:tcBorders>
                    <w:tl2br w:val="nil"/>
                    <w:tr2bl w:val="nil"/>
                  </w:tcBorders>
                  <w:shd w:val="clear" w:color="auto" w:fill="auto"/>
                  <w:vAlign w:val="center"/>
                </w:tcPr>
                <w:p w14:paraId="0D9F4A48">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52</w:t>
                  </w:r>
                </w:p>
              </w:tc>
              <w:tc>
                <w:tcPr>
                  <w:tcW w:w="548" w:type="dxa"/>
                  <w:tcBorders>
                    <w:tl2br w:val="nil"/>
                    <w:tr2bl w:val="nil"/>
                  </w:tcBorders>
                  <w:shd w:val="clear" w:color="auto" w:fill="auto"/>
                  <w:vAlign w:val="center"/>
                </w:tcPr>
                <w:p w14:paraId="32F169F9">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tcW w:w="541" w:type="dxa"/>
                  <w:tcBorders>
                    <w:tl2br w:val="nil"/>
                    <w:tr2bl w:val="nil"/>
                  </w:tcBorders>
                  <w:shd w:val="clear" w:color="auto" w:fill="auto"/>
                  <w:vAlign w:val="center"/>
                </w:tcPr>
                <w:p w14:paraId="727B49AC">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46</w:t>
                  </w:r>
                </w:p>
              </w:tc>
            </w:tr>
            <w:tr w14:paraId="2FC2485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1943E5D3">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5CD488D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小旦村排涝沟：下游河段（E118.04527,N36.72868）</w:t>
                  </w:r>
                </w:p>
              </w:tc>
              <w:tc>
                <w:tcPr>
                  <w:tcW w:w="704" w:type="dxa"/>
                  <w:tcBorders>
                    <w:tl2br w:val="nil"/>
                    <w:tr2bl w:val="nil"/>
                  </w:tcBorders>
                  <w:shd w:val="clear" w:color="auto" w:fill="auto"/>
                  <w:vAlign w:val="center"/>
                </w:tcPr>
                <w:p w14:paraId="6091D0D4">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0.118</w:t>
                  </w:r>
                </w:p>
              </w:tc>
              <w:tc>
                <w:tcPr>
                  <w:tcW w:w="608" w:type="dxa"/>
                  <w:tcBorders>
                    <w:tl2br w:val="nil"/>
                    <w:tr2bl w:val="nil"/>
                  </w:tcBorders>
                  <w:shd w:val="clear" w:color="auto" w:fill="auto"/>
                  <w:vAlign w:val="center"/>
                </w:tcPr>
                <w:p w14:paraId="55054E79">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7.91</w:t>
                  </w:r>
                </w:p>
              </w:tc>
              <w:tc>
                <w:tcPr>
                  <w:tcW w:w="601" w:type="dxa"/>
                  <w:tcBorders>
                    <w:tl2br w:val="nil"/>
                    <w:tr2bl w:val="nil"/>
                  </w:tcBorders>
                  <w:shd w:val="clear" w:color="auto" w:fill="auto"/>
                  <w:vAlign w:val="center"/>
                </w:tcPr>
                <w:p w14:paraId="47A062A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0.19</w:t>
                  </w:r>
                </w:p>
              </w:tc>
              <w:tc>
                <w:tcPr>
                  <w:tcW w:w="548" w:type="dxa"/>
                  <w:tcBorders>
                    <w:tl2br w:val="nil"/>
                    <w:tr2bl w:val="nil"/>
                  </w:tcBorders>
                  <w:shd w:val="clear" w:color="auto" w:fill="auto"/>
                  <w:vAlign w:val="center"/>
                </w:tcPr>
                <w:p w14:paraId="6EF593AE">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39</w:t>
                  </w:r>
                </w:p>
              </w:tc>
              <w:tc>
                <w:tcPr>
                  <w:tcW w:w="546" w:type="dxa"/>
                  <w:tcBorders>
                    <w:tl2br w:val="nil"/>
                    <w:tr2bl w:val="nil"/>
                  </w:tcBorders>
                  <w:shd w:val="clear" w:color="auto" w:fill="auto"/>
                  <w:vAlign w:val="center"/>
                </w:tcPr>
                <w:p w14:paraId="5E2F737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38</w:t>
                  </w:r>
                </w:p>
              </w:tc>
              <w:tc>
                <w:tcPr>
                  <w:tcW w:w="584" w:type="dxa"/>
                  <w:tcBorders>
                    <w:tl2br w:val="nil"/>
                    <w:tr2bl w:val="nil"/>
                  </w:tcBorders>
                  <w:shd w:val="clear" w:color="auto" w:fill="auto"/>
                  <w:vAlign w:val="center"/>
                </w:tcPr>
                <w:p w14:paraId="5D6CB25B">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47</w:t>
                  </w:r>
                </w:p>
              </w:tc>
              <w:tc>
                <w:tcPr>
                  <w:tcW w:w="548" w:type="dxa"/>
                  <w:tcBorders>
                    <w:tl2br w:val="nil"/>
                    <w:tr2bl w:val="nil"/>
                  </w:tcBorders>
                  <w:shd w:val="clear" w:color="auto" w:fill="auto"/>
                  <w:vAlign w:val="center"/>
                </w:tcPr>
                <w:p w14:paraId="2E033403">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53</w:t>
                  </w:r>
                </w:p>
              </w:tc>
              <w:tc>
                <w:tcPr>
                  <w:tcW w:w="541" w:type="dxa"/>
                  <w:tcBorders>
                    <w:tl2br w:val="nil"/>
                    <w:tr2bl w:val="nil"/>
                  </w:tcBorders>
                  <w:shd w:val="clear" w:color="auto" w:fill="auto"/>
                  <w:vAlign w:val="center"/>
                </w:tcPr>
                <w:p w14:paraId="4BEF2098">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43</w:t>
                  </w:r>
                </w:p>
              </w:tc>
            </w:tr>
            <w:tr w14:paraId="13B3774C">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426" w:type="dxa"/>
                  <w:vMerge w:val="continue"/>
                  <w:tcBorders>
                    <w:tl2br w:val="nil"/>
                    <w:tr2bl w:val="nil"/>
                  </w:tcBorders>
                  <w:shd w:val="clear" w:color="auto" w:fill="auto"/>
                  <w:noWrap/>
                  <w:vAlign w:val="center"/>
                </w:tcPr>
                <w:p w14:paraId="4B5D8193">
                  <w:pPr>
                    <w:jc w:val="center"/>
                    <w:rPr>
                      <w:rFonts w:hint="default" w:ascii="Times New Roman" w:hAnsi="Times New Roman" w:eastAsia="宋体" w:cs="Times New Roman"/>
                      <w:color w:val="auto"/>
                      <w:sz w:val="21"/>
                      <w:szCs w:val="21"/>
                    </w:rPr>
                  </w:pPr>
                </w:p>
              </w:tc>
              <w:tc>
                <w:tcPr>
                  <w:tcW w:w="3113" w:type="dxa"/>
                  <w:tcBorders>
                    <w:tl2br w:val="nil"/>
                    <w:tr2bl w:val="nil"/>
                  </w:tcBorders>
                  <w:shd w:val="clear" w:color="auto" w:fill="auto"/>
                  <w:vAlign w:val="center"/>
                </w:tcPr>
                <w:p w14:paraId="5D40D40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大高村排涝沟：下游河段（E118.11222,N36.76348）</w:t>
                  </w:r>
                </w:p>
              </w:tc>
              <w:tc>
                <w:tcPr>
                  <w:tcW w:w="704" w:type="dxa"/>
                  <w:tcBorders>
                    <w:tl2br w:val="nil"/>
                    <w:tr2bl w:val="nil"/>
                  </w:tcBorders>
                  <w:shd w:val="clear" w:color="auto" w:fill="auto"/>
                  <w:vAlign w:val="center"/>
                </w:tcPr>
                <w:p w14:paraId="1B139C9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0.031</w:t>
                  </w:r>
                </w:p>
              </w:tc>
              <w:tc>
                <w:tcPr>
                  <w:tcW w:w="608" w:type="dxa"/>
                  <w:tcBorders>
                    <w:tl2br w:val="nil"/>
                    <w:tr2bl w:val="nil"/>
                  </w:tcBorders>
                  <w:shd w:val="clear" w:color="auto" w:fill="auto"/>
                  <w:vAlign w:val="center"/>
                </w:tcPr>
                <w:p w14:paraId="5A6A0FBC">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5.88</w:t>
                  </w:r>
                </w:p>
              </w:tc>
              <w:tc>
                <w:tcPr>
                  <w:tcW w:w="601" w:type="dxa"/>
                  <w:tcBorders>
                    <w:tl2br w:val="nil"/>
                    <w:tr2bl w:val="nil"/>
                  </w:tcBorders>
                  <w:shd w:val="clear" w:color="auto" w:fill="auto"/>
                  <w:vAlign w:val="center"/>
                </w:tcPr>
                <w:p w14:paraId="31EA8DD1">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0.14</w:t>
                  </w:r>
                </w:p>
              </w:tc>
              <w:tc>
                <w:tcPr>
                  <w:tcW w:w="548" w:type="dxa"/>
                  <w:tcBorders>
                    <w:tl2br w:val="nil"/>
                    <w:tr2bl w:val="nil"/>
                  </w:tcBorders>
                  <w:shd w:val="clear" w:color="auto" w:fill="auto"/>
                  <w:vAlign w:val="center"/>
                </w:tcPr>
                <w:p w14:paraId="0E4F61B2">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52</w:t>
                  </w:r>
                </w:p>
              </w:tc>
              <w:tc>
                <w:tcPr>
                  <w:tcW w:w="546" w:type="dxa"/>
                  <w:tcBorders>
                    <w:tl2br w:val="nil"/>
                    <w:tr2bl w:val="nil"/>
                  </w:tcBorders>
                  <w:shd w:val="clear" w:color="auto" w:fill="auto"/>
                  <w:vAlign w:val="center"/>
                </w:tcPr>
                <w:p w14:paraId="1663AA2E">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50</w:t>
                  </w:r>
                </w:p>
              </w:tc>
              <w:tc>
                <w:tcPr>
                  <w:tcW w:w="584" w:type="dxa"/>
                  <w:tcBorders>
                    <w:tl2br w:val="nil"/>
                    <w:tr2bl w:val="nil"/>
                  </w:tcBorders>
                  <w:shd w:val="clear" w:color="auto" w:fill="auto"/>
                  <w:vAlign w:val="center"/>
                </w:tcPr>
                <w:p w14:paraId="08846940">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36</w:t>
                  </w:r>
                </w:p>
              </w:tc>
              <w:tc>
                <w:tcPr>
                  <w:tcW w:w="548" w:type="dxa"/>
                  <w:tcBorders>
                    <w:tl2br w:val="nil"/>
                    <w:tr2bl w:val="nil"/>
                  </w:tcBorders>
                  <w:shd w:val="clear" w:color="auto" w:fill="auto"/>
                  <w:vAlign w:val="center"/>
                </w:tcPr>
                <w:p w14:paraId="5AC67B1D">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41</w:t>
                  </w:r>
                </w:p>
              </w:tc>
              <w:tc>
                <w:tcPr>
                  <w:tcW w:w="541" w:type="dxa"/>
                  <w:tcBorders>
                    <w:tl2br w:val="nil"/>
                    <w:tr2bl w:val="nil"/>
                  </w:tcBorders>
                  <w:shd w:val="clear" w:color="auto" w:fill="auto"/>
                  <w:vAlign w:val="center"/>
                </w:tcPr>
                <w:p w14:paraId="0B6DF097">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54</w:t>
                  </w:r>
                </w:p>
              </w:tc>
            </w:tr>
            <w:tr w14:paraId="0872C1A3">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52" w:hRule="atLeast"/>
                <w:jc w:val="center"/>
              </w:trPr>
              <w:tc>
                <w:tcPr>
                  <w:tcW w:w="3539" w:type="dxa"/>
                  <w:gridSpan w:val="2"/>
                  <w:tcBorders>
                    <w:tl2br w:val="nil"/>
                    <w:tr2bl w:val="nil"/>
                  </w:tcBorders>
                  <w:shd w:val="clear" w:color="auto" w:fill="auto"/>
                  <w:noWrap/>
                  <w:vAlign w:val="center"/>
                </w:tcPr>
                <w:p w14:paraId="66F4590D">
                  <w:pPr>
                    <w:widowControl/>
                    <w:jc w:val="center"/>
                    <w:textAlignment w:val="center"/>
                    <w:rPr>
                      <w:rStyle w:val="44"/>
                      <w:rFonts w:hint="default" w:ascii="Times New Roman" w:hAnsi="Times New Roman" w:eastAsia="宋体" w:cs="Times New Roman"/>
                      <w:color w:val="auto"/>
                      <w:sz w:val="21"/>
                      <w:szCs w:val="21"/>
                      <w:lang w:bidi="ar"/>
                    </w:rPr>
                  </w:pPr>
                  <w:r>
                    <w:rPr>
                      <w:rStyle w:val="44"/>
                      <w:rFonts w:hint="default" w:ascii="Times New Roman" w:hAnsi="Times New Roman" w:eastAsia="宋体" w:cs="Times New Roman"/>
                      <w:color w:val="auto"/>
                      <w:sz w:val="21"/>
                      <w:szCs w:val="21"/>
                      <w:lang w:bidi="ar"/>
                    </w:rPr>
                    <w:t>DB37/T 4471—2021筛选值</w:t>
                  </w:r>
                </w:p>
              </w:tc>
              <w:tc>
                <w:tcPr>
                  <w:tcW w:w="704" w:type="dxa"/>
                  <w:tcBorders>
                    <w:tl2br w:val="nil"/>
                    <w:tr2bl w:val="nil"/>
                  </w:tcBorders>
                  <w:shd w:val="clear" w:color="auto" w:fill="auto"/>
                  <w:vAlign w:val="center"/>
                </w:tcPr>
                <w:p w14:paraId="47093BA3">
                  <w:pPr>
                    <w:widowControl/>
                    <w:jc w:val="center"/>
                    <w:textAlignment w:val="center"/>
                    <w:rPr>
                      <w:rStyle w:val="44"/>
                      <w:rFonts w:hint="default" w:ascii="Times New Roman" w:hAnsi="Times New Roman" w:eastAsia="宋体" w:cs="Times New Roman"/>
                      <w:color w:val="auto"/>
                      <w:sz w:val="21"/>
                      <w:szCs w:val="21"/>
                      <w:lang w:bidi="ar"/>
                    </w:rPr>
                  </w:pPr>
                  <w:r>
                    <w:rPr>
                      <w:rStyle w:val="44"/>
                      <w:rFonts w:hint="default" w:ascii="Times New Roman" w:hAnsi="Times New Roman" w:eastAsia="宋体" w:cs="Times New Roman"/>
                      <w:color w:val="auto"/>
                      <w:sz w:val="21"/>
                      <w:szCs w:val="21"/>
                      <w:lang w:bidi="ar"/>
                    </w:rPr>
                    <w:t>0.6</w:t>
                  </w:r>
                </w:p>
              </w:tc>
              <w:tc>
                <w:tcPr>
                  <w:tcW w:w="608" w:type="dxa"/>
                  <w:tcBorders>
                    <w:tl2br w:val="nil"/>
                    <w:tr2bl w:val="nil"/>
                  </w:tcBorders>
                  <w:shd w:val="clear" w:color="auto" w:fill="auto"/>
                  <w:vAlign w:val="center"/>
                </w:tcPr>
                <w:p w14:paraId="4841B5FB">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25</w:t>
                  </w:r>
                </w:p>
              </w:tc>
              <w:tc>
                <w:tcPr>
                  <w:tcW w:w="601" w:type="dxa"/>
                  <w:tcBorders>
                    <w:tl2br w:val="nil"/>
                    <w:tr2bl w:val="nil"/>
                  </w:tcBorders>
                  <w:shd w:val="clear" w:color="auto" w:fill="auto"/>
                  <w:vAlign w:val="center"/>
                </w:tcPr>
                <w:p w14:paraId="1BEF28E4">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0.6</w:t>
                  </w:r>
                </w:p>
              </w:tc>
              <w:tc>
                <w:tcPr>
                  <w:tcW w:w="548" w:type="dxa"/>
                  <w:tcBorders>
                    <w:tl2br w:val="nil"/>
                    <w:tr2bl w:val="nil"/>
                  </w:tcBorders>
                  <w:shd w:val="clear" w:color="auto" w:fill="auto"/>
                  <w:vAlign w:val="center"/>
                </w:tcPr>
                <w:p w14:paraId="410069FA">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140</w:t>
                  </w:r>
                </w:p>
              </w:tc>
              <w:tc>
                <w:tcPr>
                  <w:tcW w:w="546" w:type="dxa"/>
                  <w:tcBorders>
                    <w:tl2br w:val="nil"/>
                    <w:tr2bl w:val="nil"/>
                  </w:tcBorders>
                  <w:shd w:val="clear" w:color="auto" w:fill="auto"/>
                  <w:vAlign w:val="center"/>
                </w:tcPr>
                <w:p w14:paraId="47EE69AC">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250</w:t>
                  </w:r>
                </w:p>
              </w:tc>
              <w:tc>
                <w:tcPr>
                  <w:tcW w:w="584" w:type="dxa"/>
                  <w:tcBorders>
                    <w:tl2br w:val="nil"/>
                    <w:tr2bl w:val="nil"/>
                  </w:tcBorders>
                  <w:shd w:val="clear" w:color="auto" w:fill="auto"/>
                  <w:vAlign w:val="center"/>
                </w:tcPr>
                <w:p w14:paraId="2058BAC3">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300</w:t>
                  </w:r>
                </w:p>
              </w:tc>
              <w:tc>
                <w:tcPr>
                  <w:tcW w:w="548" w:type="dxa"/>
                  <w:tcBorders>
                    <w:tl2br w:val="nil"/>
                    <w:tr2bl w:val="nil"/>
                  </w:tcBorders>
                  <w:shd w:val="clear" w:color="auto" w:fill="auto"/>
                  <w:vAlign w:val="center"/>
                </w:tcPr>
                <w:p w14:paraId="07018510">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100</w:t>
                  </w:r>
                </w:p>
              </w:tc>
              <w:tc>
                <w:tcPr>
                  <w:tcW w:w="541" w:type="dxa"/>
                  <w:tcBorders>
                    <w:tl2br w:val="nil"/>
                    <w:tr2bl w:val="nil"/>
                  </w:tcBorders>
                  <w:shd w:val="clear" w:color="auto" w:fill="auto"/>
                  <w:vAlign w:val="center"/>
                </w:tcPr>
                <w:p w14:paraId="605A6F7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100</w:t>
                  </w:r>
                </w:p>
              </w:tc>
            </w:tr>
          </w:tbl>
          <w:p w14:paraId="357B2D6F">
            <w:pPr>
              <w:spacing w:line="360" w:lineRule="auto"/>
              <w:ind w:firstLine="480" w:firstLineChars="200"/>
              <w:rPr>
                <w:color w:val="auto"/>
                <w:sz w:val="24"/>
              </w:rPr>
            </w:pPr>
            <w:r>
              <w:rPr>
                <w:color w:val="auto"/>
                <w:sz w:val="24"/>
              </w:rPr>
              <w:t>（2）评价方法</w:t>
            </w:r>
          </w:p>
          <w:p w14:paraId="518ABD09">
            <w:pPr>
              <w:spacing w:line="360" w:lineRule="auto"/>
              <w:ind w:firstLine="480" w:firstLineChars="200"/>
              <w:rPr>
                <w:color w:val="auto"/>
                <w:sz w:val="24"/>
              </w:rPr>
            </w:pPr>
            <w:r>
              <w:rPr>
                <w:color w:val="auto"/>
                <w:sz w:val="24"/>
              </w:rPr>
              <w:t>单因子指数法：根据山东省《底泥重金属污染状况评价技术指南》（DB37/T4471-2021），将每一种重金属元素实测数据和标准对比，超过管制值的判定其为重度污染，超过筛选值但等于或低于管制值的判定其为轻中度污染，等于或低于筛选值的判定其为良好。</w:t>
            </w:r>
          </w:p>
          <w:p w14:paraId="5282E792">
            <w:pPr>
              <w:spacing w:line="360" w:lineRule="auto"/>
              <w:ind w:firstLine="480" w:firstLineChars="200"/>
              <w:rPr>
                <w:color w:val="auto"/>
                <w:sz w:val="24"/>
              </w:rPr>
            </w:pPr>
            <w:r>
              <w:rPr>
                <w:color w:val="auto"/>
                <w:sz w:val="24"/>
              </w:rPr>
              <w:t>（3）评价标准</w:t>
            </w:r>
          </w:p>
          <w:p w14:paraId="02FABC10">
            <w:pPr>
              <w:spacing w:line="360" w:lineRule="auto"/>
              <w:ind w:firstLine="480" w:firstLineChars="200"/>
              <w:rPr>
                <w:color w:val="auto"/>
                <w:sz w:val="24"/>
              </w:rPr>
            </w:pPr>
            <w:r>
              <w:rPr>
                <w:color w:val="auto"/>
                <w:sz w:val="24"/>
              </w:rPr>
              <w:t>本次河道底泥污染评价标准值参考《底泥重金属污染状况评价技术指南》（DB37/T4471-2021）附录A筛选值。</w:t>
            </w:r>
          </w:p>
          <w:p w14:paraId="680D5421">
            <w:pPr>
              <w:spacing w:line="360" w:lineRule="auto"/>
              <w:ind w:firstLine="480" w:firstLineChars="200"/>
              <w:rPr>
                <w:color w:val="auto"/>
                <w:sz w:val="24"/>
                <w:highlight w:val="none"/>
              </w:rPr>
            </w:pPr>
            <w:r>
              <w:rPr>
                <w:color w:val="auto"/>
                <w:sz w:val="24"/>
                <w:highlight w:val="none"/>
              </w:rPr>
              <w:t>（4）评价结果</w:t>
            </w:r>
          </w:p>
          <w:p w14:paraId="6D18BB46">
            <w:pPr>
              <w:spacing w:line="360" w:lineRule="auto"/>
              <w:jc w:val="center"/>
              <w:rPr>
                <w:rFonts w:hint="eastAsia"/>
                <w:b/>
                <w:color w:val="auto"/>
                <w:szCs w:val="21"/>
                <w:highlight w:val="none"/>
                <w:lang w:eastAsia="zh-CN"/>
              </w:rPr>
            </w:pPr>
            <w:r>
              <w:rPr>
                <w:b/>
                <w:color w:val="auto"/>
                <w:szCs w:val="21"/>
                <w:highlight w:val="none"/>
              </w:rPr>
              <w:t>表3-</w:t>
            </w:r>
            <w:r>
              <w:rPr>
                <w:rFonts w:hint="eastAsia"/>
                <w:b/>
                <w:color w:val="auto"/>
                <w:szCs w:val="21"/>
                <w:highlight w:val="none"/>
                <w:lang w:val="en-US" w:eastAsia="zh-CN"/>
              </w:rPr>
              <w:t>5</w:t>
            </w:r>
            <w:r>
              <w:rPr>
                <w:b/>
                <w:color w:val="auto"/>
                <w:szCs w:val="21"/>
                <w:highlight w:val="none"/>
              </w:rPr>
              <w:t xml:space="preserve"> 河道底泥现状监测结果</w:t>
            </w:r>
            <w:r>
              <w:rPr>
                <w:rFonts w:hint="eastAsia"/>
                <w:b/>
                <w:color w:val="auto"/>
                <w:szCs w:val="21"/>
                <w:highlight w:val="none"/>
                <w:lang w:eastAsia="zh-CN"/>
              </w:rPr>
              <w:t>评价</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483"/>
              <w:gridCol w:w="750"/>
              <w:gridCol w:w="733"/>
              <w:gridCol w:w="733"/>
              <w:gridCol w:w="750"/>
              <w:gridCol w:w="733"/>
              <w:gridCol w:w="766"/>
              <w:gridCol w:w="801"/>
              <w:gridCol w:w="703"/>
            </w:tblGrid>
            <w:tr w14:paraId="34014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tcBorders>
                    <w:tl2br w:val="nil"/>
                    <w:tr2bl w:val="nil"/>
                  </w:tcBorders>
                  <w:noWrap w:val="0"/>
                  <w:vAlign w:val="center"/>
                </w:tcPr>
                <w:p w14:paraId="509B4FEE">
                  <w:pPr>
                    <w:adjustRightInd w:val="0"/>
                    <w:snapToGrid w:val="0"/>
                    <w:spacing w:line="260" w:lineRule="exact"/>
                    <w:ind w:left="-105" w:leftChars="-50" w:right="-105" w:rightChars="-5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采样日期</w:t>
                  </w:r>
                </w:p>
              </w:tc>
              <w:tc>
                <w:tcPr>
                  <w:tcW w:w="902" w:type="pct"/>
                  <w:tcBorders>
                    <w:tl2br w:val="nil"/>
                    <w:tr2bl w:val="nil"/>
                  </w:tcBorders>
                  <w:noWrap w:val="0"/>
                  <w:vAlign w:val="center"/>
                </w:tcPr>
                <w:p w14:paraId="0C9B0FC2">
                  <w:pPr>
                    <w:adjustRightInd w:val="0"/>
                    <w:snapToGrid w:val="0"/>
                    <w:spacing w:line="260" w:lineRule="exact"/>
                    <w:ind w:left="-105" w:leftChars="-50" w:right="-105" w:rightChars="-5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采样点位</w:t>
                  </w:r>
                </w:p>
              </w:tc>
              <w:tc>
                <w:tcPr>
                  <w:tcW w:w="456" w:type="pct"/>
                  <w:tcBorders>
                    <w:tl2br w:val="nil"/>
                    <w:tr2bl w:val="nil"/>
                  </w:tcBorders>
                  <w:shd w:val="clear" w:color="auto" w:fill="auto"/>
                  <w:noWrap w:val="0"/>
                  <w:vAlign w:val="center"/>
                </w:tcPr>
                <w:p w14:paraId="62688184">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汞</w:t>
                  </w:r>
                </w:p>
              </w:tc>
              <w:tc>
                <w:tcPr>
                  <w:tcW w:w="446" w:type="pct"/>
                  <w:tcBorders>
                    <w:tl2br w:val="nil"/>
                    <w:tr2bl w:val="nil"/>
                  </w:tcBorders>
                  <w:shd w:val="clear" w:color="auto" w:fill="auto"/>
                  <w:noWrap w:val="0"/>
                  <w:vAlign w:val="center"/>
                </w:tcPr>
                <w:p w14:paraId="452B3142">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砷</w:t>
                  </w:r>
                </w:p>
              </w:tc>
              <w:tc>
                <w:tcPr>
                  <w:tcW w:w="446" w:type="pct"/>
                  <w:tcBorders>
                    <w:tl2br w:val="nil"/>
                    <w:tr2bl w:val="nil"/>
                  </w:tcBorders>
                  <w:shd w:val="clear" w:color="auto" w:fill="auto"/>
                  <w:noWrap w:val="0"/>
                  <w:vAlign w:val="center"/>
                </w:tcPr>
                <w:p w14:paraId="0D873910">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镉</w:t>
                  </w:r>
                </w:p>
              </w:tc>
              <w:tc>
                <w:tcPr>
                  <w:tcW w:w="456" w:type="pct"/>
                  <w:tcBorders>
                    <w:tl2br w:val="nil"/>
                    <w:tr2bl w:val="nil"/>
                  </w:tcBorders>
                  <w:shd w:val="clear" w:color="auto" w:fill="auto"/>
                  <w:noWrap w:val="0"/>
                  <w:vAlign w:val="center"/>
                </w:tcPr>
                <w:p w14:paraId="443CBCE7">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铅</w:t>
                  </w:r>
                </w:p>
              </w:tc>
              <w:tc>
                <w:tcPr>
                  <w:tcW w:w="446" w:type="pct"/>
                  <w:tcBorders>
                    <w:tl2br w:val="nil"/>
                    <w:tr2bl w:val="nil"/>
                  </w:tcBorders>
                  <w:shd w:val="clear" w:color="auto" w:fill="auto"/>
                  <w:noWrap w:val="0"/>
                  <w:vAlign w:val="center"/>
                </w:tcPr>
                <w:p w14:paraId="5F256577">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锌</w:t>
                  </w:r>
                </w:p>
              </w:tc>
              <w:tc>
                <w:tcPr>
                  <w:tcW w:w="466" w:type="pct"/>
                  <w:tcBorders>
                    <w:tl2br w:val="nil"/>
                    <w:tr2bl w:val="nil"/>
                  </w:tcBorders>
                  <w:shd w:val="clear" w:color="auto" w:fill="auto"/>
                  <w:noWrap w:val="0"/>
                  <w:vAlign w:val="center"/>
                </w:tcPr>
                <w:p w14:paraId="328C50E6">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铬</w:t>
                  </w:r>
                </w:p>
              </w:tc>
              <w:tc>
                <w:tcPr>
                  <w:tcW w:w="487" w:type="pct"/>
                  <w:tcBorders>
                    <w:tl2br w:val="nil"/>
                    <w:tr2bl w:val="nil"/>
                  </w:tcBorders>
                  <w:shd w:val="clear" w:color="auto" w:fill="auto"/>
                  <w:noWrap w:val="0"/>
                  <w:vAlign w:val="center"/>
                </w:tcPr>
                <w:p w14:paraId="217B7528">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铜</w:t>
                  </w:r>
                </w:p>
              </w:tc>
              <w:tc>
                <w:tcPr>
                  <w:tcW w:w="427" w:type="pct"/>
                  <w:tcBorders>
                    <w:tl2br w:val="nil"/>
                    <w:tr2bl w:val="nil"/>
                  </w:tcBorders>
                  <w:shd w:val="clear" w:color="auto" w:fill="auto"/>
                  <w:noWrap w:val="0"/>
                  <w:vAlign w:val="center"/>
                </w:tcPr>
                <w:p w14:paraId="236DAE4B">
                  <w:pPr>
                    <w:spacing w:beforeLines="0" w:afterLines="0"/>
                    <w:jc w:val="center"/>
                    <w:rPr>
                      <w:rFonts w:hint="default" w:ascii="宋体" w:hAnsi="宋体" w:eastAsia="宋体" w:cs="Times New Roman"/>
                      <w:b/>
                      <w:bCs/>
                      <w:color w:val="auto"/>
                      <w:kern w:val="2"/>
                      <w:sz w:val="21"/>
                      <w:szCs w:val="24"/>
                      <w:lang w:val="en-US" w:eastAsia="zh-CN" w:bidi="ar-SA"/>
                    </w:rPr>
                  </w:pPr>
                  <w:r>
                    <w:rPr>
                      <w:rFonts w:hint="eastAsia" w:ascii="宋体" w:hAnsi="宋体"/>
                      <w:b/>
                      <w:bCs/>
                      <w:color w:val="auto"/>
                      <w:sz w:val="21"/>
                      <w:szCs w:val="24"/>
                    </w:rPr>
                    <w:t>镍</w:t>
                  </w:r>
                </w:p>
              </w:tc>
            </w:tr>
            <w:tr w14:paraId="74CAE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restart"/>
                  <w:tcBorders>
                    <w:tl2br w:val="nil"/>
                    <w:tr2bl w:val="nil"/>
                  </w:tcBorders>
                  <w:shd w:val="clear" w:color="auto" w:fill="auto"/>
                  <w:noWrap w:val="0"/>
                  <w:vAlign w:val="center"/>
                </w:tcPr>
                <w:p w14:paraId="3D59866F">
                  <w:pPr>
                    <w:spacing w:beforeLines="0" w:afterLines="0"/>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rPr>
                    <w:t>2024.7.23</w:t>
                  </w:r>
                </w:p>
              </w:tc>
              <w:tc>
                <w:tcPr>
                  <w:tcW w:w="902" w:type="pct"/>
                  <w:tcBorders>
                    <w:tl2br w:val="nil"/>
                    <w:tr2bl w:val="nil"/>
                  </w:tcBorders>
                  <w:shd w:val="clear" w:color="auto" w:fill="auto"/>
                  <w:noWrap w:val="0"/>
                  <w:vAlign w:val="center"/>
                </w:tcPr>
                <w:p w14:paraId="166AE882">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漫泗河：漫泗河村段(E118.03992,N36.73000)</w:t>
                  </w:r>
                </w:p>
              </w:tc>
              <w:tc>
                <w:tcPr>
                  <w:tcW w:w="456" w:type="pct"/>
                  <w:tcBorders>
                    <w:tl2br w:val="nil"/>
                    <w:tr2bl w:val="nil"/>
                  </w:tcBorders>
                  <w:shd w:val="clear" w:color="auto" w:fill="auto"/>
                  <w:noWrap w:val="0"/>
                  <w:vAlign w:val="center"/>
                </w:tcPr>
                <w:p w14:paraId="5736B0F5">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0.077</w:t>
                  </w:r>
                </w:p>
              </w:tc>
              <w:tc>
                <w:tcPr>
                  <w:tcW w:w="446" w:type="pct"/>
                  <w:tcBorders>
                    <w:tl2br w:val="nil"/>
                    <w:tr2bl w:val="nil"/>
                  </w:tcBorders>
                  <w:shd w:val="clear" w:color="auto" w:fill="auto"/>
                  <w:noWrap w:val="0"/>
                  <w:vAlign w:val="center"/>
                </w:tcPr>
                <w:p w14:paraId="79B60A1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0.073</w:t>
                  </w:r>
                </w:p>
              </w:tc>
              <w:tc>
                <w:tcPr>
                  <w:tcW w:w="446" w:type="pct"/>
                  <w:tcBorders>
                    <w:tl2br w:val="nil"/>
                    <w:tr2bl w:val="nil"/>
                  </w:tcBorders>
                  <w:shd w:val="clear" w:color="auto" w:fill="auto"/>
                  <w:noWrap w:val="0"/>
                  <w:vAlign w:val="center"/>
                </w:tcPr>
                <w:p w14:paraId="282742F7">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0.500</w:t>
                  </w:r>
                </w:p>
              </w:tc>
              <w:tc>
                <w:tcPr>
                  <w:tcW w:w="456" w:type="pct"/>
                  <w:tcBorders>
                    <w:tl2br w:val="nil"/>
                    <w:tr2bl w:val="nil"/>
                  </w:tcBorders>
                  <w:shd w:val="clear" w:color="auto" w:fill="auto"/>
                  <w:noWrap w:val="0"/>
                  <w:vAlign w:val="center"/>
                </w:tcPr>
                <w:p w14:paraId="7F7EA1C8">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0.243</w:t>
                  </w:r>
                </w:p>
              </w:tc>
              <w:tc>
                <w:tcPr>
                  <w:tcW w:w="446" w:type="pct"/>
                  <w:tcBorders>
                    <w:tl2br w:val="nil"/>
                    <w:tr2bl w:val="nil"/>
                  </w:tcBorders>
                  <w:shd w:val="clear" w:color="auto" w:fill="auto"/>
                  <w:noWrap w:val="0"/>
                  <w:vAlign w:val="center"/>
                </w:tcPr>
                <w:p w14:paraId="38837B97">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0.192</w:t>
                  </w:r>
                </w:p>
              </w:tc>
              <w:tc>
                <w:tcPr>
                  <w:tcW w:w="466" w:type="pct"/>
                  <w:tcBorders>
                    <w:tl2br w:val="nil"/>
                    <w:tr2bl w:val="nil"/>
                  </w:tcBorders>
                  <w:shd w:val="clear" w:color="auto" w:fill="auto"/>
                  <w:noWrap w:val="0"/>
                  <w:vAlign w:val="center"/>
                </w:tcPr>
                <w:p w14:paraId="63712D29">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0.140</w:t>
                  </w:r>
                </w:p>
              </w:tc>
              <w:tc>
                <w:tcPr>
                  <w:tcW w:w="487" w:type="pct"/>
                  <w:tcBorders>
                    <w:tl2br w:val="nil"/>
                    <w:tr2bl w:val="nil"/>
                  </w:tcBorders>
                  <w:shd w:val="clear" w:color="auto" w:fill="auto"/>
                  <w:noWrap w:val="0"/>
                  <w:vAlign w:val="center"/>
                </w:tcPr>
                <w:p w14:paraId="3C46AA67">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0.220</w:t>
                  </w:r>
                </w:p>
              </w:tc>
              <w:tc>
                <w:tcPr>
                  <w:tcW w:w="427" w:type="pct"/>
                  <w:tcBorders>
                    <w:tl2br w:val="nil"/>
                    <w:tr2bl w:val="nil"/>
                  </w:tcBorders>
                  <w:shd w:val="clear" w:color="auto" w:fill="auto"/>
                  <w:noWrap w:val="0"/>
                  <w:vAlign w:val="center"/>
                </w:tcPr>
                <w:p w14:paraId="2B09F319">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0.220</w:t>
                  </w:r>
                </w:p>
              </w:tc>
            </w:tr>
            <w:tr w14:paraId="25299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shd w:val="clear" w:color="auto" w:fill="auto"/>
                  <w:noWrap w:val="0"/>
                  <w:vAlign w:val="center"/>
                </w:tcPr>
                <w:p w14:paraId="53A71E5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902" w:type="pct"/>
                  <w:tcBorders>
                    <w:tl2br w:val="nil"/>
                    <w:tr2bl w:val="nil"/>
                  </w:tcBorders>
                  <w:shd w:val="clear" w:color="auto" w:fill="auto"/>
                  <w:noWrap w:val="0"/>
                  <w:vAlign w:val="center"/>
                </w:tcPr>
                <w:p w14:paraId="17AD7C16">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涝淄河：昌国路下游河段(E118.09452,N36.77414)</w:t>
                  </w:r>
                </w:p>
              </w:tc>
              <w:tc>
                <w:tcPr>
                  <w:tcW w:w="456" w:type="pct"/>
                  <w:tcBorders>
                    <w:tl2br w:val="nil"/>
                    <w:tr2bl w:val="nil"/>
                  </w:tcBorders>
                  <w:shd w:val="clear" w:color="auto" w:fill="auto"/>
                  <w:noWrap w:val="0"/>
                  <w:vAlign w:val="center"/>
                </w:tcPr>
                <w:p w14:paraId="1859C398">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0.057</w:t>
                  </w:r>
                </w:p>
              </w:tc>
              <w:tc>
                <w:tcPr>
                  <w:tcW w:w="446" w:type="pct"/>
                  <w:tcBorders>
                    <w:tl2br w:val="nil"/>
                    <w:tr2bl w:val="nil"/>
                  </w:tcBorders>
                  <w:shd w:val="clear" w:color="auto" w:fill="auto"/>
                  <w:noWrap w:val="0"/>
                  <w:vAlign w:val="center"/>
                </w:tcPr>
                <w:p w14:paraId="114D5FDF">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0.058</w:t>
                  </w:r>
                </w:p>
              </w:tc>
              <w:tc>
                <w:tcPr>
                  <w:tcW w:w="446" w:type="pct"/>
                  <w:tcBorders>
                    <w:tl2br w:val="nil"/>
                    <w:tr2bl w:val="nil"/>
                  </w:tcBorders>
                  <w:shd w:val="clear" w:color="auto" w:fill="auto"/>
                  <w:noWrap w:val="0"/>
                  <w:vAlign w:val="center"/>
                </w:tcPr>
                <w:p w14:paraId="3AF8A163">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0.433</w:t>
                  </w:r>
                </w:p>
              </w:tc>
              <w:tc>
                <w:tcPr>
                  <w:tcW w:w="456" w:type="pct"/>
                  <w:tcBorders>
                    <w:tl2br w:val="nil"/>
                    <w:tr2bl w:val="nil"/>
                  </w:tcBorders>
                  <w:shd w:val="clear" w:color="auto" w:fill="auto"/>
                  <w:noWrap w:val="0"/>
                  <w:vAlign w:val="center"/>
                </w:tcPr>
                <w:p w14:paraId="574E60B0">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0.200</w:t>
                  </w:r>
                </w:p>
              </w:tc>
              <w:tc>
                <w:tcPr>
                  <w:tcW w:w="446" w:type="pct"/>
                  <w:tcBorders>
                    <w:tl2br w:val="nil"/>
                    <w:tr2bl w:val="nil"/>
                  </w:tcBorders>
                  <w:shd w:val="clear" w:color="auto" w:fill="auto"/>
                  <w:noWrap w:val="0"/>
                  <w:vAlign w:val="center"/>
                </w:tcPr>
                <w:p w14:paraId="0272B627">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0.180</w:t>
                  </w:r>
                </w:p>
              </w:tc>
              <w:tc>
                <w:tcPr>
                  <w:tcW w:w="466" w:type="pct"/>
                  <w:tcBorders>
                    <w:tl2br w:val="nil"/>
                    <w:tr2bl w:val="nil"/>
                  </w:tcBorders>
                  <w:shd w:val="clear" w:color="auto" w:fill="auto"/>
                  <w:noWrap w:val="0"/>
                  <w:vAlign w:val="center"/>
                </w:tcPr>
                <w:p w14:paraId="62CEEAC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0.117</w:t>
                  </w:r>
                </w:p>
              </w:tc>
              <w:tc>
                <w:tcPr>
                  <w:tcW w:w="487" w:type="pct"/>
                  <w:tcBorders>
                    <w:tl2br w:val="nil"/>
                    <w:tr2bl w:val="nil"/>
                  </w:tcBorders>
                  <w:shd w:val="clear" w:color="auto" w:fill="auto"/>
                  <w:noWrap w:val="0"/>
                  <w:vAlign w:val="center"/>
                </w:tcPr>
                <w:p w14:paraId="683FA535">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0.200</w:t>
                  </w:r>
                </w:p>
              </w:tc>
              <w:tc>
                <w:tcPr>
                  <w:tcW w:w="427" w:type="pct"/>
                  <w:tcBorders>
                    <w:tl2br w:val="nil"/>
                    <w:tr2bl w:val="nil"/>
                  </w:tcBorders>
                  <w:shd w:val="clear" w:color="auto" w:fill="auto"/>
                  <w:noWrap w:val="0"/>
                  <w:vAlign w:val="center"/>
                </w:tcPr>
                <w:p w14:paraId="354E491F">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0.210</w:t>
                  </w:r>
                </w:p>
              </w:tc>
            </w:tr>
            <w:tr w14:paraId="347814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shd w:val="clear" w:color="auto" w:fill="auto"/>
                  <w:noWrap w:val="0"/>
                  <w:vAlign w:val="center"/>
                </w:tcPr>
                <w:p w14:paraId="5825AD4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902" w:type="pct"/>
                  <w:tcBorders>
                    <w:tl2br w:val="nil"/>
                    <w:tr2bl w:val="nil"/>
                  </w:tcBorders>
                  <w:shd w:val="clear" w:color="auto" w:fill="auto"/>
                  <w:noWrap w:val="0"/>
                  <w:vAlign w:val="center"/>
                </w:tcPr>
                <w:p w14:paraId="48D3A90C">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暖水河：车站街下游河段（E118.03240,N36.72867）</w:t>
                  </w:r>
                </w:p>
              </w:tc>
              <w:tc>
                <w:tcPr>
                  <w:tcW w:w="456" w:type="pct"/>
                  <w:tcBorders>
                    <w:tl2br w:val="nil"/>
                    <w:tr2bl w:val="nil"/>
                  </w:tcBorders>
                  <w:shd w:val="clear" w:color="auto" w:fill="auto"/>
                  <w:noWrap w:val="0"/>
                  <w:vAlign w:val="center"/>
                </w:tcPr>
                <w:p w14:paraId="110DDAA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0.053</w:t>
                  </w:r>
                </w:p>
              </w:tc>
              <w:tc>
                <w:tcPr>
                  <w:tcW w:w="446" w:type="pct"/>
                  <w:tcBorders>
                    <w:tl2br w:val="nil"/>
                    <w:tr2bl w:val="nil"/>
                  </w:tcBorders>
                  <w:shd w:val="clear" w:color="auto" w:fill="auto"/>
                  <w:noWrap w:val="0"/>
                  <w:vAlign w:val="center"/>
                </w:tcPr>
                <w:p w14:paraId="72A8D710">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0.051</w:t>
                  </w:r>
                </w:p>
              </w:tc>
              <w:tc>
                <w:tcPr>
                  <w:tcW w:w="446" w:type="pct"/>
                  <w:tcBorders>
                    <w:tl2br w:val="nil"/>
                    <w:tr2bl w:val="nil"/>
                  </w:tcBorders>
                  <w:shd w:val="clear" w:color="auto" w:fill="auto"/>
                  <w:noWrap w:val="0"/>
                  <w:vAlign w:val="center"/>
                </w:tcPr>
                <w:p w14:paraId="3079955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0.483</w:t>
                  </w:r>
                </w:p>
              </w:tc>
              <w:tc>
                <w:tcPr>
                  <w:tcW w:w="456" w:type="pct"/>
                  <w:tcBorders>
                    <w:tl2br w:val="nil"/>
                    <w:tr2bl w:val="nil"/>
                  </w:tcBorders>
                  <w:shd w:val="clear" w:color="auto" w:fill="auto"/>
                  <w:noWrap w:val="0"/>
                  <w:vAlign w:val="center"/>
                </w:tcPr>
                <w:p w14:paraId="6C765A41">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0.236</w:t>
                  </w:r>
                </w:p>
              </w:tc>
              <w:tc>
                <w:tcPr>
                  <w:tcW w:w="446" w:type="pct"/>
                  <w:tcBorders>
                    <w:tl2br w:val="nil"/>
                    <w:tr2bl w:val="nil"/>
                  </w:tcBorders>
                  <w:shd w:val="clear" w:color="auto" w:fill="auto"/>
                  <w:noWrap w:val="0"/>
                  <w:vAlign w:val="center"/>
                </w:tcPr>
                <w:p w14:paraId="65088C23">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0.192</w:t>
                  </w:r>
                </w:p>
              </w:tc>
              <w:tc>
                <w:tcPr>
                  <w:tcW w:w="466" w:type="pct"/>
                  <w:tcBorders>
                    <w:tl2br w:val="nil"/>
                    <w:tr2bl w:val="nil"/>
                  </w:tcBorders>
                  <w:shd w:val="clear" w:color="auto" w:fill="auto"/>
                  <w:noWrap w:val="0"/>
                  <w:vAlign w:val="center"/>
                </w:tcPr>
                <w:p w14:paraId="1645278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0.143</w:t>
                  </w:r>
                </w:p>
              </w:tc>
              <w:tc>
                <w:tcPr>
                  <w:tcW w:w="487" w:type="pct"/>
                  <w:tcBorders>
                    <w:tl2br w:val="nil"/>
                    <w:tr2bl w:val="nil"/>
                  </w:tcBorders>
                  <w:shd w:val="clear" w:color="auto" w:fill="auto"/>
                  <w:noWrap w:val="0"/>
                  <w:vAlign w:val="center"/>
                </w:tcPr>
                <w:p w14:paraId="6C82808F">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0.230</w:t>
                  </w:r>
                </w:p>
              </w:tc>
              <w:tc>
                <w:tcPr>
                  <w:tcW w:w="427" w:type="pct"/>
                  <w:tcBorders>
                    <w:tl2br w:val="nil"/>
                    <w:tr2bl w:val="nil"/>
                  </w:tcBorders>
                  <w:shd w:val="clear" w:color="auto" w:fill="auto"/>
                  <w:noWrap w:val="0"/>
                  <w:vAlign w:val="center"/>
                </w:tcPr>
                <w:p w14:paraId="0D69BD93">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0.220</w:t>
                  </w:r>
                </w:p>
              </w:tc>
            </w:tr>
            <w:tr w14:paraId="751D9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shd w:val="clear" w:color="auto" w:fill="auto"/>
                  <w:noWrap w:val="0"/>
                  <w:vAlign w:val="center"/>
                </w:tcPr>
                <w:p w14:paraId="4D99790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902" w:type="pct"/>
                  <w:tcBorders>
                    <w:tl2br w:val="nil"/>
                    <w:tr2bl w:val="nil"/>
                  </w:tcBorders>
                  <w:shd w:val="clear" w:color="auto" w:fill="auto"/>
                  <w:noWrap w:val="0"/>
                  <w:vAlign w:val="center"/>
                </w:tcPr>
                <w:p w14:paraId="3377782A">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瓦村沟：柳泉路下游河段（E118.00639,N36.73016）</w:t>
                  </w:r>
                </w:p>
              </w:tc>
              <w:tc>
                <w:tcPr>
                  <w:tcW w:w="456" w:type="pct"/>
                  <w:tcBorders>
                    <w:tl2br w:val="nil"/>
                    <w:tr2bl w:val="nil"/>
                  </w:tcBorders>
                  <w:shd w:val="clear" w:color="auto" w:fill="auto"/>
                  <w:noWrap w:val="0"/>
                  <w:vAlign w:val="center"/>
                </w:tcPr>
                <w:p w14:paraId="5A4428C5">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0.055</w:t>
                  </w:r>
                </w:p>
              </w:tc>
              <w:tc>
                <w:tcPr>
                  <w:tcW w:w="446" w:type="pct"/>
                  <w:tcBorders>
                    <w:tl2br w:val="nil"/>
                    <w:tr2bl w:val="nil"/>
                  </w:tcBorders>
                  <w:shd w:val="clear" w:color="auto" w:fill="auto"/>
                  <w:noWrap w:val="0"/>
                  <w:vAlign w:val="center"/>
                </w:tcPr>
                <w:p w14:paraId="2BC8CFDF">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0.125</w:t>
                  </w:r>
                </w:p>
              </w:tc>
              <w:tc>
                <w:tcPr>
                  <w:tcW w:w="446" w:type="pct"/>
                  <w:tcBorders>
                    <w:tl2br w:val="nil"/>
                    <w:tr2bl w:val="nil"/>
                  </w:tcBorders>
                  <w:shd w:val="clear" w:color="auto" w:fill="auto"/>
                  <w:noWrap w:val="0"/>
                  <w:vAlign w:val="center"/>
                </w:tcPr>
                <w:p w14:paraId="7F7534DD">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0.567</w:t>
                  </w:r>
                </w:p>
              </w:tc>
              <w:tc>
                <w:tcPr>
                  <w:tcW w:w="456" w:type="pct"/>
                  <w:tcBorders>
                    <w:tl2br w:val="nil"/>
                    <w:tr2bl w:val="nil"/>
                  </w:tcBorders>
                  <w:shd w:val="clear" w:color="auto" w:fill="auto"/>
                  <w:noWrap w:val="0"/>
                  <w:vAlign w:val="center"/>
                </w:tcPr>
                <w:p w14:paraId="0A437518">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0.250</w:t>
                  </w:r>
                </w:p>
              </w:tc>
              <w:tc>
                <w:tcPr>
                  <w:tcW w:w="446" w:type="pct"/>
                  <w:tcBorders>
                    <w:tl2br w:val="nil"/>
                    <w:tr2bl w:val="nil"/>
                  </w:tcBorders>
                  <w:shd w:val="clear" w:color="auto" w:fill="auto"/>
                  <w:noWrap w:val="0"/>
                  <w:vAlign w:val="center"/>
                </w:tcPr>
                <w:p w14:paraId="67F63595">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0.212</w:t>
                  </w:r>
                </w:p>
              </w:tc>
              <w:tc>
                <w:tcPr>
                  <w:tcW w:w="466" w:type="pct"/>
                  <w:tcBorders>
                    <w:tl2br w:val="nil"/>
                    <w:tr2bl w:val="nil"/>
                  </w:tcBorders>
                  <w:shd w:val="clear" w:color="auto" w:fill="auto"/>
                  <w:noWrap w:val="0"/>
                  <w:vAlign w:val="center"/>
                </w:tcPr>
                <w:p w14:paraId="69B0CB4E">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0.140</w:t>
                  </w:r>
                </w:p>
              </w:tc>
              <w:tc>
                <w:tcPr>
                  <w:tcW w:w="487" w:type="pct"/>
                  <w:tcBorders>
                    <w:tl2br w:val="nil"/>
                    <w:tr2bl w:val="nil"/>
                  </w:tcBorders>
                  <w:shd w:val="clear" w:color="auto" w:fill="auto"/>
                  <w:noWrap w:val="0"/>
                  <w:vAlign w:val="center"/>
                </w:tcPr>
                <w:p w14:paraId="76FC1EC2">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0.260</w:t>
                  </w:r>
                </w:p>
              </w:tc>
              <w:tc>
                <w:tcPr>
                  <w:tcW w:w="427" w:type="pct"/>
                  <w:tcBorders>
                    <w:tl2br w:val="nil"/>
                    <w:tr2bl w:val="nil"/>
                  </w:tcBorders>
                  <w:shd w:val="clear" w:color="auto" w:fill="auto"/>
                  <w:noWrap w:val="0"/>
                  <w:vAlign w:val="center"/>
                </w:tcPr>
                <w:p w14:paraId="1E1BF104">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0.260</w:t>
                  </w:r>
                </w:p>
              </w:tc>
            </w:tr>
            <w:tr w14:paraId="767239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shd w:val="clear" w:color="auto" w:fill="auto"/>
                  <w:noWrap w:val="0"/>
                  <w:vAlign w:val="center"/>
                </w:tcPr>
                <w:p w14:paraId="431819DB">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tcBorders>
                    <w:tl2br w:val="nil"/>
                    <w:tr2bl w:val="nil"/>
                  </w:tcBorders>
                  <w:shd w:val="clear" w:color="auto" w:fill="auto"/>
                  <w:noWrap w:val="0"/>
                  <w:vAlign w:val="center"/>
                </w:tcPr>
                <w:p w14:paraId="5712A014">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白蛇沟：李家村段（E117.96229,N36.78284）</w:t>
                  </w:r>
                </w:p>
              </w:tc>
              <w:tc>
                <w:tcPr>
                  <w:tcW w:w="456" w:type="pct"/>
                  <w:tcBorders>
                    <w:tl2br w:val="nil"/>
                    <w:tr2bl w:val="nil"/>
                  </w:tcBorders>
                  <w:shd w:val="clear" w:color="auto" w:fill="auto"/>
                  <w:noWrap w:val="0"/>
                  <w:vAlign w:val="center"/>
                </w:tcPr>
                <w:p w14:paraId="057238F0">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0.108</w:t>
                  </w:r>
                </w:p>
              </w:tc>
              <w:tc>
                <w:tcPr>
                  <w:tcW w:w="446" w:type="pct"/>
                  <w:tcBorders>
                    <w:tl2br w:val="nil"/>
                    <w:tr2bl w:val="nil"/>
                  </w:tcBorders>
                  <w:shd w:val="clear" w:color="auto" w:fill="auto"/>
                  <w:noWrap w:val="0"/>
                  <w:vAlign w:val="center"/>
                </w:tcPr>
                <w:p w14:paraId="4EDB6FED">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0.055</w:t>
                  </w:r>
                </w:p>
              </w:tc>
              <w:tc>
                <w:tcPr>
                  <w:tcW w:w="446" w:type="pct"/>
                  <w:tcBorders>
                    <w:tl2br w:val="nil"/>
                    <w:tr2bl w:val="nil"/>
                  </w:tcBorders>
                  <w:shd w:val="clear" w:color="auto" w:fill="auto"/>
                  <w:noWrap w:val="0"/>
                  <w:vAlign w:val="center"/>
                </w:tcPr>
                <w:p w14:paraId="513EE62D">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0.500</w:t>
                  </w:r>
                </w:p>
              </w:tc>
              <w:tc>
                <w:tcPr>
                  <w:tcW w:w="456" w:type="pct"/>
                  <w:tcBorders>
                    <w:tl2br w:val="nil"/>
                    <w:tr2bl w:val="nil"/>
                  </w:tcBorders>
                  <w:shd w:val="clear" w:color="auto" w:fill="auto"/>
                  <w:noWrap w:val="0"/>
                  <w:vAlign w:val="center"/>
                </w:tcPr>
                <w:p w14:paraId="63B8F023">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0.207</w:t>
                  </w:r>
                </w:p>
              </w:tc>
              <w:tc>
                <w:tcPr>
                  <w:tcW w:w="446" w:type="pct"/>
                  <w:tcBorders>
                    <w:tl2br w:val="nil"/>
                    <w:tr2bl w:val="nil"/>
                  </w:tcBorders>
                  <w:shd w:val="clear" w:color="auto" w:fill="auto"/>
                  <w:noWrap w:val="0"/>
                  <w:vAlign w:val="center"/>
                </w:tcPr>
                <w:p w14:paraId="77CEEB4C">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0.172</w:t>
                  </w:r>
                </w:p>
              </w:tc>
              <w:tc>
                <w:tcPr>
                  <w:tcW w:w="466" w:type="pct"/>
                  <w:tcBorders>
                    <w:tl2br w:val="nil"/>
                    <w:tr2bl w:val="nil"/>
                  </w:tcBorders>
                  <w:shd w:val="clear" w:color="auto" w:fill="auto"/>
                  <w:noWrap w:val="0"/>
                  <w:vAlign w:val="center"/>
                </w:tcPr>
                <w:p w14:paraId="76D84471">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0.137</w:t>
                  </w:r>
                </w:p>
              </w:tc>
              <w:tc>
                <w:tcPr>
                  <w:tcW w:w="487" w:type="pct"/>
                  <w:tcBorders>
                    <w:tl2br w:val="nil"/>
                    <w:tr2bl w:val="nil"/>
                  </w:tcBorders>
                  <w:shd w:val="clear" w:color="auto" w:fill="auto"/>
                  <w:noWrap w:val="0"/>
                  <w:vAlign w:val="center"/>
                </w:tcPr>
                <w:p w14:paraId="56C56D64">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0.270</w:t>
                  </w:r>
                </w:p>
              </w:tc>
              <w:tc>
                <w:tcPr>
                  <w:tcW w:w="427" w:type="pct"/>
                  <w:tcBorders>
                    <w:tl2br w:val="nil"/>
                    <w:tr2bl w:val="nil"/>
                  </w:tcBorders>
                  <w:shd w:val="clear" w:color="auto" w:fill="auto"/>
                  <w:noWrap w:val="0"/>
                  <w:vAlign w:val="center"/>
                </w:tcPr>
                <w:p w14:paraId="173C5FEB">
                  <w:pPr>
                    <w:spacing w:beforeLines="0" w:afterLine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0.270</w:t>
                  </w:r>
                </w:p>
              </w:tc>
            </w:tr>
            <w:tr w14:paraId="1FD6F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shd w:val="clear" w:color="auto" w:fill="auto"/>
                  <w:noWrap w:val="0"/>
                  <w:vAlign w:val="center"/>
                </w:tcPr>
                <w:p w14:paraId="14300C7B">
                  <w:pPr>
                    <w:spacing w:beforeLines="0" w:afterLines="0"/>
                    <w:jc w:val="center"/>
                    <w:rPr>
                      <w:rFonts w:hint="default" w:ascii="Times New Roman" w:hAnsi="Times New Roman" w:eastAsia="宋体" w:cs="Times New Roman"/>
                      <w:color w:val="auto"/>
                      <w:kern w:val="2"/>
                      <w:sz w:val="21"/>
                      <w:szCs w:val="21"/>
                      <w:lang w:val="en-US" w:eastAsia="zh-CN" w:bidi="ar-SA"/>
                    </w:rPr>
                  </w:pPr>
                </w:p>
              </w:tc>
              <w:tc>
                <w:tcPr>
                  <w:tcW w:w="902" w:type="pct"/>
                  <w:tcBorders>
                    <w:tl2br w:val="nil"/>
                    <w:tr2bl w:val="nil"/>
                  </w:tcBorders>
                  <w:shd w:val="clear" w:color="auto" w:fill="auto"/>
                  <w:noWrap w:val="0"/>
                  <w:vAlign w:val="center"/>
                </w:tcPr>
                <w:p w14:paraId="5530C1B0">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焕然河：官三村段（E117.93444,N36.73737）</w:t>
                  </w:r>
                </w:p>
              </w:tc>
              <w:tc>
                <w:tcPr>
                  <w:tcW w:w="456" w:type="pct"/>
                  <w:tcBorders>
                    <w:tl2br w:val="nil"/>
                    <w:tr2bl w:val="nil"/>
                  </w:tcBorders>
                  <w:shd w:val="clear" w:color="auto" w:fill="auto"/>
                  <w:noWrap w:val="0"/>
                  <w:vAlign w:val="center"/>
                </w:tcPr>
                <w:p w14:paraId="5995CA4F">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0.098</w:t>
                  </w:r>
                </w:p>
              </w:tc>
              <w:tc>
                <w:tcPr>
                  <w:tcW w:w="446" w:type="pct"/>
                  <w:tcBorders>
                    <w:tl2br w:val="nil"/>
                    <w:tr2bl w:val="nil"/>
                  </w:tcBorders>
                  <w:shd w:val="clear" w:color="auto" w:fill="auto"/>
                  <w:noWrap w:val="0"/>
                  <w:vAlign w:val="center"/>
                </w:tcPr>
                <w:p w14:paraId="33DAAA7E">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0.066</w:t>
                  </w:r>
                </w:p>
              </w:tc>
              <w:tc>
                <w:tcPr>
                  <w:tcW w:w="446" w:type="pct"/>
                  <w:tcBorders>
                    <w:tl2br w:val="nil"/>
                    <w:tr2bl w:val="nil"/>
                  </w:tcBorders>
                  <w:shd w:val="clear" w:color="auto" w:fill="auto"/>
                  <w:noWrap w:val="0"/>
                  <w:vAlign w:val="center"/>
                </w:tcPr>
                <w:p w14:paraId="452AE32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0.533</w:t>
                  </w:r>
                </w:p>
              </w:tc>
              <w:tc>
                <w:tcPr>
                  <w:tcW w:w="456" w:type="pct"/>
                  <w:tcBorders>
                    <w:tl2br w:val="nil"/>
                    <w:tr2bl w:val="nil"/>
                  </w:tcBorders>
                  <w:shd w:val="clear" w:color="auto" w:fill="auto"/>
                  <w:noWrap w:val="0"/>
                  <w:vAlign w:val="center"/>
                </w:tcPr>
                <w:p w14:paraId="77DA70AE">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0.221</w:t>
                  </w:r>
                </w:p>
              </w:tc>
              <w:tc>
                <w:tcPr>
                  <w:tcW w:w="446" w:type="pct"/>
                  <w:tcBorders>
                    <w:tl2br w:val="nil"/>
                    <w:tr2bl w:val="nil"/>
                  </w:tcBorders>
                  <w:shd w:val="clear" w:color="auto" w:fill="auto"/>
                  <w:noWrap w:val="0"/>
                  <w:vAlign w:val="center"/>
                </w:tcPr>
                <w:p w14:paraId="6BCB6CE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0.176</w:t>
                  </w:r>
                </w:p>
              </w:tc>
              <w:tc>
                <w:tcPr>
                  <w:tcW w:w="466" w:type="pct"/>
                  <w:tcBorders>
                    <w:tl2br w:val="nil"/>
                    <w:tr2bl w:val="nil"/>
                  </w:tcBorders>
                  <w:shd w:val="clear" w:color="auto" w:fill="auto"/>
                  <w:noWrap w:val="0"/>
                  <w:vAlign w:val="center"/>
                </w:tcPr>
                <w:p w14:paraId="22651D8B">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0.147</w:t>
                  </w:r>
                </w:p>
              </w:tc>
              <w:tc>
                <w:tcPr>
                  <w:tcW w:w="487" w:type="pct"/>
                  <w:tcBorders>
                    <w:tl2br w:val="nil"/>
                    <w:tr2bl w:val="nil"/>
                  </w:tcBorders>
                  <w:shd w:val="clear" w:color="auto" w:fill="auto"/>
                  <w:noWrap w:val="0"/>
                  <w:vAlign w:val="center"/>
                </w:tcPr>
                <w:p w14:paraId="56E45165">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0.290</w:t>
                  </w:r>
                </w:p>
              </w:tc>
              <w:tc>
                <w:tcPr>
                  <w:tcW w:w="427" w:type="pct"/>
                  <w:tcBorders>
                    <w:tl2br w:val="nil"/>
                    <w:tr2bl w:val="nil"/>
                  </w:tcBorders>
                  <w:shd w:val="clear" w:color="auto" w:fill="auto"/>
                  <w:noWrap w:val="0"/>
                  <w:vAlign w:val="center"/>
                </w:tcPr>
                <w:p w14:paraId="39A7291E">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0.300</w:t>
                  </w:r>
                </w:p>
              </w:tc>
            </w:tr>
            <w:tr w14:paraId="2EEEEC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restart"/>
                  <w:tcBorders>
                    <w:tl2br w:val="nil"/>
                    <w:tr2bl w:val="nil"/>
                  </w:tcBorders>
                  <w:shd w:val="clear" w:color="auto" w:fill="auto"/>
                  <w:noWrap w:val="0"/>
                  <w:vAlign w:val="center"/>
                </w:tcPr>
                <w:p w14:paraId="13EE1CB1">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2025.12.26</w:t>
                  </w:r>
                </w:p>
              </w:tc>
              <w:tc>
                <w:tcPr>
                  <w:tcW w:w="902" w:type="pct"/>
                  <w:tcBorders>
                    <w:tl2br w:val="nil"/>
                    <w:tr2bl w:val="nil"/>
                  </w:tcBorders>
                  <w:shd w:val="clear" w:color="auto" w:fill="auto"/>
                  <w:noWrap w:val="0"/>
                  <w:vAlign w:val="center"/>
                </w:tcPr>
                <w:p w14:paraId="779418F5">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东猪龙河上游：东支（E118.05400,N36.76852）</w:t>
                  </w:r>
                </w:p>
              </w:tc>
              <w:tc>
                <w:tcPr>
                  <w:tcW w:w="456" w:type="pct"/>
                  <w:tcBorders>
                    <w:tl2br w:val="nil"/>
                    <w:tr2bl w:val="nil"/>
                  </w:tcBorders>
                  <w:shd w:val="clear" w:color="auto" w:fill="auto"/>
                  <w:noWrap w:val="0"/>
                  <w:vAlign w:val="center"/>
                </w:tcPr>
                <w:p w14:paraId="4A8E01AD">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0.083</w:t>
                  </w:r>
                </w:p>
              </w:tc>
              <w:tc>
                <w:tcPr>
                  <w:tcW w:w="446" w:type="pct"/>
                  <w:tcBorders>
                    <w:tl2br w:val="nil"/>
                    <w:tr2bl w:val="nil"/>
                  </w:tcBorders>
                  <w:shd w:val="clear" w:color="auto" w:fill="auto"/>
                  <w:noWrap w:val="0"/>
                  <w:vAlign w:val="center"/>
                </w:tcPr>
                <w:p w14:paraId="18A6442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0.333</w:t>
                  </w:r>
                </w:p>
              </w:tc>
              <w:tc>
                <w:tcPr>
                  <w:tcW w:w="446" w:type="pct"/>
                  <w:tcBorders>
                    <w:tl2br w:val="nil"/>
                    <w:tr2bl w:val="nil"/>
                  </w:tcBorders>
                  <w:shd w:val="clear" w:color="auto" w:fill="auto"/>
                  <w:noWrap w:val="0"/>
                  <w:vAlign w:val="center"/>
                </w:tcPr>
                <w:p w14:paraId="31A932A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0.300</w:t>
                  </w:r>
                </w:p>
              </w:tc>
              <w:tc>
                <w:tcPr>
                  <w:tcW w:w="456" w:type="pct"/>
                  <w:tcBorders>
                    <w:tl2br w:val="nil"/>
                    <w:tr2bl w:val="nil"/>
                  </w:tcBorders>
                  <w:shd w:val="clear" w:color="auto" w:fill="auto"/>
                  <w:noWrap w:val="0"/>
                  <w:vAlign w:val="center"/>
                </w:tcPr>
                <w:p w14:paraId="21A46E9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0.300</w:t>
                  </w:r>
                </w:p>
              </w:tc>
              <w:tc>
                <w:tcPr>
                  <w:tcW w:w="446" w:type="pct"/>
                  <w:tcBorders>
                    <w:tl2br w:val="nil"/>
                    <w:tr2bl w:val="nil"/>
                  </w:tcBorders>
                  <w:shd w:val="clear" w:color="auto" w:fill="auto"/>
                  <w:noWrap w:val="0"/>
                  <w:vAlign w:val="center"/>
                </w:tcPr>
                <w:p w14:paraId="6A2E025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0.196</w:t>
                  </w:r>
                </w:p>
              </w:tc>
              <w:tc>
                <w:tcPr>
                  <w:tcW w:w="466" w:type="pct"/>
                  <w:tcBorders>
                    <w:tl2br w:val="nil"/>
                    <w:tr2bl w:val="nil"/>
                  </w:tcBorders>
                  <w:shd w:val="clear" w:color="auto" w:fill="auto"/>
                  <w:noWrap w:val="0"/>
                  <w:vAlign w:val="center"/>
                </w:tcPr>
                <w:p w14:paraId="1051E36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0.160</w:t>
                  </w:r>
                </w:p>
              </w:tc>
              <w:tc>
                <w:tcPr>
                  <w:tcW w:w="487" w:type="pct"/>
                  <w:tcBorders>
                    <w:tl2br w:val="nil"/>
                    <w:tr2bl w:val="nil"/>
                  </w:tcBorders>
                  <w:shd w:val="clear" w:color="auto" w:fill="auto"/>
                  <w:noWrap w:val="0"/>
                  <w:vAlign w:val="center"/>
                </w:tcPr>
                <w:p w14:paraId="629DB7F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0.440</w:t>
                  </w:r>
                </w:p>
              </w:tc>
              <w:tc>
                <w:tcPr>
                  <w:tcW w:w="427" w:type="pct"/>
                  <w:tcBorders>
                    <w:tl2br w:val="nil"/>
                    <w:tr2bl w:val="nil"/>
                  </w:tcBorders>
                  <w:shd w:val="clear" w:color="auto" w:fill="auto"/>
                  <w:noWrap w:val="0"/>
                  <w:vAlign w:val="center"/>
                </w:tcPr>
                <w:p w14:paraId="1AA07F6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0.480</w:t>
                  </w:r>
                </w:p>
              </w:tc>
            </w:tr>
            <w:tr w14:paraId="27A356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noWrap w:val="0"/>
                  <w:vAlign w:val="center"/>
                </w:tcPr>
                <w:p w14:paraId="419FEC3C">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tcBorders>
                    <w:tl2br w:val="nil"/>
                    <w:tr2bl w:val="nil"/>
                  </w:tcBorders>
                  <w:shd w:val="clear" w:color="auto" w:fill="auto"/>
                  <w:noWrap w:val="0"/>
                  <w:vAlign w:val="center"/>
                </w:tcPr>
                <w:p w14:paraId="19B2DAE4">
                  <w:pPr>
                    <w:pStyle w:val="2"/>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szCs w:val="21"/>
                    </w:rPr>
                    <w:t>东猪龙河上游：西支（E118.04657,N36.76114）</w:t>
                  </w:r>
                </w:p>
              </w:tc>
              <w:tc>
                <w:tcPr>
                  <w:tcW w:w="456" w:type="pct"/>
                  <w:tcBorders>
                    <w:tl2br w:val="nil"/>
                    <w:tr2bl w:val="nil"/>
                  </w:tcBorders>
                  <w:shd w:val="clear" w:color="auto" w:fill="auto"/>
                  <w:noWrap w:val="0"/>
                  <w:vAlign w:val="center"/>
                </w:tcPr>
                <w:p w14:paraId="1FC023D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0.057</w:t>
                  </w:r>
                </w:p>
              </w:tc>
              <w:tc>
                <w:tcPr>
                  <w:tcW w:w="446" w:type="pct"/>
                  <w:tcBorders>
                    <w:tl2br w:val="nil"/>
                    <w:tr2bl w:val="nil"/>
                  </w:tcBorders>
                  <w:shd w:val="clear" w:color="auto" w:fill="auto"/>
                  <w:noWrap w:val="0"/>
                  <w:vAlign w:val="center"/>
                </w:tcPr>
                <w:p w14:paraId="5A44DDA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0.296</w:t>
                  </w:r>
                </w:p>
              </w:tc>
              <w:tc>
                <w:tcPr>
                  <w:tcW w:w="446" w:type="pct"/>
                  <w:tcBorders>
                    <w:tl2br w:val="nil"/>
                    <w:tr2bl w:val="nil"/>
                  </w:tcBorders>
                  <w:shd w:val="clear" w:color="auto" w:fill="auto"/>
                  <w:noWrap w:val="0"/>
                  <w:vAlign w:val="center"/>
                </w:tcPr>
                <w:p w14:paraId="4434FAC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0.467</w:t>
                  </w:r>
                </w:p>
              </w:tc>
              <w:tc>
                <w:tcPr>
                  <w:tcW w:w="456" w:type="pct"/>
                  <w:tcBorders>
                    <w:tl2br w:val="nil"/>
                    <w:tr2bl w:val="nil"/>
                  </w:tcBorders>
                  <w:shd w:val="clear" w:color="auto" w:fill="auto"/>
                  <w:noWrap w:val="0"/>
                  <w:vAlign w:val="center"/>
                </w:tcPr>
                <w:p w14:paraId="62389DE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0.343</w:t>
                  </w:r>
                </w:p>
              </w:tc>
              <w:tc>
                <w:tcPr>
                  <w:tcW w:w="446" w:type="pct"/>
                  <w:tcBorders>
                    <w:tl2br w:val="nil"/>
                    <w:tr2bl w:val="nil"/>
                  </w:tcBorders>
                  <w:shd w:val="clear" w:color="auto" w:fill="auto"/>
                  <w:noWrap w:val="0"/>
                  <w:vAlign w:val="center"/>
                </w:tcPr>
                <w:p w14:paraId="0322DE6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0.160</w:t>
                  </w:r>
                </w:p>
              </w:tc>
              <w:tc>
                <w:tcPr>
                  <w:tcW w:w="466" w:type="pct"/>
                  <w:tcBorders>
                    <w:tl2br w:val="nil"/>
                    <w:tr2bl w:val="nil"/>
                  </w:tcBorders>
                  <w:shd w:val="clear" w:color="auto" w:fill="auto"/>
                  <w:noWrap w:val="0"/>
                  <w:vAlign w:val="center"/>
                </w:tcPr>
                <w:p w14:paraId="1F2ECDA5">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0.133</w:t>
                  </w:r>
                </w:p>
              </w:tc>
              <w:tc>
                <w:tcPr>
                  <w:tcW w:w="487" w:type="pct"/>
                  <w:tcBorders>
                    <w:tl2br w:val="nil"/>
                    <w:tr2bl w:val="nil"/>
                  </w:tcBorders>
                  <w:shd w:val="clear" w:color="auto" w:fill="auto"/>
                  <w:noWrap w:val="0"/>
                  <w:vAlign w:val="center"/>
                </w:tcPr>
                <w:p w14:paraId="0B2F2C45">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0.560</w:t>
                  </w:r>
                </w:p>
              </w:tc>
              <w:tc>
                <w:tcPr>
                  <w:tcW w:w="427" w:type="pct"/>
                  <w:tcBorders>
                    <w:tl2br w:val="nil"/>
                    <w:tr2bl w:val="nil"/>
                  </w:tcBorders>
                  <w:shd w:val="clear" w:color="auto" w:fill="auto"/>
                  <w:noWrap w:val="0"/>
                  <w:vAlign w:val="center"/>
                </w:tcPr>
                <w:p w14:paraId="2FA34909">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0.400</w:t>
                  </w:r>
                </w:p>
              </w:tc>
            </w:tr>
            <w:tr w14:paraId="78393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noWrap w:val="0"/>
                  <w:vAlign w:val="center"/>
                </w:tcPr>
                <w:p w14:paraId="07B9B733">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tcBorders>
                    <w:tl2br w:val="nil"/>
                    <w:tr2bl w:val="nil"/>
                  </w:tcBorders>
                  <w:shd w:val="clear" w:color="auto" w:fill="auto"/>
                  <w:noWrap w:val="0"/>
                  <w:vAlign w:val="center"/>
                </w:tcPr>
                <w:p w14:paraId="1E01E3AA">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三泉沟：矿机路河段（E118.02724,N36.75466）</w:t>
                  </w:r>
                </w:p>
              </w:tc>
              <w:tc>
                <w:tcPr>
                  <w:tcW w:w="456" w:type="pct"/>
                  <w:tcBorders>
                    <w:tl2br w:val="nil"/>
                    <w:tr2bl w:val="nil"/>
                  </w:tcBorders>
                  <w:shd w:val="clear" w:color="auto" w:fill="auto"/>
                  <w:noWrap w:val="0"/>
                  <w:vAlign w:val="center"/>
                </w:tcPr>
                <w:p w14:paraId="39C89FE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0.060</w:t>
                  </w:r>
                </w:p>
              </w:tc>
              <w:tc>
                <w:tcPr>
                  <w:tcW w:w="446" w:type="pct"/>
                  <w:tcBorders>
                    <w:tl2br w:val="nil"/>
                    <w:tr2bl w:val="nil"/>
                  </w:tcBorders>
                  <w:shd w:val="clear" w:color="auto" w:fill="auto"/>
                  <w:noWrap w:val="0"/>
                  <w:vAlign w:val="center"/>
                </w:tcPr>
                <w:p w14:paraId="51D5E4D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0.241</w:t>
                  </w:r>
                </w:p>
              </w:tc>
              <w:tc>
                <w:tcPr>
                  <w:tcW w:w="446" w:type="pct"/>
                  <w:tcBorders>
                    <w:tl2br w:val="nil"/>
                    <w:tr2bl w:val="nil"/>
                  </w:tcBorders>
                  <w:shd w:val="clear" w:color="auto" w:fill="auto"/>
                  <w:noWrap w:val="0"/>
                  <w:vAlign w:val="center"/>
                </w:tcPr>
                <w:p w14:paraId="0874B61F">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0.283</w:t>
                  </w:r>
                </w:p>
              </w:tc>
              <w:tc>
                <w:tcPr>
                  <w:tcW w:w="456" w:type="pct"/>
                  <w:tcBorders>
                    <w:tl2br w:val="nil"/>
                    <w:tr2bl w:val="nil"/>
                  </w:tcBorders>
                  <w:shd w:val="clear" w:color="auto" w:fill="auto"/>
                  <w:noWrap w:val="0"/>
                  <w:vAlign w:val="center"/>
                </w:tcPr>
                <w:p w14:paraId="423B2F7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0.364</w:t>
                  </w:r>
                </w:p>
              </w:tc>
              <w:tc>
                <w:tcPr>
                  <w:tcW w:w="446" w:type="pct"/>
                  <w:tcBorders>
                    <w:tl2br w:val="nil"/>
                    <w:tr2bl w:val="nil"/>
                  </w:tcBorders>
                  <w:shd w:val="clear" w:color="auto" w:fill="auto"/>
                  <w:noWrap w:val="0"/>
                  <w:vAlign w:val="center"/>
                </w:tcPr>
                <w:p w14:paraId="530631A6">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0.180</w:t>
                  </w:r>
                </w:p>
              </w:tc>
              <w:tc>
                <w:tcPr>
                  <w:tcW w:w="466" w:type="pct"/>
                  <w:tcBorders>
                    <w:tl2br w:val="nil"/>
                    <w:tr2bl w:val="nil"/>
                  </w:tcBorders>
                  <w:shd w:val="clear" w:color="auto" w:fill="auto"/>
                  <w:noWrap w:val="0"/>
                  <w:vAlign w:val="center"/>
                </w:tcPr>
                <w:p w14:paraId="2D9F068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0.140</w:t>
                  </w:r>
                </w:p>
              </w:tc>
              <w:tc>
                <w:tcPr>
                  <w:tcW w:w="487" w:type="pct"/>
                  <w:tcBorders>
                    <w:tl2br w:val="nil"/>
                    <w:tr2bl w:val="nil"/>
                  </w:tcBorders>
                  <w:shd w:val="clear" w:color="auto" w:fill="auto"/>
                  <w:noWrap w:val="0"/>
                  <w:vAlign w:val="center"/>
                </w:tcPr>
                <w:p w14:paraId="45A5020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0.420</w:t>
                  </w:r>
                </w:p>
              </w:tc>
              <w:tc>
                <w:tcPr>
                  <w:tcW w:w="427" w:type="pct"/>
                  <w:tcBorders>
                    <w:tl2br w:val="nil"/>
                    <w:tr2bl w:val="nil"/>
                  </w:tcBorders>
                  <w:shd w:val="clear" w:color="auto" w:fill="auto"/>
                  <w:noWrap w:val="0"/>
                  <w:vAlign w:val="center"/>
                </w:tcPr>
                <w:p w14:paraId="607CFF9D">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0.520</w:t>
                  </w:r>
                </w:p>
              </w:tc>
            </w:tr>
            <w:tr w14:paraId="619175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tcBorders>
                    <w:tl2br w:val="nil"/>
                    <w:tr2bl w:val="nil"/>
                  </w:tcBorders>
                  <w:noWrap w:val="0"/>
                  <w:vAlign w:val="center"/>
                </w:tcPr>
                <w:p w14:paraId="12C9A31C">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tcBorders>
                    <w:tl2br w:val="nil"/>
                    <w:tr2bl w:val="nil"/>
                  </w:tcBorders>
                  <w:shd w:val="clear" w:color="auto" w:fill="auto"/>
                  <w:noWrap w:val="0"/>
                  <w:vAlign w:val="center"/>
                </w:tcPr>
                <w:p w14:paraId="69DF247E">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袁家河：梁家村河段（E117.95790,N36.74328）</w:t>
                  </w:r>
                </w:p>
              </w:tc>
              <w:tc>
                <w:tcPr>
                  <w:tcW w:w="456" w:type="pct"/>
                  <w:tcBorders>
                    <w:tl2br w:val="nil"/>
                    <w:tr2bl w:val="nil"/>
                  </w:tcBorders>
                  <w:shd w:val="clear" w:color="auto" w:fill="auto"/>
                  <w:noWrap w:val="0"/>
                  <w:vAlign w:val="center"/>
                </w:tcPr>
                <w:p w14:paraId="6D1B1764">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0.123</w:t>
                  </w:r>
                </w:p>
              </w:tc>
              <w:tc>
                <w:tcPr>
                  <w:tcW w:w="446" w:type="pct"/>
                  <w:tcBorders>
                    <w:tl2br w:val="nil"/>
                    <w:tr2bl w:val="nil"/>
                  </w:tcBorders>
                  <w:shd w:val="clear" w:color="auto" w:fill="auto"/>
                  <w:noWrap w:val="0"/>
                  <w:vAlign w:val="center"/>
                </w:tcPr>
                <w:p w14:paraId="58FB82E9">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0.237</w:t>
                  </w:r>
                </w:p>
              </w:tc>
              <w:tc>
                <w:tcPr>
                  <w:tcW w:w="446" w:type="pct"/>
                  <w:tcBorders>
                    <w:tl2br w:val="nil"/>
                    <w:tr2bl w:val="nil"/>
                  </w:tcBorders>
                  <w:shd w:val="clear" w:color="auto" w:fill="auto"/>
                  <w:noWrap w:val="0"/>
                  <w:vAlign w:val="center"/>
                </w:tcPr>
                <w:p w14:paraId="75589427">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0.333</w:t>
                  </w:r>
                </w:p>
              </w:tc>
              <w:tc>
                <w:tcPr>
                  <w:tcW w:w="456" w:type="pct"/>
                  <w:tcBorders>
                    <w:tl2br w:val="nil"/>
                    <w:tr2bl w:val="nil"/>
                  </w:tcBorders>
                  <w:shd w:val="clear" w:color="auto" w:fill="auto"/>
                  <w:noWrap w:val="0"/>
                  <w:vAlign w:val="center"/>
                </w:tcPr>
                <w:p w14:paraId="03893E5D">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0.414</w:t>
                  </w:r>
                </w:p>
              </w:tc>
              <w:tc>
                <w:tcPr>
                  <w:tcW w:w="446" w:type="pct"/>
                  <w:tcBorders>
                    <w:tl2br w:val="nil"/>
                    <w:tr2bl w:val="nil"/>
                  </w:tcBorders>
                  <w:shd w:val="clear" w:color="auto" w:fill="auto"/>
                  <w:noWrap w:val="0"/>
                  <w:vAlign w:val="center"/>
                </w:tcPr>
                <w:p w14:paraId="33A5C0D3">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0.208</w:t>
                  </w:r>
                </w:p>
              </w:tc>
              <w:tc>
                <w:tcPr>
                  <w:tcW w:w="466" w:type="pct"/>
                  <w:tcBorders>
                    <w:tl2br w:val="nil"/>
                    <w:tr2bl w:val="nil"/>
                  </w:tcBorders>
                  <w:shd w:val="clear" w:color="auto" w:fill="auto"/>
                  <w:noWrap w:val="0"/>
                  <w:vAlign w:val="center"/>
                </w:tcPr>
                <w:p w14:paraId="34FD16F9">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0.147</w:t>
                  </w:r>
                </w:p>
              </w:tc>
              <w:tc>
                <w:tcPr>
                  <w:tcW w:w="487" w:type="pct"/>
                  <w:tcBorders>
                    <w:tl2br w:val="nil"/>
                    <w:tr2bl w:val="nil"/>
                  </w:tcBorders>
                  <w:shd w:val="clear" w:color="auto" w:fill="auto"/>
                  <w:noWrap w:val="0"/>
                  <w:vAlign w:val="center"/>
                </w:tcPr>
                <w:p w14:paraId="75C0448E">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0.470</w:t>
                  </w:r>
                </w:p>
              </w:tc>
              <w:tc>
                <w:tcPr>
                  <w:tcW w:w="427" w:type="pct"/>
                  <w:tcBorders>
                    <w:tl2br w:val="nil"/>
                    <w:tr2bl w:val="nil"/>
                  </w:tcBorders>
                  <w:shd w:val="clear" w:color="auto" w:fill="auto"/>
                  <w:noWrap w:val="0"/>
                  <w:vAlign w:val="center"/>
                </w:tcPr>
                <w:p w14:paraId="24579769">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0.550</w:t>
                  </w:r>
                </w:p>
              </w:tc>
            </w:tr>
            <w:tr w14:paraId="50BE5F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vAlign w:val="center"/>
                </w:tcPr>
                <w:p w14:paraId="20133806">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shd w:val="clear" w:color="auto" w:fill="auto"/>
                  <w:vAlign w:val="center"/>
                </w:tcPr>
                <w:p w14:paraId="4D07B7A1">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天津路排涝沟：淄河大道河段（E117.96382,N36.74767）</w:t>
                  </w:r>
                </w:p>
              </w:tc>
              <w:tc>
                <w:tcPr>
                  <w:tcW w:w="456" w:type="pct"/>
                  <w:shd w:val="clear" w:color="auto" w:fill="auto"/>
                  <w:vAlign w:val="center"/>
                </w:tcPr>
                <w:p w14:paraId="219E3C6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0.187</w:t>
                  </w:r>
                </w:p>
              </w:tc>
              <w:tc>
                <w:tcPr>
                  <w:tcW w:w="446" w:type="pct"/>
                  <w:shd w:val="clear" w:color="auto" w:fill="auto"/>
                  <w:vAlign w:val="center"/>
                </w:tcPr>
                <w:p w14:paraId="2AAA3CC3">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0.408</w:t>
                  </w:r>
                </w:p>
              </w:tc>
              <w:tc>
                <w:tcPr>
                  <w:tcW w:w="446" w:type="pct"/>
                  <w:shd w:val="clear" w:color="auto" w:fill="auto"/>
                  <w:vAlign w:val="center"/>
                </w:tcPr>
                <w:p w14:paraId="124238B6">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0.267</w:t>
                  </w:r>
                </w:p>
              </w:tc>
              <w:tc>
                <w:tcPr>
                  <w:tcW w:w="456" w:type="pct"/>
                  <w:shd w:val="clear" w:color="auto" w:fill="auto"/>
                  <w:vAlign w:val="center"/>
                </w:tcPr>
                <w:p w14:paraId="514EDD8F">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0.321</w:t>
                  </w:r>
                </w:p>
              </w:tc>
              <w:tc>
                <w:tcPr>
                  <w:tcW w:w="446" w:type="pct"/>
                  <w:shd w:val="clear" w:color="auto" w:fill="auto"/>
                  <w:vAlign w:val="center"/>
                </w:tcPr>
                <w:p w14:paraId="39BF9DC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0.188</w:t>
                  </w:r>
                </w:p>
              </w:tc>
              <w:tc>
                <w:tcPr>
                  <w:tcW w:w="466" w:type="pct"/>
                  <w:shd w:val="clear" w:color="auto" w:fill="auto"/>
                  <w:vAlign w:val="center"/>
                </w:tcPr>
                <w:p w14:paraId="587AD5D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0.173</w:t>
                  </w:r>
                </w:p>
              </w:tc>
              <w:tc>
                <w:tcPr>
                  <w:tcW w:w="487" w:type="pct"/>
                  <w:shd w:val="clear" w:color="auto" w:fill="auto"/>
                  <w:vAlign w:val="center"/>
                </w:tcPr>
                <w:p w14:paraId="33951CC6">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0.500</w:t>
                  </w:r>
                </w:p>
              </w:tc>
              <w:tc>
                <w:tcPr>
                  <w:tcW w:w="427" w:type="pct"/>
                  <w:shd w:val="clear" w:color="auto" w:fill="auto"/>
                  <w:vAlign w:val="center"/>
                </w:tcPr>
                <w:p w14:paraId="544BDD24">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0.460</w:t>
                  </w:r>
                </w:p>
              </w:tc>
            </w:tr>
            <w:tr w14:paraId="18416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vAlign w:val="center"/>
                </w:tcPr>
                <w:p w14:paraId="30ECFA18">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shd w:val="clear" w:color="auto" w:fill="auto"/>
                  <w:vAlign w:val="center"/>
                </w:tcPr>
                <w:p w14:paraId="544C5719">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小旦村排涝沟：下游河段（E118.04527,N36.72868）</w:t>
                  </w:r>
                </w:p>
              </w:tc>
              <w:tc>
                <w:tcPr>
                  <w:tcW w:w="456" w:type="pct"/>
                  <w:shd w:val="clear" w:color="auto" w:fill="auto"/>
                  <w:vAlign w:val="center"/>
                </w:tcPr>
                <w:p w14:paraId="2DF88DBE">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0.197</w:t>
                  </w:r>
                </w:p>
              </w:tc>
              <w:tc>
                <w:tcPr>
                  <w:tcW w:w="446" w:type="pct"/>
                  <w:shd w:val="clear" w:color="auto" w:fill="auto"/>
                  <w:vAlign w:val="center"/>
                </w:tcPr>
                <w:p w14:paraId="145B1158">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0.316</w:t>
                  </w:r>
                </w:p>
              </w:tc>
              <w:tc>
                <w:tcPr>
                  <w:tcW w:w="446" w:type="pct"/>
                  <w:shd w:val="clear" w:color="auto" w:fill="auto"/>
                  <w:vAlign w:val="center"/>
                </w:tcPr>
                <w:p w14:paraId="21D2FBED">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0.317</w:t>
                  </w:r>
                </w:p>
              </w:tc>
              <w:tc>
                <w:tcPr>
                  <w:tcW w:w="456" w:type="pct"/>
                  <w:shd w:val="clear" w:color="auto" w:fill="auto"/>
                  <w:vAlign w:val="center"/>
                </w:tcPr>
                <w:p w14:paraId="566B4572">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0.279</w:t>
                  </w:r>
                </w:p>
              </w:tc>
              <w:tc>
                <w:tcPr>
                  <w:tcW w:w="446" w:type="pct"/>
                  <w:shd w:val="clear" w:color="auto" w:fill="auto"/>
                  <w:vAlign w:val="center"/>
                </w:tcPr>
                <w:p w14:paraId="501B1E90">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0.152</w:t>
                  </w:r>
                </w:p>
              </w:tc>
              <w:tc>
                <w:tcPr>
                  <w:tcW w:w="466" w:type="pct"/>
                  <w:shd w:val="clear" w:color="auto" w:fill="auto"/>
                  <w:vAlign w:val="center"/>
                </w:tcPr>
                <w:p w14:paraId="40256313">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0.157</w:t>
                  </w:r>
                </w:p>
              </w:tc>
              <w:tc>
                <w:tcPr>
                  <w:tcW w:w="487" w:type="pct"/>
                  <w:shd w:val="clear" w:color="auto" w:fill="auto"/>
                  <w:vAlign w:val="center"/>
                </w:tcPr>
                <w:p w14:paraId="4A7619A1">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0.530</w:t>
                  </w:r>
                </w:p>
              </w:tc>
              <w:tc>
                <w:tcPr>
                  <w:tcW w:w="427" w:type="pct"/>
                  <w:shd w:val="clear" w:color="auto" w:fill="auto"/>
                  <w:vAlign w:val="center"/>
                </w:tcPr>
                <w:p w14:paraId="3F1BB8F4">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0.430</w:t>
                  </w:r>
                </w:p>
              </w:tc>
            </w:tr>
            <w:tr w14:paraId="3FA3A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62" w:type="pct"/>
                  <w:vMerge w:val="continue"/>
                  <w:vAlign w:val="center"/>
                </w:tcPr>
                <w:p w14:paraId="2F9F83C4">
                  <w:pPr>
                    <w:adjustRightInd w:val="0"/>
                    <w:snapToGrid w:val="0"/>
                    <w:spacing w:line="260" w:lineRule="exact"/>
                    <w:ind w:left="-50" w:right="-50"/>
                    <w:jc w:val="center"/>
                    <w:rPr>
                      <w:rFonts w:hint="default" w:ascii="Times New Roman" w:hAnsi="Times New Roman" w:eastAsia="宋体" w:cs="Times New Roman"/>
                      <w:color w:val="auto"/>
                      <w:sz w:val="21"/>
                      <w:szCs w:val="21"/>
                    </w:rPr>
                  </w:pPr>
                </w:p>
              </w:tc>
              <w:tc>
                <w:tcPr>
                  <w:tcW w:w="902" w:type="pct"/>
                  <w:shd w:val="clear" w:color="auto" w:fill="auto"/>
                  <w:vAlign w:val="center"/>
                </w:tcPr>
                <w:p w14:paraId="3FAE9BAB">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大高村排涝沟：下游河段（E118.11222,N36.76348）</w:t>
                  </w:r>
                </w:p>
              </w:tc>
              <w:tc>
                <w:tcPr>
                  <w:tcW w:w="456" w:type="pct"/>
                  <w:shd w:val="clear" w:color="auto" w:fill="auto"/>
                  <w:vAlign w:val="center"/>
                </w:tcPr>
                <w:p w14:paraId="153DC423">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0.052</w:t>
                  </w:r>
                </w:p>
              </w:tc>
              <w:tc>
                <w:tcPr>
                  <w:tcW w:w="446" w:type="pct"/>
                  <w:shd w:val="clear" w:color="auto" w:fill="auto"/>
                  <w:vAlign w:val="center"/>
                </w:tcPr>
                <w:p w14:paraId="0074E260">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0.235</w:t>
                  </w:r>
                </w:p>
              </w:tc>
              <w:tc>
                <w:tcPr>
                  <w:tcW w:w="446" w:type="pct"/>
                  <w:shd w:val="clear" w:color="auto" w:fill="auto"/>
                  <w:vAlign w:val="center"/>
                </w:tcPr>
                <w:p w14:paraId="2E06113D">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0.233</w:t>
                  </w:r>
                </w:p>
              </w:tc>
              <w:tc>
                <w:tcPr>
                  <w:tcW w:w="456" w:type="pct"/>
                  <w:shd w:val="clear" w:color="auto" w:fill="auto"/>
                  <w:vAlign w:val="center"/>
                </w:tcPr>
                <w:p w14:paraId="1B86D75C">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0.371</w:t>
                  </w:r>
                </w:p>
              </w:tc>
              <w:tc>
                <w:tcPr>
                  <w:tcW w:w="446" w:type="pct"/>
                  <w:shd w:val="clear" w:color="auto" w:fill="auto"/>
                  <w:vAlign w:val="center"/>
                </w:tcPr>
                <w:p w14:paraId="429CEC64">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0.200</w:t>
                  </w:r>
                </w:p>
              </w:tc>
              <w:tc>
                <w:tcPr>
                  <w:tcW w:w="466" w:type="pct"/>
                  <w:shd w:val="clear" w:color="auto" w:fill="auto"/>
                  <w:vAlign w:val="center"/>
                </w:tcPr>
                <w:p w14:paraId="707D35BA">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0.120</w:t>
                  </w:r>
                </w:p>
              </w:tc>
              <w:tc>
                <w:tcPr>
                  <w:tcW w:w="487" w:type="pct"/>
                  <w:shd w:val="clear" w:color="auto" w:fill="auto"/>
                  <w:vAlign w:val="center"/>
                </w:tcPr>
                <w:p w14:paraId="521F2AC5">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0.410</w:t>
                  </w:r>
                </w:p>
              </w:tc>
              <w:tc>
                <w:tcPr>
                  <w:tcW w:w="427" w:type="pct"/>
                  <w:shd w:val="clear" w:color="auto" w:fill="auto"/>
                  <w:vAlign w:val="center"/>
                </w:tcPr>
                <w:p w14:paraId="419ED7D8">
                  <w:pPr>
                    <w:spacing w:beforeLines="0" w:afterLine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0.540</w:t>
                  </w:r>
                </w:p>
              </w:tc>
            </w:tr>
          </w:tbl>
          <w:p w14:paraId="6261572C">
            <w:pPr>
              <w:spacing w:line="360" w:lineRule="auto"/>
              <w:ind w:firstLine="480" w:firstLineChars="200"/>
              <w:rPr>
                <w:b/>
                <w:bCs/>
                <w:color w:val="auto"/>
                <w:sz w:val="24"/>
              </w:rPr>
            </w:pPr>
            <w:r>
              <w:rPr>
                <w:color w:val="auto"/>
                <w:sz w:val="24"/>
              </w:rPr>
              <w:t>由表3-</w:t>
            </w:r>
            <w:r>
              <w:rPr>
                <w:rFonts w:hint="eastAsia"/>
                <w:color w:val="auto"/>
                <w:sz w:val="24"/>
                <w:lang w:val="en-US" w:eastAsia="zh-CN"/>
              </w:rPr>
              <w:t>5</w:t>
            </w:r>
            <w:r>
              <w:rPr>
                <w:color w:val="auto"/>
                <w:sz w:val="24"/>
              </w:rPr>
              <w:t>可知，项目区各河道底泥中重金属指标均满足山东省《底泥重金属污染状况评价技术指南》（DB37/T4471-2021）附录A中筛选值标准</w:t>
            </w:r>
            <w:r>
              <w:rPr>
                <w:rFonts w:hint="eastAsia"/>
                <w:color w:val="auto"/>
                <w:sz w:val="24"/>
              </w:rPr>
              <w:t>，</w:t>
            </w:r>
            <w:r>
              <w:rPr>
                <w:color w:val="auto"/>
                <w:sz w:val="24"/>
              </w:rPr>
              <w:t>不存在重金属污染。</w:t>
            </w:r>
          </w:p>
          <w:p w14:paraId="4B5A1404">
            <w:pPr>
              <w:spacing w:line="360" w:lineRule="auto"/>
              <w:ind w:firstLine="482" w:firstLineChars="200"/>
              <w:rPr>
                <w:b/>
                <w:bCs/>
                <w:color w:val="auto"/>
                <w:sz w:val="24"/>
              </w:rPr>
            </w:pPr>
            <w:r>
              <w:rPr>
                <w:b/>
                <w:bCs/>
                <w:color w:val="auto"/>
                <w:sz w:val="24"/>
              </w:rPr>
              <w:t>（四）声环境</w:t>
            </w:r>
          </w:p>
          <w:p w14:paraId="4AD064F1">
            <w:pPr>
              <w:spacing w:line="360" w:lineRule="auto"/>
              <w:ind w:firstLine="480" w:firstLineChars="200"/>
              <w:rPr>
                <w:color w:val="auto"/>
                <w:sz w:val="24"/>
              </w:rPr>
            </w:pPr>
            <w:r>
              <w:rPr>
                <w:color w:val="auto"/>
                <w:sz w:val="24"/>
              </w:rPr>
              <w:t>项目所在地属于</w:t>
            </w:r>
            <w:r>
              <w:rPr>
                <w:color w:val="auto"/>
                <w:sz w:val="24"/>
                <w:highlight w:val="none"/>
              </w:rPr>
              <w:t>2类声环境功能区，</w:t>
            </w:r>
            <w:r>
              <w:rPr>
                <w:color w:val="auto"/>
                <w:kern w:val="0"/>
                <w:sz w:val="24"/>
                <w:highlight w:val="none"/>
              </w:rPr>
              <w:t>本项目委托</w:t>
            </w:r>
            <w:r>
              <w:rPr>
                <w:rFonts w:hint="eastAsia"/>
                <w:color w:val="auto"/>
                <w:kern w:val="0"/>
                <w:sz w:val="24"/>
                <w:highlight w:val="none"/>
                <w:lang w:bidi="ar"/>
              </w:rPr>
              <w:t>山东天智环境监测有限公司</w:t>
            </w:r>
            <w:r>
              <w:rPr>
                <w:color w:val="auto"/>
                <w:kern w:val="0"/>
                <w:sz w:val="24"/>
                <w:highlight w:val="none"/>
                <w:lang w:bidi="ar"/>
              </w:rPr>
              <w:t>于202</w:t>
            </w:r>
            <w:r>
              <w:rPr>
                <w:rFonts w:hint="eastAsia"/>
                <w:color w:val="auto"/>
                <w:kern w:val="0"/>
                <w:sz w:val="24"/>
                <w:highlight w:val="none"/>
                <w:lang w:val="en-US" w:eastAsia="zh-CN" w:bidi="ar"/>
              </w:rPr>
              <w:t>6</w:t>
            </w:r>
            <w:r>
              <w:rPr>
                <w:color w:val="auto"/>
                <w:kern w:val="0"/>
                <w:sz w:val="24"/>
                <w:highlight w:val="none"/>
                <w:lang w:bidi="ar"/>
              </w:rPr>
              <w:t>年</w:t>
            </w:r>
            <w:r>
              <w:rPr>
                <w:rFonts w:hint="eastAsia"/>
                <w:color w:val="auto"/>
                <w:kern w:val="0"/>
                <w:sz w:val="24"/>
                <w:highlight w:val="none"/>
                <w:lang w:val="en-US" w:eastAsia="zh-CN" w:bidi="ar"/>
              </w:rPr>
              <w:t>3</w:t>
            </w:r>
            <w:r>
              <w:rPr>
                <w:color w:val="auto"/>
                <w:kern w:val="0"/>
                <w:sz w:val="24"/>
                <w:highlight w:val="none"/>
                <w:lang w:bidi="ar"/>
              </w:rPr>
              <w:t>月</w:t>
            </w:r>
            <w:r>
              <w:rPr>
                <w:rFonts w:hint="eastAsia"/>
                <w:color w:val="auto"/>
                <w:kern w:val="0"/>
                <w:sz w:val="24"/>
                <w:highlight w:val="none"/>
                <w:lang w:val="en-US" w:eastAsia="zh-CN" w:bidi="ar"/>
              </w:rPr>
              <w:t>13</w:t>
            </w:r>
            <w:r>
              <w:rPr>
                <w:color w:val="auto"/>
                <w:kern w:val="0"/>
                <w:sz w:val="24"/>
                <w:highlight w:val="none"/>
                <w:lang w:bidi="ar"/>
              </w:rPr>
              <w:t>日</w:t>
            </w:r>
            <w:r>
              <w:rPr>
                <w:color w:val="auto"/>
                <w:kern w:val="0"/>
                <w:sz w:val="24"/>
                <w:highlight w:val="none"/>
              </w:rPr>
              <w:t>选取了</w:t>
            </w:r>
            <w:r>
              <w:rPr>
                <w:rFonts w:hint="eastAsia"/>
                <w:color w:val="auto"/>
                <w:kern w:val="0"/>
                <w:sz w:val="24"/>
                <w:highlight w:val="none"/>
              </w:rPr>
              <w:t>工</w:t>
            </w:r>
            <w:r>
              <w:rPr>
                <w:rFonts w:hint="eastAsia"/>
                <w:color w:val="auto"/>
                <w:kern w:val="0"/>
                <w:sz w:val="24"/>
              </w:rPr>
              <w:t>程</w:t>
            </w:r>
            <w:r>
              <w:rPr>
                <w:color w:val="auto"/>
                <w:kern w:val="0"/>
                <w:sz w:val="24"/>
              </w:rPr>
              <w:t>沿线200m</w:t>
            </w:r>
            <w:r>
              <w:rPr>
                <w:rFonts w:hint="eastAsia"/>
                <w:color w:val="auto"/>
                <w:kern w:val="0"/>
                <w:sz w:val="24"/>
              </w:rPr>
              <w:t>范围内的</w:t>
            </w:r>
            <w:r>
              <w:rPr>
                <w:color w:val="auto"/>
                <w:kern w:val="0"/>
                <w:sz w:val="24"/>
              </w:rPr>
              <w:t>敏感</w:t>
            </w:r>
            <w:r>
              <w:rPr>
                <w:rFonts w:hint="eastAsia"/>
                <w:color w:val="auto"/>
                <w:kern w:val="0"/>
                <w:sz w:val="24"/>
              </w:rPr>
              <w:t>目标</w:t>
            </w:r>
            <w:r>
              <w:rPr>
                <w:color w:val="auto"/>
                <w:kern w:val="0"/>
                <w:sz w:val="24"/>
              </w:rPr>
              <w:t>进行了声境质量现状监测，</w:t>
            </w:r>
            <w:r>
              <w:rPr>
                <w:color w:val="auto"/>
                <w:kern w:val="0"/>
                <w:sz w:val="24"/>
                <w:lang w:bidi="ar"/>
              </w:rPr>
              <w:t>声环境质量现状监测</w:t>
            </w:r>
            <w:r>
              <w:rPr>
                <w:rFonts w:hint="eastAsia"/>
                <w:color w:val="auto"/>
                <w:kern w:val="0"/>
                <w:sz w:val="24"/>
                <w:lang w:bidi="ar"/>
              </w:rPr>
              <w:t>布点</w:t>
            </w:r>
            <w:r>
              <w:rPr>
                <w:rFonts w:hint="eastAsia"/>
                <w:color w:val="auto"/>
                <w:kern w:val="0"/>
                <w:sz w:val="24"/>
                <w:highlight w:val="none"/>
                <w:lang w:bidi="ar"/>
              </w:rPr>
              <w:t>见</w:t>
            </w:r>
            <w:r>
              <w:rPr>
                <w:rFonts w:hint="eastAsia"/>
                <w:color w:val="auto"/>
                <w:kern w:val="0"/>
                <w:sz w:val="24"/>
                <w:highlight w:val="none"/>
                <w:lang w:eastAsia="zh-CN" w:bidi="ar"/>
              </w:rPr>
              <w:t>附图</w:t>
            </w:r>
            <w:r>
              <w:rPr>
                <w:rFonts w:hint="eastAsia"/>
                <w:color w:val="auto"/>
                <w:kern w:val="0"/>
                <w:sz w:val="24"/>
                <w:highlight w:val="none"/>
                <w:lang w:val="en-US" w:eastAsia="zh-CN" w:bidi="ar"/>
              </w:rPr>
              <w:t>7</w:t>
            </w:r>
            <w:r>
              <w:rPr>
                <w:rFonts w:hint="eastAsia"/>
                <w:color w:val="auto"/>
                <w:kern w:val="0"/>
                <w:sz w:val="24"/>
                <w:highlight w:val="none"/>
                <w:lang w:bidi="ar"/>
              </w:rPr>
              <w:t>，</w:t>
            </w:r>
            <w:r>
              <w:rPr>
                <w:color w:val="auto"/>
                <w:kern w:val="0"/>
                <w:sz w:val="24"/>
                <w:highlight w:val="none"/>
                <w:lang w:bidi="ar"/>
              </w:rPr>
              <w:t>监</w:t>
            </w:r>
            <w:r>
              <w:rPr>
                <w:color w:val="auto"/>
                <w:kern w:val="0"/>
                <w:sz w:val="24"/>
                <w:lang w:bidi="ar"/>
              </w:rPr>
              <w:t>测结果见表3-</w:t>
            </w:r>
            <w:r>
              <w:rPr>
                <w:rFonts w:hint="eastAsia"/>
                <w:color w:val="auto"/>
                <w:kern w:val="0"/>
                <w:sz w:val="24"/>
                <w:lang w:val="en-US" w:eastAsia="zh-CN" w:bidi="ar"/>
              </w:rPr>
              <w:t>6</w:t>
            </w:r>
            <w:r>
              <w:rPr>
                <w:color w:val="auto"/>
                <w:sz w:val="24"/>
              </w:rPr>
              <w:t>。</w:t>
            </w:r>
          </w:p>
          <w:p w14:paraId="59BEBFE8">
            <w:pPr>
              <w:spacing w:line="360" w:lineRule="auto"/>
              <w:ind w:firstLine="422" w:firstLineChars="200"/>
              <w:jc w:val="center"/>
              <w:rPr>
                <w:color w:val="auto"/>
                <w:kern w:val="0"/>
                <w:szCs w:val="21"/>
                <w:highlight w:val="none"/>
              </w:rPr>
            </w:pPr>
            <w:r>
              <w:rPr>
                <w:b/>
                <w:color w:val="auto"/>
                <w:szCs w:val="21"/>
                <w:highlight w:val="none"/>
              </w:rPr>
              <w:t>表3-</w:t>
            </w:r>
            <w:r>
              <w:rPr>
                <w:rFonts w:hint="eastAsia"/>
                <w:b/>
                <w:color w:val="auto"/>
                <w:szCs w:val="21"/>
                <w:highlight w:val="none"/>
                <w:lang w:val="en-US" w:eastAsia="zh-CN"/>
              </w:rPr>
              <w:t>6</w:t>
            </w:r>
            <w:r>
              <w:rPr>
                <w:b/>
                <w:color w:val="auto"/>
                <w:szCs w:val="21"/>
                <w:highlight w:val="none"/>
              </w:rPr>
              <w:t xml:space="preserve"> </w:t>
            </w:r>
            <w:r>
              <w:rPr>
                <w:rFonts w:hint="eastAsia"/>
                <w:b/>
                <w:color w:val="auto"/>
                <w:szCs w:val="21"/>
                <w:highlight w:val="none"/>
                <w:lang w:eastAsia="zh-CN"/>
              </w:rPr>
              <w:t>声环境</w:t>
            </w:r>
            <w:r>
              <w:rPr>
                <w:b/>
                <w:color w:val="auto"/>
                <w:szCs w:val="21"/>
                <w:highlight w:val="none"/>
              </w:rPr>
              <w:t>现状监测结果</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808"/>
              <w:gridCol w:w="1734"/>
              <w:gridCol w:w="1434"/>
              <w:gridCol w:w="1466"/>
              <w:gridCol w:w="1067"/>
              <w:gridCol w:w="726"/>
            </w:tblGrid>
            <w:tr w14:paraId="07C55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1E42983D">
                  <w:pPr>
                    <w:jc w:val="center"/>
                    <w:rPr>
                      <w:bCs/>
                      <w:color w:val="auto"/>
                      <w:szCs w:val="21"/>
                      <w:highlight w:val="none"/>
                    </w:rPr>
                  </w:pPr>
                  <w:r>
                    <w:rPr>
                      <w:bCs/>
                      <w:color w:val="auto"/>
                      <w:szCs w:val="21"/>
                      <w:highlight w:val="none"/>
                    </w:rPr>
                    <w:t>检测日期</w:t>
                  </w:r>
                </w:p>
              </w:tc>
              <w:tc>
                <w:tcPr>
                  <w:tcW w:w="491" w:type="pct"/>
                  <w:vMerge w:val="restart"/>
                  <w:vAlign w:val="center"/>
                </w:tcPr>
                <w:p w14:paraId="76417F59">
                  <w:pPr>
                    <w:jc w:val="center"/>
                    <w:rPr>
                      <w:bCs/>
                      <w:color w:val="auto"/>
                      <w:szCs w:val="21"/>
                      <w:highlight w:val="none"/>
                    </w:rPr>
                  </w:pPr>
                  <w:r>
                    <w:rPr>
                      <w:bCs/>
                      <w:color w:val="auto"/>
                      <w:szCs w:val="21"/>
                      <w:highlight w:val="none"/>
                    </w:rPr>
                    <w:t>点位编号</w:t>
                  </w:r>
                </w:p>
              </w:tc>
              <w:tc>
                <w:tcPr>
                  <w:tcW w:w="1053" w:type="pct"/>
                  <w:vMerge w:val="restart"/>
                  <w:vAlign w:val="center"/>
                </w:tcPr>
                <w:p w14:paraId="289F6277">
                  <w:pPr>
                    <w:jc w:val="center"/>
                    <w:rPr>
                      <w:bCs/>
                      <w:color w:val="auto"/>
                      <w:szCs w:val="21"/>
                      <w:highlight w:val="none"/>
                    </w:rPr>
                  </w:pPr>
                  <w:r>
                    <w:rPr>
                      <w:bCs/>
                      <w:color w:val="auto"/>
                      <w:szCs w:val="21"/>
                      <w:highlight w:val="none"/>
                    </w:rPr>
                    <w:t>检测点位</w:t>
                  </w:r>
                </w:p>
              </w:tc>
              <w:tc>
                <w:tcPr>
                  <w:tcW w:w="1762" w:type="pct"/>
                  <w:gridSpan w:val="2"/>
                  <w:vAlign w:val="center"/>
                </w:tcPr>
                <w:p w14:paraId="3512F083">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检测结果Leq（A）</w:t>
                  </w:r>
                </w:p>
              </w:tc>
              <w:tc>
                <w:tcPr>
                  <w:tcW w:w="648" w:type="pct"/>
                  <w:vMerge w:val="restart"/>
                  <w:vAlign w:val="center"/>
                </w:tcPr>
                <w:p w14:paraId="5AA4F0D4">
                  <w:pPr>
                    <w:jc w:val="center"/>
                    <w:rPr>
                      <w:rFonts w:hint="eastAsia"/>
                      <w:bCs/>
                      <w:color w:val="auto"/>
                      <w:szCs w:val="21"/>
                      <w:highlight w:val="none"/>
                      <w:lang w:eastAsia="zh-CN"/>
                    </w:rPr>
                  </w:pPr>
                  <w:r>
                    <w:rPr>
                      <w:rFonts w:hint="eastAsia"/>
                      <w:bCs/>
                      <w:color w:val="auto"/>
                      <w:szCs w:val="21"/>
                      <w:highlight w:val="none"/>
                      <w:lang w:eastAsia="zh-CN"/>
                    </w:rPr>
                    <w:t>评价标准</w:t>
                  </w:r>
                </w:p>
                <w:p w14:paraId="04416CDC">
                  <w:pPr>
                    <w:jc w:val="center"/>
                    <w:rPr>
                      <w:rFonts w:hint="eastAsia" w:eastAsia="宋体"/>
                      <w:bCs/>
                      <w:color w:val="auto"/>
                      <w:szCs w:val="21"/>
                      <w:highlight w:val="none"/>
                      <w:lang w:eastAsia="zh-CN"/>
                    </w:rPr>
                  </w:pPr>
                  <w:r>
                    <w:rPr>
                      <w:bCs/>
                      <w:color w:val="auto"/>
                      <w:szCs w:val="21"/>
                      <w:highlight w:val="none"/>
                    </w:rPr>
                    <w:t>Leq</w:t>
                  </w:r>
                  <w:r>
                    <w:rPr>
                      <w:rFonts w:hint="eastAsia"/>
                      <w:bCs/>
                      <w:color w:val="auto"/>
                      <w:szCs w:val="21"/>
                      <w:highlight w:val="none"/>
                      <w:lang w:val="en-US" w:eastAsia="zh-CN"/>
                    </w:rPr>
                    <w:t xml:space="preserve"> dB</w:t>
                  </w:r>
                  <w:r>
                    <w:rPr>
                      <w:bCs/>
                      <w:color w:val="auto"/>
                      <w:szCs w:val="21"/>
                      <w:highlight w:val="none"/>
                    </w:rPr>
                    <w:t>（A）</w:t>
                  </w:r>
                </w:p>
              </w:tc>
              <w:tc>
                <w:tcPr>
                  <w:tcW w:w="441" w:type="pct"/>
                  <w:vMerge w:val="restart"/>
                  <w:vAlign w:val="center"/>
                </w:tcPr>
                <w:p w14:paraId="34BACCEE">
                  <w:pPr>
                    <w:jc w:val="center"/>
                    <w:rPr>
                      <w:rFonts w:hint="eastAsia"/>
                      <w:bCs/>
                      <w:color w:val="auto"/>
                      <w:szCs w:val="21"/>
                      <w:highlight w:val="none"/>
                      <w:lang w:eastAsia="zh-CN"/>
                    </w:rPr>
                  </w:pPr>
                  <w:r>
                    <w:rPr>
                      <w:rFonts w:hint="eastAsia"/>
                      <w:bCs/>
                      <w:color w:val="auto"/>
                      <w:szCs w:val="21"/>
                      <w:highlight w:val="none"/>
                      <w:lang w:eastAsia="zh-CN"/>
                    </w:rPr>
                    <w:t>达标情况</w:t>
                  </w:r>
                </w:p>
              </w:tc>
            </w:tr>
            <w:tr w14:paraId="78434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2DA5F10">
                  <w:pPr>
                    <w:jc w:val="center"/>
                    <w:rPr>
                      <w:bCs/>
                      <w:color w:val="auto"/>
                      <w:szCs w:val="21"/>
                      <w:highlight w:val="none"/>
                    </w:rPr>
                  </w:pPr>
                </w:p>
              </w:tc>
              <w:tc>
                <w:tcPr>
                  <w:tcW w:w="491" w:type="pct"/>
                  <w:vMerge w:val="continue"/>
                  <w:vAlign w:val="center"/>
                </w:tcPr>
                <w:p w14:paraId="234ACDDB">
                  <w:pPr>
                    <w:jc w:val="center"/>
                    <w:rPr>
                      <w:bCs/>
                      <w:color w:val="auto"/>
                      <w:szCs w:val="21"/>
                      <w:highlight w:val="none"/>
                    </w:rPr>
                  </w:pPr>
                </w:p>
              </w:tc>
              <w:tc>
                <w:tcPr>
                  <w:tcW w:w="1053" w:type="pct"/>
                  <w:vMerge w:val="continue"/>
                  <w:vAlign w:val="center"/>
                </w:tcPr>
                <w:p w14:paraId="0535CEAA">
                  <w:pPr>
                    <w:jc w:val="center"/>
                    <w:rPr>
                      <w:bCs/>
                      <w:color w:val="auto"/>
                      <w:szCs w:val="21"/>
                      <w:highlight w:val="none"/>
                    </w:rPr>
                  </w:pPr>
                </w:p>
              </w:tc>
              <w:tc>
                <w:tcPr>
                  <w:tcW w:w="871" w:type="pct"/>
                  <w:vAlign w:val="center"/>
                </w:tcPr>
                <w:p w14:paraId="10560E5E">
                  <w:pPr>
                    <w:jc w:val="center"/>
                    <w:rPr>
                      <w:rFonts w:hint="eastAsia" w:ascii="Times New Roman" w:hAnsi="Times New Roman" w:eastAsia="宋体" w:cs="Times New Roman"/>
                      <w:bCs/>
                      <w:color w:val="auto"/>
                      <w:kern w:val="2"/>
                      <w:sz w:val="21"/>
                      <w:szCs w:val="21"/>
                      <w:highlight w:val="none"/>
                      <w:lang w:val="en-US" w:eastAsia="zh-CN" w:bidi="ar-SA"/>
                    </w:rPr>
                  </w:pPr>
                  <w:r>
                    <w:rPr>
                      <w:bCs/>
                      <w:color w:val="auto"/>
                      <w:szCs w:val="21"/>
                      <w:highlight w:val="none"/>
                    </w:rPr>
                    <w:t>昼间</w:t>
                  </w:r>
                  <w:r>
                    <w:rPr>
                      <w:rFonts w:hint="eastAsia"/>
                      <w:bCs/>
                      <w:color w:val="auto"/>
                      <w:szCs w:val="21"/>
                      <w:highlight w:val="none"/>
                      <w:lang w:eastAsia="zh-CN"/>
                    </w:rPr>
                    <w:t>（</w:t>
                  </w:r>
                  <w:r>
                    <w:rPr>
                      <w:bCs/>
                      <w:color w:val="auto"/>
                      <w:szCs w:val="21"/>
                      <w:highlight w:val="none"/>
                    </w:rPr>
                    <w:t>dB</w:t>
                  </w:r>
                  <w:r>
                    <w:rPr>
                      <w:rFonts w:hint="eastAsia"/>
                      <w:bCs/>
                      <w:color w:val="auto"/>
                      <w:szCs w:val="21"/>
                      <w:highlight w:val="none"/>
                      <w:lang w:eastAsia="zh-CN"/>
                    </w:rPr>
                    <w:t>）</w:t>
                  </w:r>
                </w:p>
              </w:tc>
              <w:tc>
                <w:tcPr>
                  <w:tcW w:w="891" w:type="pct"/>
                  <w:vAlign w:val="center"/>
                </w:tcPr>
                <w:p w14:paraId="7F0E39C9">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风速（m/s）</w:t>
                  </w:r>
                </w:p>
              </w:tc>
              <w:tc>
                <w:tcPr>
                  <w:tcW w:w="648" w:type="pct"/>
                  <w:vMerge w:val="continue"/>
                  <w:vAlign w:val="center"/>
                </w:tcPr>
                <w:p w14:paraId="63C402A9">
                  <w:pPr>
                    <w:jc w:val="center"/>
                    <w:rPr>
                      <w:rFonts w:hint="eastAsia"/>
                      <w:bCs/>
                      <w:color w:val="auto"/>
                      <w:szCs w:val="21"/>
                      <w:highlight w:val="none"/>
                      <w:lang w:val="en-US" w:eastAsia="zh-CN"/>
                    </w:rPr>
                  </w:pPr>
                </w:p>
              </w:tc>
              <w:tc>
                <w:tcPr>
                  <w:tcW w:w="441" w:type="pct"/>
                  <w:vMerge w:val="continue"/>
                  <w:vAlign w:val="center"/>
                </w:tcPr>
                <w:p w14:paraId="21C44701">
                  <w:pPr>
                    <w:jc w:val="center"/>
                    <w:rPr>
                      <w:rFonts w:hint="eastAsia"/>
                      <w:bCs/>
                      <w:color w:val="auto"/>
                      <w:szCs w:val="21"/>
                      <w:highlight w:val="none"/>
                      <w:lang w:val="en-US" w:eastAsia="zh-CN"/>
                    </w:rPr>
                  </w:pPr>
                </w:p>
              </w:tc>
            </w:tr>
            <w:tr w14:paraId="3F291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restart"/>
                  <w:vAlign w:val="center"/>
                </w:tcPr>
                <w:p w14:paraId="593F168B">
                  <w:pPr>
                    <w:jc w:val="center"/>
                    <w:rPr>
                      <w:rFonts w:hint="default" w:eastAsia="宋体"/>
                      <w:bCs/>
                      <w:color w:val="auto"/>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2026.03.</w:t>
                  </w:r>
                  <w:r>
                    <w:rPr>
                      <w:rFonts w:hint="eastAsia" w:cs="Times New Roman"/>
                      <w:color w:val="auto"/>
                      <w:sz w:val="21"/>
                      <w:szCs w:val="21"/>
                      <w:highlight w:val="none"/>
                      <w:lang w:val="en-US" w:eastAsia="zh-CN"/>
                    </w:rPr>
                    <w:t>13</w:t>
                  </w:r>
                </w:p>
              </w:tc>
              <w:tc>
                <w:tcPr>
                  <w:tcW w:w="491" w:type="pct"/>
                  <w:vAlign w:val="center"/>
                </w:tcPr>
                <w:p w14:paraId="447ABB31">
                  <w:pPr>
                    <w:jc w:val="center"/>
                    <w:rPr>
                      <w:color w:val="auto"/>
                      <w:szCs w:val="21"/>
                      <w:highlight w:val="none"/>
                    </w:rPr>
                  </w:pPr>
                  <w:r>
                    <w:rPr>
                      <w:rFonts w:hint="default"/>
                      <w:color w:val="auto"/>
                      <w:szCs w:val="21"/>
                      <w:highlight w:val="none"/>
                      <w:lang w:val="en-US"/>
                    </w:rPr>
                    <w:t>1</w:t>
                  </w:r>
                  <w:r>
                    <w:rPr>
                      <w:color w:val="auto"/>
                      <w:szCs w:val="21"/>
                      <w:highlight w:val="none"/>
                    </w:rPr>
                    <w:t>#</w:t>
                  </w:r>
                </w:p>
              </w:tc>
              <w:tc>
                <w:tcPr>
                  <w:tcW w:w="1053" w:type="pct"/>
                  <w:vAlign w:val="center"/>
                </w:tcPr>
                <w:p w14:paraId="27580EA3">
                  <w:pPr>
                    <w:jc w:val="center"/>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张一村</w:t>
                  </w:r>
                </w:p>
              </w:tc>
              <w:tc>
                <w:tcPr>
                  <w:tcW w:w="871" w:type="pct"/>
                  <w:vAlign w:val="center"/>
                </w:tcPr>
                <w:p w14:paraId="43D532F0">
                  <w:pPr>
                    <w:jc w:val="center"/>
                    <w:rPr>
                      <w:rFonts w:hint="default" w:eastAsia="宋体"/>
                      <w:bCs/>
                      <w:color w:val="auto"/>
                      <w:szCs w:val="21"/>
                      <w:highlight w:val="none"/>
                      <w:lang w:val="en-US" w:eastAsia="zh-CN"/>
                    </w:rPr>
                  </w:pPr>
                  <w:r>
                    <w:rPr>
                      <w:rFonts w:hint="eastAsia"/>
                      <w:bCs/>
                      <w:color w:val="auto"/>
                      <w:szCs w:val="21"/>
                      <w:highlight w:val="none"/>
                      <w:lang w:val="en-US" w:eastAsia="zh-CN"/>
                    </w:rPr>
                    <w:t>49.6</w:t>
                  </w:r>
                </w:p>
              </w:tc>
              <w:tc>
                <w:tcPr>
                  <w:tcW w:w="891" w:type="pct"/>
                  <w:vAlign w:val="center"/>
                </w:tcPr>
                <w:p w14:paraId="15A2A84C">
                  <w:pPr>
                    <w:jc w:val="center"/>
                    <w:rPr>
                      <w:rFonts w:hint="default"/>
                      <w:bCs/>
                      <w:color w:val="auto"/>
                      <w:szCs w:val="21"/>
                      <w:highlight w:val="none"/>
                      <w:lang w:val="en-US" w:eastAsia="zh-CN"/>
                    </w:rPr>
                  </w:pPr>
                  <w:r>
                    <w:rPr>
                      <w:rFonts w:hint="eastAsia"/>
                      <w:bCs/>
                      <w:color w:val="auto"/>
                      <w:szCs w:val="21"/>
                      <w:highlight w:val="none"/>
                      <w:lang w:val="en-US" w:eastAsia="zh-CN"/>
                    </w:rPr>
                    <w:t>1.3</w:t>
                  </w:r>
                </w:p>
              </w:tc>
              <w:tc>
                <w:tcPr>
                  <w:tcW w:w="648" w:type="pct"/>
                  <w:vAlign w:val="center"/>
                </w:tcPr>
                <w:p w14:paraId="500697A8">
                  <w:pPr>
                    <w:jc w:val="center"/>
                    <w:rPr>
                      <w:rFonts w:hint="default"/>
                      <w:bCs/>
                      <w:color w:val="auto"/>
                      <w:szCs w:val="21"/>
                      <w:highlight w:val="none"/>
                      <w:lang w:val="en-US" w:eastAsia="zh-CN"/>
                    </w:rPr>
                  </w:pPr>
                  <w:r>
                    <w:rPr>
                      <w:rFonts w:hint="eastAsia"/>
                      <w:bCs/>
                      <w:color w:val="auto"/>
                      <w:szCs w:val="21"/>
                      <w:highlight w:val="none"/>
                      <w:lang w:val="en-US" w:eastAsia="zh-CN"/>
                    </w:rPr>
                    <w:t>60</w:t>
                  </w:r>
                </w:p>
              </w:tc>
              <w:tc>
                <w:tcPr>
                  <w:tcW w:w="441" w:type="pct"/>
                  <w:vAlign w:val="center"/>
                </w:tcPr>
                <w:p w14:paraId="0E241700">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79CAE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F5D8AB4">
                  <w:pPr>
                    <w:jc w:val="center"/>
                    <w:rPr>
                      <w:bCs/>
                      <w:color w:val="auto"/>
                      <w:szCs w:val="21"/>
                      <w:highlight w:val="none"/>
                    </w:rPr>
                  </w:pPr>
                </w:p>
              </w:tc>
              <w:tc>
                <w:tcPr>
                  <w:tcW w:w="491" w:type="pct"/>
                  <w:vAlign w:val="center"/>
                </w:tcPr>
                <w:p w14:paraId="084C0757">
                  <w:pPr>
                    <w:jc w:val="center"/>
                    <w:rPr>
                      <w:color w:val="auto"/>
                      <w:szCs w:val="21"/>
                      <w:highlight w:val="none"/>
                    </w:rPr>
                  </w:pPr>
                  <w:r>
                    <w:rPr>
                      <w:rFonts w:hint="default"/>
                      <w:color w:val="auto"/>
                      <w:szCs w:val="21"/>
                      <w:highlight w:val="none"/>
                      <w:lang w:val="en-US"/>
                    </w:rPr>
                    <w:t>2</w:t>
                  </w:r>
                  <w:r>
                    <w:rPr>
                      <w:color w:val="auto"/>
                      <w:szCs w:val="21"/>
                      <w:highlight w:val="none"/>
                    </w:rPr>
                    <w:t>#</w:t>
                  </w:r>
                </w:p>
              </w:tc>
              <w:tc>
                <w:tcPr>
                  <w:tcW w:w="1053" w:type="pct"/>
                  <w:vAlign w:val="center"/>
                </w:tcPr>
                <w:p w14:paraId="53847ED7">
                  <w:pPr>
                    <w:jc w:val="center"/>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张赵一村</w:t>
                  </w:r>
                </w:p>
              </w:tc>
              <w:tc>
                <w:tcPr>
                  <w:tcW w:w="871" w:type="pct"/>
                  <w:vAlign w:val="center"/>
                </w:tcPr>
                <w:p w14:paraId="1E1AE47F">
                  <w:pPr>
                    <w:jc w:val="center"/>
                    <w:rPr>
                      <w:rFonts w:hint="default" w:eastAsia="宋体"/>
                      <w:bCs/>
                      <w:color w:val="auto"/>
                      <w:szCs w:val="21"/>
                      <w:highlight w:val="none"/>
                      <w:lang w:val="en-US" w:eastAsia="zh-CN"/>
                    </w:rPr>
                  </w:pPr>
                  <w:r>
                    <w:rPr>
                      <w:rFonts w:hint="eastAsia"/>
                      <w:bCs/>
                      <w:color w:val="auto"/>
                      <w:szCs w:val="21"/>
                      <w:highlight w:val="none"/>
                      <w:lang w:val="en-US" w:eastAsia="zh-CN"/>
                    </w:rPr>
                    <w:t>52.3</w:t>
                  </w:r>
                </w:p>
              </w:tc>
              <w:tc>
                <w:tcPr>
                  <w:tcW w:w="891" w:type="pct"/>
                  <w:vAlign w:val="center"/>
                </w:tcPr>
                <w:p w14:paraId="7B1D6F34">
                  <w:pPr>
                    <w:jc w:val="center"/>
                    <w:rPr>
                      <w:rFonts w:hint="default"/>
                      <w:bCs/>
                      <w:color w:val="auto"/>
                      <w:szCs w:val="21"/>
                      <w:highlight w:val="none"/>
                      <w:lang w:val="en-US" w:eastAsia="zh-CN"/>
                    </w:rPr>
                  </w:pPr>
                  <w:r>
                    <w:rPr>
                      <w:rFonts w:hint="eastAsia"/>
                      <w:bCs/>
                      <w:color w:val="auto"/>
                      <w:szCs w:val="21"/>
                      <w:highlight w:val="none"/>
                      <w:lang w:val="en-US" w:eastAsia="zh-CN"/>
                    </w:rPr>
                    <w:t>1.3</w:t>
                  </w:r>
                </w:p>
              </w:tc>
              <w:tc>
                <w:tcPr>
                  <w:tcW w:w="648" w:type="pct"/>
                  <w:vAlign w:val="center"/>
                </w:tcPr>
                <w:p w14:paraId="1FE8AB96">
                  <w:pPr>
                    <w:jc w:val="center"/>
                    <w:rPr>
                      <w:rFonts w:hint="default"/>
                      <w:bCs/>
                      <w:color w:val="auto"/>
                      <w:szCs w:val="21"/>
                      <w:highlight w:val="none"/>
                      <w:lang w:val="en-US" w:eastAsia="zh-CN"/>
                    </w:rPr>
                  </w:pPr>
                  <w:r>
                    <w:rPr>
                      <w:rFonts w:hint="eastAsia"/>
                      <w:bCs/>
                      <w:color w:val="auto"/>
                      <w:szCs w:val="21"/>
                      <w:highlight w:val="none"/>
                      <w:lang w:val="en-US" w:eastAsia="zh-CN"/>
                    </w:rPr>
                    <w:t>60</w:t>
                  </w:r>
                </w:p>
              </w:tc>
              <w:tc>
                <w:tcPr>
                  <w:tcW w:w="441" w:type="pct"/>
                  <w:vAlign w:val="center"/>
                </w:tcPr>
                <w:p w14:paraId="175DA32C">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98E9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8B90781">
                  <w:pPr>
                    <w:jc w:val="center"/>
                    <w:rPr>
                      <w:bCs/>
                      <w:color w:val="auto"/>
                      <w:szCs w:val="21"/>
                      <w:highlight w:val="none"/>
                    </w:rPr>
                  </w:pPr>
                </w:p>
              </w:tc>
              <w:tc>
                <w:tcPr>
                  <w:tcW w:w="491" w:type="pct"/>
                  <w:vAlign w:val="center"/>
                </w:tcPr>
                <w:p w14:paraId="7F10DB46">
                  <w:pPr>
                    <w:jc w:val="center"/>
                    <w:rPr>
                      <w:rFonts w:hint="default"/>
                      <w:color w:val="auto"/>
                      <w:szCs w:val="21"/>
                      <w:highlight w:val="none"/>
                      <w:lang w:val="en-US"/>
                    </w:rPr>
                  </w:pPr>
                  <w:r>
                    <w:rPr>
                      <w:rFonts w:hint="default"/>
                      <w:color w:val="auto"/>
                      <w:szCs w:val="21"/>
                      <w:highlight w:val="none"/>
                      <w:lang w:val="en-US"/>
                    </w:rPr>
                    <w:t>3#</w:t>
                  </w:r>
                </w:p>
              </w:tc>
              <w:tc>
                <w:tcPr>
                  <w:tcW w:w="1053" w:type="pct"/>
                  <w:vAlign w:val="center"/>
                </w:tcPr>
                <w:p w14:paraId="7C0DC579">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张三村</w:t>
                  </w:r>
                </w:p>
              </w:tc>
              <w:tc>
                <w:tcPr>
                  <w:tcW w:w="871" w:type="pct"/>
                  <w:vAlign w:val="center"/>
                </w:tcPr>
                <w:p w14:paraId="7D92A82E">
                  <w:pPr>
                    <w:jc w:val="center"/>
                    <w:rPr>
                      <w:rFonts w:hint="default"/>
                      <w:bCs/>
                      <w:color w:val="auto"/>
                      <w:szCs w:val="21"/>
                      <w:highlight w:val="none"/>
                      <w:lang w:val="en-US" w:eastAsia="zh-CN"/>
                    </w:rPr>
                  </w:pPr>
                  <w:r>
                    <w:rPr>
                      <w:rFonts w:hint="eastAsia"/>
                      <w:bCs/>
                      <w:color w:val="auto"/>
                      <w:szCs w:val="21"/>
                      <w:highlight w:val="none"/>
                      <w:lang w:val="en-US" w:eastAsia="zh-CN"/>
                    </w:rPr>
                    <w:t>47.8</w:t>
                  </w:r>
                </w:p>
              </w:tc>
              <w:tc>
                <w:tcPr>
                  <w:tcW w:w="891" w:type="pct"/>
                  <w:vAlign w:val="center"/>
                </w:tcPr>
                <w:p w14:paraId="0C5A570C">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5BF9340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098444A9">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0B326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C21DA9F">
                  <w:pPr>
                    <w:jc w:val="center"/>
                    <w:rPr>
                      <w:bCs/>
                      <w:color w:val="auto"/>
                      <w:szCs w:val="21"/>
                      <w:highlight w:val="none"/>
                    </w:rPr>
                  </w:pPr>
                </w:p>
              </w:tc>
              <w:tc>
                <w:tcPr>
                  <w:tcW w:w="491" w:type="pct"/>
                  <w:vAlign w:val="center"/>
                </w:tcPr>
                <w:p w14:paraId="244B48D9">
                  <w:pPr>
                    <w:jc w:val="center"/>
                    <w:rPr>
                      <w:rFonts w:hint="default"/>
                      <w:color w:val="auto"/>
                      <w:szCs w:val="21"/>
                      <w:highlight w:val="none"/>
                      <w:lang w:val="en-US"/>
                    </w:rPr>
                  </w:pPr>
                  <w:r>
                    <w:rPr>
                      <w:rFonts w:hint="default"/>
                      <w:color w:val="auto"/>
                      <w:szCs w:val="21"/>
                      <w:highlight w:val="none"/>
                      <w:lang w:val="en-US"/>
                    </w:rPr>
                    <w:t>4#</w:t>
                  </w:r>
                </w:p>
              </w:tc>
              <w:tc>
                <w:tcPr>
                  <w:tcW w:w="1053" w:type="pct"/>
                  <w:vAlign w:val="center"/>
                </w:tcPr>
                <w:p w14:paraId="1E9DE1B6">
                  <w:pPr>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瑞景园东苑小区</w:t>
                  </w:r>
                </w:p>
              </w:tc>
              <w:tc>
                <w:tcPr>
                  <w:tcW w:w="871" w:type="pct"/>
                  <w:vAlign w:val="center"/>
                </w:tcPr>
                <w:p w14:paraId="4A11B2D9">
                  <w:pPr>
                    <w:jc w:val="center"/>
                    <w:rPr>
                      <w:rFonts w:hint="default"/>
                      <w:bCs/>
                      <w:color w:val="auto"/>
                      <w:szCs w:val="21"/>
                      <w:highlight w:val="none"/>
                      <w:lang w:val="en-US" w:eastAsia="zh-CN"/>
                    </w:rPr>
                  </w:pPr>
                  <w:r>
                    <w:rPr>
                      <w:rFonts w:hint="eastAsia"/>
                      <w:bCs/>
                      <w:color w:val="auto"/>
                      <w:szCs w:val="21"/>
                      <w:highlight w:val="none"/>
                      <w:lang w:val="en-US" w:eastAsia="zh-CN"/>
                    </w:rPr>
                    <w:t>48.9</w:t>
                  </w:r>
                </w:p>
              </w:tc>
              <w:tc>
                <w:tcPr>
                  <w:tcW w:w="891" w:type="pct"/>
                  <w:vAlign w:val="center"/>
                </w:tcPr>
                <w:p w14:paraId="54114213">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7629A613">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4E0A1592">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52514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831B322">
                  <w:pPr>
                    <w:jc w:val="center"/>
                    <w:rPr>
                      <w:bCs/>
                      <w:color w:val="auto"/>
                      <w:szCs w:val="21"/>
                      <w:highlight w:val="none"/>
                    </w:rPr>
                  </w:pPr>
                </w:p>
              </w:tc>
              <w:tc>
                <w:tcPr>
                  <w:tcW w:w="491" w:type="pct"/>
                  <w:vAlign w:val="center"/>
                </w:tcPr>
                <w:p w14:paraId="05BC99C5">
                  <w:pPr>
                    <w:jc w:val="center"/>
                    <w:rPr>
                      <w:rFonts w:hint="eastAsia" w:eastAsia="宋体"/>
                      <w:color w:val="auto"/>
                      <w:szCs w:val="21"/>
                      <w:highlight w:val="none"/>
                      <w:lang w:val="en-US" w:eastAsia="zh-CN"/>
                    </w:rPr>
                  </w:pPr>
                  <w:r>
                    <w:rPr>
                      <w:rFonts w:hint="eastAsia"/>
                      <w:color w:val="auto"/>
                      <w:szCs w:val="21"/>
                      <w:highlight w:val="none"/>
                      <w:lang w:val="en-US" w:eastAsia="zh-CN"/>
                    </w:rPr>
                    <w:t>5</w:t>
                  </w:r>
                  <w:r>
                    <w:rPr>
                      <w:color w:val="auto"/>
                      <w:szCs w:val="21"/>
                      <w:highlight w:val="none"/>
                    </w:rPr>
                    <w:t>#</w:t>
                  </w:r>
                </w:p>
              </w:tc>
              <w:tc>
                <w:tcPr>
                  <w:tcW w:w="1053" w:type="pct"/>
                  <w:vAlign w:val="center"/>
                </w:tcPr>
                <w:p w14:paraId="0D77A96D">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丰泽园东苑小区</w:t>
                  </w:r>
                </w:p>
              </w:tc>
              <w:tc>
                <w:tcPr>
                  <w:tcW w:w="871" w:type="pct"/>
                  <w:vAlign w:val="center"/>
                </w:tcPr>
                <w:p w14:paraId="60E93F62">
                  <w:pPr>
                    <w:jc w:val="center"/>
                    <w:rPr>
                      <w:rFonts w:hint="default"/>
                      <w:bCs/>
                      <w:color w:val="auto"/>
                      <w:szCs w:val="21"/>
                      <w:highlight w:val="none"/>
                      <w:lang w:val="en-US" w:eastAsia="zh-CN"/>
                    </w:rPr>
                  </w:pPr>
                  <w:r>
                    <w:rPr>
                      <w:rFonts w:hint="eastAsia"/>
                      <w:bCs/>
                      <w:color w:val="auto"/>
                      <w:szCs w:val="21"/>
                      <w:highlight w:val="none"/>
                      <w:lang w:val="en-US" w:eastAsia="zh-CN"/>
                    </w:rPr>
                    <w:t>51.0</w:t>
                  </w:r>
                </w:p>
              </w:tc>
              <w:tc>
                <w:tcPr>
                  <w:tcW w:w="891" w:type="pct"/>
                  <w:vAlign w:val="center"/>
                </w:tcPr>
                <w:p w14:paraId="4C8A0091">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10232D08">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558BC506">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797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65B32437">
                  <w:pPr>
                    <w:jc w:val="center"/>
                    <w:rPr>
                      <w:bCs/>
                      <w:color w:val="auto"/>
                      <w:szCs w:val="21"/>
                      <w:highlight w:val="none"/>
                    </w:rPr>
                  </w:pPr>
                </w:p>
              </w:tc>
              <w:tc>
                <w:tcPr>
                  <w:tcW w:w="491" w:type="pct"/>
                  <w:vAlign w:val="center"/>
                </w:tcPr>
                <w:p w14:paraId="3AAE8629">
                  <w:pPr>
                    <w:jc w:val="center"/>
                    <w:rPr>
                      <w:rFonts w:hint="eastAsia" w:eastAsia="宋体"/>
                      <w:color w:val="auto"/>
                      <w:szCs w:val="21"/>
                      <w:highlight w:val="none"/>
                      <w:lang w:val="en-US" w:eastAsia="zh-CN"/>
                    </w:rPr>
                  </w:pPr>
                  <w:r>
                    <w:rPr>
                      <w:rFonts w:hint="eastAsia"/>
                      <w:color w:val="auto"/>
                      <w:szCs w:val="21"/>
                      <w:highlight w:val="none"/>
                      <w:lang w:val="en-US" w:eastAsia="zh-CN"/>
                    </w:rPr>
                    <w:t>6</w:t>
                  </w:r>
                  <w:r>
                    <w:rPr>
                      <w:color w:val="auto"/>
                      <w:szCs w:val="21"/>
                      <w:highlight w:val="none"/>
                    </w:rPr>
                    <w:t>#</w:t>
                  </w:r>
                </w:p>
              </w:tc>
              <w:tc>
                <w:tcPr>
                  <w:tcW w:w="1053" w:type="pct"/>
                  <w:vAlign w:val="center"/>
                </w:tcPr>
                <w:p w14:paraId="3181DF1C">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小旦村</w:t>
                  </w:r>
                </w:p>
              </w:tc>
              <w:tc>
                <w:tcPr>
                  <w:tcW w:w="871" w:type="pct"/>
                  <w:vAlign w:val="center"/>
                </w:tcPr>
                <w:p w14:paraId="381DB767">
                  <w:pPr>
                    <w:jc w:val="center"/>
                    <w:rPr>
                      <w:rFonts w:hint="default"/>
                      <w:bCs/>
                      <w:color w:val="auto"/>
                      <w:szCs w:val="21"/>
                      <w:highlight w:val="none"/>
                      <w:lang w:val="en-US" w:eastAsia="zh-CN"/>
                    </w:rPr>
                  </w:pPr>
                  <w:r>
                    <w:rPr>
                      <w:rFonts w:hint="eastAsia"/>
                      <w:bCs/>
                      <w:color w:val="auto"/>
                      <w:szCs w:val="21"/>
                      <w:highlight w:val="none"/>
                      <w:lang w:val="en-US" w:eastAsia="zh-CN"/>
                    </w:rPr>
                    <w:t>51.3</w:t>
                  </w:r>
                </w:p>
              </w:tc>
              <w:tc>
                <w:tcPr>
                  <w:tcW w:w="891" w:type="pct"/>
                  <w:vAlign w:val="center"/>
                </w:tcPr>
                <w:p w14:paraId="0B43007D">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423109B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42948151">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459A5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9A52310">
                  <w:pPr>
                    <w:jc w:val="center"/>
                    <w:rPr>
                      <w:bCs/>
                      <w:color w:val="auto"/>
                      <w:szCs w:val="21"/>
                      <w:highlight w:val="none"/>
                    </w:rPr>
                  </w:pPr>
                </w:p>
              </w:tc>
              <w:tc>
                <w:tcPr>
                  <w:tcW w:w="491" w:type="pct"/>
                  <w:vAlign w:val="center"/>
                </w:tcPr>
                <w:p w14:paraId="0D1A6134">
                  <w:pPr>
                    <w:jc w:val="center"/>
                    <w:rPr>
                      <w:rFonts w:hint="eastAsia" w:eastAsia="宋体"/>
                      <w:color w:val="auto"/>
                      <w:szCs w:val="21"/>
                      <w:highlight w:val="none"/>
                      <w:lang w:val="en-US" w:eastAsia="zh-CN"/>
                    </w:rPr>
                  </w:pPr>
                  <w:r>
                    <w:rPr>
                      <w:rFonts w:hint="eastAsia"/>
                      <w:color w:val="auto"/>
                      <w:szCs w:val="21"/>
                      <w:highlight w:val="none"/>
                      <w:lang w:val="en-US" w:eastAsia="zh-CN"/>
                    </w:rPr>
                    <w:t>7</w:t>
                  </w:r>
                  <w:r>
                    <w:rPr>
                      <w:color w:val="auto"/>
                      <w:szCs w:val="21"/>
                      <w:highlight w:val="none"/>
                    </w:rPr>
                    <w:t>#</w:t>
                  </w:r>
                </w:p>
              </w:tc>
              <w:tc>
                <w:tcPr>
                  <w:tcW w:w="1053" w:type="pct"/>
                  <w:vAlign w:val="center"/>
                </w:tcPr>
                <w:p w14:paraId="22590DB5">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大旦村</w:t>
                  </w:r>
                </w:p>
              </w:tc>
              <w:tc>
                <w:tcPr>
                  <w:tcW w:w="871" w:type="pct"/>
                  <w:vAlign w:val="center"/>
                </w:tcPr>
                <w:p w14:paraId="3CE02973">
                  <w:pPr>
                    <w:jc w:val="center"/>
                    <w:rPr>
                      <w:rFonts w:hint="default"/>
                      <w:bCs/>
                      <w:color w:val="auto"/>
                      <w:szCs w:val="21"/>
                      <w:highlight w:val="none"/>
                      <w:lang w:val="en-US" w:eastAsia="zh-CN"/>
                    </w:rPr>
                  </w:pPr>
                  <w:r>
                    <w:rPr>
                      <w:rFonts w:hint="eastAsia"/>
                      <w:bCs/>
                      <w:color w:val="auto"/>
                      <w:szCs w:val="21"/>
                      <w:highlight w:val="none"/>
                      <w:lang w:val="en-US" w:eastAsia="zh-CN"/>
                    </w:rPr>
                    <w:t>51.3</w:t>
                  </w:r>
                </w:p>
              </w:tc>
              <w:tc>
                <w:tcPr>
                  <w:tcW w:w="891" w:type="pct"/>
                  <w:vAlign w:val="center"/>
                </w:tcPr>
                <w:p w14:paraId="0C0EC48D">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04EBCF4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4EBDC933">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16508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AF6FF66">
                  <w:pPr>
                    <w:jc w:val="center"/>
                    <w:rPr>
                      <w:bCs/>
                      <w:color w:val="auto"/>
                      <w:szCs w:val="21"/>
                      <w:highlight w:val="none"/>
                    </w:rPr>
                  </w:pPr>
                </w:p>
              </w:tc>
              <w:tc>
                <w:tcPr>
                  <w:tcW w:w="491" w:type="pct"/>
                  <w:vAlign w:val="center"/>
                </w:tcPr>
                <w:p w14:paraId="22EB1172">
                  <w:pPr>
                    <w:jc w:val="center"/>
                    <w:rPr>
                      <w:rFonts w:hint="eastAsia" w:eastAsia="宋体"/>
                      <w:color w:val="auto"/>
                      <w:szCs w:val="21"/>
                      <w:highlight w:val="none"/>
                      <w:lang w:val="en-US" w:eastAsia="zh-CN"/>
                    </w:rPr>
                  </w:pPr>
                  <w:r>
                    <w:rPr>
                      <w:rFonts w:hint="eastAsia"/>
                      <w:color w:val="auto"/>
                      <w:szCs w:val="21"/>
                      <w:highlight w:val="none"/>
                      <w:lang w:val="en-US" w:eastAsia="zh-CN"/>
                    </w:rPr>
                    <w:t>8</w:t>
                  </w:r>
                  <w:r>
                    <w:rPr>
                      <w:color w:val="auto"/>
                      <w:szCs w:val="21"/>
                      <w:highlight w:val="none"/>
                    </w:rPr>
                    <w:t>#</w:t>
                  </w:r>
                </w:p>
              </w:tc>
              <w:tc>
                <w:tcPr>
                  <w:tcW w:w="1053" w:type="pct"/>
                  <w:shd w:val="clear" w:color="auto" w:fill="auto"/>
                  <w:vAlign w:val="center"/>
                </w:tcPr>
                <w:p w14:paraId="0C8E71B5">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漫泗河村</w:t>
                  </w:r>
                </w:p>
              </w:tc>
              <w:tc>
                <w:tcPr>
                  <w:tcW w:w="871" w:type="pct"/>
                  <w:vAlign w:val="center"/>
                </w:tcPr>
                <w:p w14:paraId="0A50D3EC">
                  <w:pPr>
                    <w:jc w:val="center"/>
                    <w:rPr>
                      <w:rFonts w:hint="default"/>
                      <w:bCs/>
                      <w:color w:val="auto"/>
                      <w:szCs w:val="21"/>
                      <w:highlight w:val="none"/>
                      <w:lang w:val="en-US" w:eastAsia="zh-CN"/>
                    </w:rPr>
                  </w:pPr>
                  <w:r>
                    <w:rPr>
                      <w:rFonts w:hint="eastAsia"/>
                      <w:bCs/>
                      <w:color w:val="auto"/>
                      <w:szCs w:val="21"/>
                      <w:highlight w:val="none"/>
                      <w:lang w:val="en-US" w:eastAsia="zh-CN"/>
                    </w:rPr>
                    <w:t>51.2</w:t>
                  </w:r>
                </w:p>
              </w:tc>
              <w:tc>
                <w:tcPr>
                  <w:tcW w:w="891" w:type="pct"/>
                  <w:vAlign w:val="center"/>
                </w:tcPr>
                <w:p w14:paraId="64947C12">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025B2916">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36B8CF6F">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2F866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AB8C8E8">
                  <w:pPr>
                    <w:jc w:val="center"/>
                    <w:rPr>
                      <w:bCs/>
                      <w:color w:val="auto"/>
                      <w:szCs w:val="21"/>
                      <w:highlight w:val="none"/>
                    </w:rPr>
                  </w:pPr>
                </w:p>
              </w:tc>
              <w:tc>
                <w:tcPr>
                  <w:tcW w:w="491" w:type="pct"/>
                  <w:vAlign w:val="center"/>
                </w:tcPr>
                <w:p w14:paraId="68D346ED">
                  <w:pPr>
                    <w:jc w:val="center"/>
                    <w:rPr>
                      <w:rFonts w:hint="eastAsia" w:eastAsia="宋体"/>
                      <w:color w:val="auto"/>
                      <w:szCs w:val="21"/>
                      <w:highlight w:val="none"/>
                      <w:lang w:val="en-US" w:eastAsia="zh-CN"/>
                    </w:rPr>
                  </w:pPr>
                  <w:r>
                    <w:rPr>
                      <w:rFonts w:hint="eastAsia"/>
                      <w:color w:val="auto"/>
                      <w:szCs w:val="21"/>
                      <w:highlight w:val="none"/>
                      <w:lang w:val="en-US" w:eastAsia="zh-CN"/>
                    </w:rPr>
                    <w:t>9</w:t>
                  </w:r>
                  <w:r>
                    <w:rPr>
                      <w:color w:val="auto"/>
                      <w:szCs w:val="21"/>
                      <w:highlight w:val="none"/>
                    </w:rPr>
                    <w:t>#</w:t>
                  </w:r>
                </w:p>
              </w:tc>
              <w:tc>
                <w:tcPr>
                  <w:tcW w:w="1053" w:type="pct"/>
                  <w:shd w:val="clear" w:color="auto" w:fill="auto"/>
                  <w:vAlign w:val="center"/>
                </w:tcPr>
                <w:p w14:paraId="4309CAA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朝阳馨居</w:t>
                  </w:r>
                </w:p>
              </w:tc>
              <w:tc>
                <w:tcPr>
                  <w:tcW w:w="871" w:type="pct"/>
                  <w:vAlign w:val="center"/>
                </w:tcPr>
                <w:p w14:paraId="2269EB89">
                  <w:pPr>
                    <w:jc w:val="center"/>
                    <w:rPr>
                      <w:rFonts w:hint="default"/>
                      <w:bCs/>
                      <w:color w:val="auto"/>
                      <w:szCs w:val="21"/>
                      <w:highlight w:val="none"/>
                      <w:lang w:val="en-US" w:eastAsia="zh-CN"/>
                    </w:rPr>
                  </w:pPr>
                  <w:r>
                    <w:rPr>
                      <w:rFonts w:hint="eastAsia"/>
                      <w:bCs/>
                      <w:color w:val="auto"/>
                      <w:szCs w:val="21"/>
                      <w:highlight w:val="none"/>
                      <w:lang w:val="en-US" w:eastAsia="zh-CN"/>
                    </w:rPr>
                    <w:t>48.1</w:t>
                  </w:r>
                </w:p>
              </w:tc>
              <w:tc>
                <w:tcPr>
                  <w:tcW w:w="891" w:type="pct"/>
                  <w:vAlign w:val="center"/>
                </w:tcPr>
                <w:p w14:paraId="684BE26F">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200498E8">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6531B7E5">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3F206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D670FCA">
                  <w:pPr>
                    <w:jc w:val="center"/>
                    <w:rPr>
                      <w:bCs/>
                      <w:color w:val="auto"/>
                      <w:szCs w:val="21"/>
                      <w:highlight w:val="none"/>
                    </w:rPr>
                  </w:pPr>
                </w:p>
              </w:tc>
              <w:tc>
                <w:tcPr>
                  <w:tcW w:w="491" w:type="pct"/>
                  <w:vAlign w:val="center"/>
                </w:tcPr>
                <w:p w14:paraId="0E146025">
                  <w:pPr>
                    <w:jc w:val="center"/>
                    <w:rPr>
                      <w:rFonts w:hint="default" w:eastAsia="宋体"/>
                      <w:color w:val="auto"/>
                      <w:szCs w:val="21"/>
                      <w:highlight w:val="none"/>
                      <w:lang w:val="en-US" w:eastAsia="zh-CN"/>
                    </w:rPr>
                  </w:pPr>
                  <w:r>
                    <w:rPr>
                      <w:rFonts w:hint="eastAsia"/>
                      <w:color w:val="auto"/>
                      <w:szCs w:val="21"/>
                      <w:highlight w:val="none"/>
                      <w:lang w:val="en-US" w:eastAsia="zh-CN"/>
                    </w:rPr>
                    <w:t>10</w:t>
                  </w:r>
                  <w:r>
                    <w:rPr>
                      <w:color w:val="auto"/>
                      <w:szCs w:val="21"/>
                      <w:highlight w:val="none"/>
                    </w:rPr>
                    <w:t>#</w:t>
                  </w:r>
                </w:p>
              </w:tc>
              <w:tc>
                <w:tcPr>
                  <w:tcW w:w="1053" w:type="pct"/>
                  <w:shd w:val="clear" w:color="auto" w:fill="auto"/>
                  <w:vAlign w:val="center"/>
                </w:tcPr>
                <w:p w14:paraId="2FB1783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张店区文苑学校</w:t>
                  </w:r>
                </w:p>
              </w:tc>
              <w:tc>
                <w:tcPr>
                  <w:tcW w:w="871" w:type="pct"/>
                  <w:vAlign w:val="center"/>
                </w:tcPr>
                <w:p w14:paraId="3424AEB8">
                  <w:pPr>
                    <w:jc w:val="center"/>
                    <w:rPr>
                      <w:rFonts w:hint="default"/>
                      <w:bCs/>
                      <w:color w:val="auto"/>
                      <w:szCs w:val="21"/>
                      <w:highlight w:val="none"/>
                      <w:lang w:val="en-US" w:eastAsia="zh-CN"/>
                    </w:rPr>
                  </w:pPr>
                  <w:r>
                    <w:rPr>
                      <w:rFonts w:hint="eastAsia"/>
                      <w:bCs/>
                      <w:color w:val="auto"/>
                      <w:szCs w:val="21"/>
                      <w:highlight w:val="none"/>
                      <w:lang w:val="en-US" w:eastAsia="zh-CN"/>
                    </w:rPr>
                    <w:t>50.5</w:t>
                  </w:r>
                </w:p>
              </w:tc>
              <w:tc>
                <w:tcPr>
                  <w:tcW w:w="891" w:type="pct"/>
                  <w:vAlign w:val="center"/>
                </w:tcPr>
                <w:p w14:paraId="48F5B136">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64EDA854">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64C2263D">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155EA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7B13FF1">
                  <w:pPr>
                    <w:jc w:val="center"/>
                    <w:rPr>
                      <w:bCs/>
                      <w:color w:val="auto"/>
                      <w:szCs w:val="21"/>
                      <w:highlight w:val="none"/>
                    </w:rPr>
                  </w:pPr>
                </w:p>
              </w:tc>
              <w:tc>
                <w:tcPr>
                  <w:tcW w:w="491" w:type="pct"/>
                  <w:vAlign w:val="center"/>
                </w:tcPr>
                <w:p w14:paraId="23E06E35">
                  <w:pPr>
                    <w:jc w:val="center"/>
                    <w:rPr>
                      <w:rFonts w:hint="default" w:eastAsia="宋体"/>
                      <w:color w:val="auto"/>
                      <w:szCs w:val="21"/>
                      <w:highlight w:val="none"/>
                      <w:lang w:val="en-US" w:eastAsia="zh-CN"/>
                    </w:rPr>
                  </w:pPr>
                  <w:r>
                    <w:rPr>
                      <w:rFonts w:hint="eastAsia"/>
                      <w:color w:val="auto"/>
                      <w:szCs w:val="21"/>
                      <w:highlight w:val="none"/>
                      <w:lang w:val="en-US" w:eastAsia="zh-CN"/>
                    </w:rPr>
                    <w:t>11</w:t>
                  </w:r>
                  <w:r>
                    <w:rPr>
                      <w:color w:val="auto"/>
                      <w:szCs w:val="21"/>
                      <w:highlight w:val="none"/>
                    </w:rPr>
                    <w:t>#</w:t>
                  </w:r>
                </w:p>
              </w:tc>
              <w:tc>
                <w:tcPr>
                  <w:tcW w:w="1053" w:type="pct"/>
                  <w:shd w:val="clear" w:color="auto" w:fill="auto"/>
                  <w:vAlign w:val="center"/>
                </w:tcPr>
                <w:p w14:paraId="2360F0D5">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电业村</w:t>
                  </w:r>
                </w:p>
              </w:tc>
              <w:tc>
                <w:tcPr>
                  <w:tcW w:w="871" w:type="pct"/>
                  <w:vAlign w:val="center"/>
                </w:tcPr>
                <w:p w14:paraId="359A846F">
                  <w:pPr>
                    <w:jc w:val="center"/>
                    <w:rPr>
                      <w:rFonts w:hint="default"/>
                      <w:bCs/>
                      <w:color w:val="auto"/>
                      <w:szCs w:val="21"/>
                      <w:highlight w:val="none"/>
                      <w:lang w:val="en-US" w:eastAsia="zh-CN"/>
                    </w:rPr>
                  </w:pPr>
                  <w:r>
                    <w:rPr>
                      <w:rFonts w:hint="eastAsia"/>
                      <w:bCs/>
                      <w:color w:val="auto"/>
                      <w:szCs w:val="21"/>
                      <w:highlight w:val="none"/>
                      <w:lang w:val="en-US" w:eastAsia="zh-CN"/>
                    </w:rPr>
                    <w:t>51.8</w:t>
                  </w:r>
                </w:p>
              </w:tc>
              <w:tc>
                <w:tcPr>
                  <w:tcW w:w="891" w:type="pct"/>
                  <w:vAlign w:val="center"/>
                </w:tcPr>
                <w:p w14:paraId="1776032B">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766AD975">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74E66B27">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E743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4B0D3B5">
                  <w:pPr>
                    <w:jc w:val="center"/>
                    <w:rPr>
                      <w:bCs/>
                      <w:color w:val="auto"/>
                      <w:szCs w:val="21"/>
                      <w:highlight w:val="none"/>
                    </w:rPr>
                  </w:pPr>
                </w:p>
              </w:tc>
              <w:tc>
                <w:tcPr>
                  <w:tcW w:w="491" w:type="pct"/>
                  <w:vAlign w:val="center"/>
                </w:tcPr>
                <w:p w14:paraId="081B30EE">
                  <w:pPr>
                    <w:jc w:val="center"/>
                    <w:rPr>
                      <w:rFonts w:hint="default" w:eastAsia="宋体"/>
                      <w:color w:val="auto"/>
                      <w:szCs w:val="21"/>
                      <w:highlight w:val="none"/>
                      <w:lang w:val="en-US" w:eastAsia="zh-CN"/>
                    </w:rPr>
                  </w:pPr>
                  <w:r>
                    <w:rPr>
                      <w:rFonts w:hint="eastAsia"/>
                      <w:color w:val="auto"/>
                      <w:szCs w:val="21"/>
                      <w:highlight w:val="none"/>
                      <w:lang w:val="en-US" w:eastAsia="zh-CN"/>
                    </w:rPr>
                    <w:t>12</w:t>
                  </w:r>
                  <w:r>
                    <w:rPr>
                      <w:color w:val="auto"/>
                      <w:szCs w:val="21"/>
                      <w:highlight w:val="none"/>
                    </w:rPr>
                    <w:t>#</w:t>
                  </w:r>
                </w:p>
              </w:tc>
              <w:tc>
                <w:tcPr>
                  <w:tcW w:w="1053" w:type="pct"/>
                  <w:shd w:val="clear" w:color="auto" w:fill="auto"/>
                  <w:vAlign w:val="center"/>
                </w:tcPr>
                <w:p w14:paraId="2BA923E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南沣村</w:t>
                  </w:r>
                </w:p>
              </w:tc>
              <w:tc>
                <w:tcPr>
                  <w:tcW w:w="871" w:type="pct"/>
                  <w:vAlign w:val="center"/>
                </w:tcPr>
                <w:p w14:paraId="25666B36">
                  <w:pPr>
                    <w:jc w:val="center"/>
                    <w:rPr>
                      <w:rFonts w:hint="default"/>
                      <w:bCs/>
                      <w:color w:val="auto"/>
                      <w:szCs w:val="21"/>
                      <w:highlight w:val="none"/>
                      <w:lang w:val="en-US" w:eastAsia="zh-CN"/>
                    </w:rPr>
                  </w:pPr>
                  <w:r>
                    <w:rPr>
                      <w:rFonts w:hint="eastAsia"/>
                      <w:bCs/>
                      <w:color w:val="auto"/>
                      <w:szCs w:val="21"/>
                      <w:highlight w:val="none"/>
                      <w:lang w:val="en-US" w:eastAsia="zh-CN"/>
                    </w:rPr>
                    <w:t>52.5</w:t>
                  </w:r>
                </w:p>
              </w:tc>
              <w:tc>
                <w:tcPr>
                  <w:tcW w:w="891" w:type="pct"/>
                  <w:vAlign w:val="center"/>
                </w:tcPr>
                <w:p w14:paraId="0E9EC897">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4ADEF1A2">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2CD1595A">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46B3D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5518E87A">
                  <w:pPr>
                    <w:jc w:val="center"/>
                    <w:rPr>
                      <w:bCs/>
                      <w:color w:val="auto"/>
                      <w:szCs w:val="21"/>
                      <w:highlight w:val="none"/>
                    </w:rPr>
                  </w:pPr>
                </w:p>
              </w:tc>
              <w:tc>
                <w:tcPr>
                  <w:tcW w:w="491" w:type="pct"/>
                  <w:vAlign w:val="center"/>
                </w:tcPr>
                <w:p w14:paraId="64C7A048">
                  <w:pPr>
                    <w:jc w:val="center"/>
                    <w:rPr>
                      <w:rFonts w:hint="default" w:eastAsia="宋体"/>
                      <w:color w:val="auto"/>
                      <w:szCs w:val="21"/>
                      <w:highlight w:val="none"/>
                      <w:lang w:val="en-US" w:eastAsia="zh-CN"/>
                    </w:rPr>
                  </w:pPr>
                  <w:r>
                    <w:rPr>
                      <w:rFonts w:hint="eastAsia"/>
                      <w:color w:val="auto"/>
                      <w:szCs w:val="21"/>
                      <w:highlight w:val="none"/>
                      <w:lang w:val="en-US" w:eastAsia="zh-CN"/>
                    </w:rPr>
                    <w:t>13</w:t>
                  </w:r>
                  <w:r>
                    <w:rPr>
                      <w:color w:val="auto"/>
                      <w:szCs w:val="21"/>
                      <w:highlight w:val="none"/>
                    </w:rPr>
                    <w:t>#</w:t>
                  </w:r>
                </w:p>
              </w:tc>
              <w:tc>
                <w:tcPr>
                  <w:tcW w:w="1053" w:type="pct"/>
                  <w:shd w:val="clear" w:color="auto" w:fill="auto"/>
                  <w:vAlign w:val="center"/>
                </w:tcPr>
                <w:p w14:paraId="69CB7CF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寨子村</w:t>
                  </w:r>
                </w:p>
              </w:tc>
              <w:tc>
                <w:tcPr>
                  <w:tcW w:w="871" w:type="pct"/>
                  <w:vAlign w:val="center"/>
                </w:tcPr>
                <w:p w14:paraId="3EC9300A">
                  <w:pPr>
                    <w:jc w:val="center"/>
                    <w:rPr>
                      <w:rFonts w:hint="default"/>
                      <w:bCs/>
                      <w:color w:val="auto"/>
                      <w:szCs w:val="21"/>
                      <w:highlight w:val="none"/>
                      <w:lang w:val="en-US" w:eastAsia="zh-CN"/>
                    </w:rPr>
                  </w:pPr>
                  <w:r>
                    <w:rPr>
                      <w:rFonts w:hint="eastAsia"/>
                      <w:bCs/>
                      <w:color w:val="auto"/>
                      <w:szCs w:val="21"/>
                      <w:highlight w:val="none"/>
                      <w:lang w:val="en-US" w:eastAsia="zh-CN"/>
                    </w:rPr>
                    <w:t>48.8</w:t>
                  </w:r>
                </w:p>
              </w:tc>
              <w:tc>
                <w:tcPr>
                  <w:tcW w:w="891" w:type="pct"/>
                  <w:vAlign w:val="center"/>
                </w:tcPr>
                <w:p w14:paraId="1E08C4BF">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51C6B026">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5C1CED83">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40B74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B3A62B7">
                  <w:pPr>
                    <w:jc w:val="center"/>
                    <w:rPr>
                      <w:bCs/>
                      <w:color w:val="auto"/>
                      <w:szCs w:val="21"/>
                      <w:highlight w:val="none"/>
                    </w:rPr>
                  </w:pPr>
                </w:p>
              </w:tc>
              <w:tc>
                <w:tcPr>
                  <w:tcW w:w="491" w:type="pct"/>
                  <w:vAlign w:val="center"/>
                </w:tcPr>
                <w:p w14:paraId="4001F2B8">
                  <w:pPr>
                    <w:jc w:val="center"/>
                    <w:rPr>
                      <w:rFonts w:hint="default" w:eastAsia="宋体"/>
                      <w:color w:val="auto"/>
                      <w:szCs w:val="21"/>
                      <w:highlight w:val="none"/>
                      <w:lang w:val="en-US" w:eastAsia="zh-CN"/>
                    </w:rPr>
                  </w:pPr>
                  <w:r>
                    <w:rPr>
                      <w:rFonts w:hint="eastAsia"/>
                      <w:color w:val="auto"/>
                      <w:szCs w:val="21"/>
                      <w:highlight w:val="none"/>
                      <w:lang w:val="en-US" w:eastAsia="zh-CN"/>
                    </w:rPr>
                    <w:t>14</w:t>
                  </w:r>
                  <w:r>
                    <w:rPr>
                      <w:color w:val="auto"/>
                      <w:szCs w:val="21"/>
                      <w:highlight w:val="none"/>
                    </w:rPr>
                    <w:t>#</w:t>
                  </w:r>
                </w:p>
              </w:tc>
              <w:tc>
                <w:tcPr>
                  <w:tcW w:w="1053" w:type="pct"/>
                  <w:shd w:val="clear" w:color="auto" w:fill="auto"/>
                  <w:vAlign w:val="center"/>
                </w:tcPr>
                <w:p w14:paraId="76FA4346">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晴照园小区</w:t>
                  </w:r>
                </w:p>
              </w:tc>
              <w:tc>
                <w:tcPr>
                  <w:tcW w:w="871" w:type="pct"/>
                  <w:vAlign w:val="center"/>
                </w:tcPr>
                <w:p w14:paraId="5A5C0CDA">
                  <w:pPr>
                    <w:jc w:val="center"/>
                    <w:rPr>
                      <w:rFonts w:hint="default"/>
                      <w:bCs/>
                      <w:color w:val="auto"/>
                      <w:szCs w:val="21"/>
                      <w:highlight w:val="none"/>
                      <w:lang w:val="en-US" w:eastAsia="zh-CN"/>
                    </w:rPr>
                  </w:pPr>
                  <w:r>
                    <w:rPr>
                      <w:rFonts w:hint="eastAsia"/>
                      <w:bCs/>
                      <w:color w:val="auto"/>
                      <w:szCs w:val="21"/>
                      <w:highlight w:val="none"/>
                      <w:lang w:val="en-US" w:eastAsia="zh-CN"/>
                    </w:rPr>
                    <w:t>49.4</w:t>
                  </w:r>
                </w:p>
              </w:tc>
              <w:tc>
                <w:tcPr>
                  <w:tcW w:w="891" w:type="pct"/>
                  <w:vAlign w:val="center"/>
                </w:tcPr>
                <w:p w14:paraId="34189559">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4E98321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0E9DC0A9">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94B5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C0336E6">
                  <w:pPr>
                    <w:jc w:val="center"/>
                    <w:rPr>
                      <w:bCs/>
                      <w:color w:val="auto"/>
                      <w:szCs w:val="21"/>
                      <w:highlight w:val="none"/>
                    </w:rPr>
                  </w:pPr>
                </w:p>
              </w:tc>
              <w:tc>
                <w:tcPr>
                  <w:tcW w:w="491" w:type="pct"/>
                  <w:vAlign w:val="center"/>
                </w:tcPr>
                <w:p w14:paraId="792AF091">
                  <w:pPr>
                    <w:jc w:val="center"/>
                    <w:rPr>
                      <w:rFonts w:hint="default" w:eastAsia="宋体"/>
                      <w:color w:val="auto"/>
                      <w:szCs w:val="21"/>
                      <w:highlight w:val="none"/>
                      <w:lang w:val="en-US" w:eastAsia="zh-CN"/>
                    </w:rPr>
                  </w:pPr>
                  <w:r>
                    <w:rPr>
                      <w:rFonts w:hint="eastAsia"/>
                      <w:color w:val="auto"/>
                      <w:szCs w:val="21"/>
                      <w:highlight w:val="none"/>
                      <w:lang w:val="en-US" w:eastAsia="zh-CN"/>
                    </w:rPr>
                    <w:t>15</w:t>
                  </w:r>
                  <w:r>
                    <w:rPr>
                      <w:color w:val="auto"/>
                      <w:szCs w:val="21"/>
                      <w:highlight w:val="none"/>
                    </w:rPr>
                    <w:t>#</w:t>
                  </w:r>
                </w:p>
              </w:tc>
              <w:tc>
                <w:tcPr>
                  <w:tcW w:w="1053" w:type="pct"/>
                  <w:shd w:val="clear" w:color="auto" w:fill="auto"/>
                  <w:vAlign w:val="center"/>
                </w:tcPr>
                <w:p w14:paraId="521F5B5B">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龙洋小区</w:t>
                  </w:r>
                </w:p>
              </w:tc>
              <w:tc>
                <w:tcPr>
                  <w:tcW w:w="871" w:type="pct"/>
                  <w:vAlign w:val="center"/>
                </w:tcPr>
                <w:p w14:paraId="684830FA">
                  <w:pPr>
                    <w:jc w:val="center"/>
                    <w:rPr>
                      <w:rFonts w:hint="default"/>
                      <w:bCs/>
                      <w:color w:val="auto"/>
                      <w:szCs w:val="21"/>
                      <w:highlight w:val="none"/>
                      <w:lang w:val="en-US" w:eastAsia="zh-CN"/>
                    </w:rPr>
                  </w:pPr>
                  <w:r>
                    <w:rPr>
                      <w:rFonts w:hint="eastAsia"/>
                      <w:bCs/>
                      <w:color w:val="auto"/>
                      <w:szCs w:val="21"/>
                      <w:highlight w:val="none"/>
                      <w:lang w:val="en-US" w:eastAsia="zh-CN"/>
                    </w:rPr>
                    <w:t>51.2</w:t>
                  </w:r>
                </w:p>
              </w:tc>
              <w:tc>
                <w:tcPr>
                  <w:tcW w:w="891" w:type="pct"/>
                  <w:vAlign w:val="center"/>
                </w:tcPr>
                <w:p w14:paraId="406C192C">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1.3</w:t>
                  </w:r>
                </w:p>
              </w:tc>
              <w:tc>
                <w:tcPr>
                  <w:tcW w:w="648" w:type="pct"/>
                  <w:shd w:val="clear" w:color="auto" w:fill="auto"/>
                  <w:vAlign w:val="center"/>
                </w:tcPr>
                <w:p w14:paraId="2B047183">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1F2DC4A6">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D6EB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795A9AE">
                  <w:pPr>
                    <w:jc w:val="center"/>
                    <w:rPr>
                      <w:bCs/>
                      <w:color w:val="auto"/>
                      <w:szCs w:val="21"/>
                      <w:highlight w:val="none"/>
                    </w:rPr>
                  </w:pPr>
                </w:p>
              </w:tc>
              <w:tc>
                <w:tcPr>
                  <w:tcW w:w="491" w:type="pct"/>
                  <w:vAlign w:val="center"/>
                </w:tcPr>
                <w:p w14:paraId="67B8758A">
                  <w:pPr>
                    <w:jc w:val="center"/>
                    <w:rPr>
                      <w:rFonts w:hint="default" w:eastAsia="宋体"/>
                      <w:color w:val="auto"/>
                      <w:szCs w:val="21"/>
                      <w:highlight w:val="none"/>
                      <w:lang w:val="en-US" w:eastAsia="zh-CN"/>
                    </w:rPr>
                  </w:pPr>
                  <w:r>
                    <w:rPr>
                      <w:rFonts w:hint="eastAsia"/>
                      <w:color w:val="auto"/>
                      <w:szCs w:val="21"/>
                      <w:highlight w:val="none"/>
                      <w:lang w:val="en-US" w:eastAsia="zh-CN"/>
                    </w:rPr>
                    <w:t>16</w:t>
                  </w:r>
                  <w:r>
                    <w:rPr>
                      <w:color w:val="auto"/>
                      <w:szCs w:val="21"/>
                      <w:highlight w:val="none"/>
                    </w:rPr>
                    <w:t>#</w:t>
                  </w:r>
                </w:p>
              </w:tc>
              <w:tc>
                <w:tcPr>
                  <w:tcW w:w="1053" w:type="pct"/>
                  <w:shd w:val="clear" w:color="auto" w:fill="auto"/>
                  <w:vAlign w:val="center"/>
                </w:tcPr>
                <w:p w14:paraId="6F68F520">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南铺村</w:t>
                  </w:r>
                </w:p>
              </w:tc>
              <w:tc>
                <w:tcPr>
                  <w:tcW w:w="871" w:type="pct"/>
                  <w:vAlign w:val="center"/>
                </w:tcPr>
                <w:p w14:paraId="48BD23F4">
                  <w:pPr>
                    <w:jc w:val="center"/>
                    <w:rPr>
                      <w:rFonts w:hint="default"/>
                      <w:bCs/>
                      <w:color w:val="auto"/>
                      <w:szCs w:val="21"/>
                      <w:highlight w:val="none"/>
                      <w:lang w:val="en-US" w:eastAsia="zh-CN"/>
                    </w:rPr>
                  </w:pPr>
                  <w:r>
                    <w:rPr>
                      <w:rFonts w:hint="eastAsia"/>
                      <w:bCs/>
                      <w:color w:val="auto"/>
                      <w:szCs w:val="21"/>
                      <w:highlight w:val="none"/>
                      <w:lang w:val="en-US" w:eastAsia="zh-CN"/>
                    </w:rPr>
                    <w:t>50.0</w:t>
                  </w:r>
                </w:p>
              </w:tc>
              <w:tc>
                <w:tcPr>
                  <w:tcW w:w="891" w:type="pct"/>
                  <w:vAlign w:val="center"/>
                </w:tcPr>
                <w:p w14:paraId="64ECA315">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5D060705">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14263F70">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431D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0E8AE1B1">
                  <w:pPr>
                    <w:jc w:val="center"/>
                    <w:rPr>
                      <w:bCs/>
                      <w:color w:val="auto"/>
                      <w:szCs w:val="21"/>
                      <w:highlight w:val="none"/>
                    </w:rPr>
                  </w:pPr>
                </w:p>
              </w:tc>
              <w:tc>
                <w:tcPr>
                  <w:tcW w:w="491" w:type="pct"/>
                  <w:vAlign w:val="center"/>
                </w:tcPr>
                <w:p w14:paraId="2E303FEB">
                  <w:pPr>
                    <w:jc w:val="center"/>
                    <w:rPr>
                      <w:rFonts w:hint="default" w:eastAsia="宋体"/>
                      <w:color w:val="auto"/>
                      <w:szCs w:val="21"/>
                      <w:highlight w:val="none"/>
                      <w:lang w:val="en-US" w:eastAsia="zh-CN"/>
                    </w:rPr>
                  </w:pPr>
                  <w:r>
                    <w:rPr>
                      <w:rFonts w:hint="eastAsia"/>
                      <w:color w:val="auto"/>
                      <w:szCs w:val="21"/>
                      <w:highlight w:val="none"/>
                      <w:lang w:val="en-US" w:eastAsia="zh-CN"/>
                    </w:rPr>
                    <w:t>17</w:t>
                  </w:r>
                  <w:r>
                    <w:rPr>
                      <w:color w:val="auto"/>
                      <w:szCs w:val="21"/>
                      <w:highlight w:val="none"/>
                    </w:rPr>
                    <w:t>#</w:t>
                  </w:r>
                </w:p>
              </w:tc>
              <w:tc>
                <w:tcPr>
                  <w:tcW w:w="1053" w:type="pct"/>
                  <w:shd w:val="clear" w:color="auto" w:fill="auto"/>
                  <w:vAlign w:val="center"/>
                </w:tcPr>
                <w:p w14:paraId="7234530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梁家庄村</w:t>
                  </w:r>
                </w:p>
              </w:tc>
              <w:tc>
                <w:tcPr>
                  <w:tcW w:w="871" w:type="pct"/>
                  <w:vAlign w:val="center"/>
                </w:tcPr>
                <w:p w14:paraId="1C537466">
                  <w:pPr>
                    <w:jc w:val="center"/>
                    <w:rPr>
                      <w:rFonts w:hint="default"/>
                      <w:bCs/>
                      <w:color w:val="auto"/>
                      <w:szCs w:val="21"/>
                      <w:highlight w:val="none"/>
                      <w:lang w:val="en-US" w:eastAsia="zh-CN"/>
                    </w:rPr>
                  </w:pPr>
                  <w:r>
                    <w:rPr>
                      <w:rFonts w:hint="eastAsia"/>
                      <w:bCs/>
                      <w:color w:val="auto"/>
                      <w:szCs w:val="21"/>
                      <w:highlight w:val="none"/>
                      <w:lang w:val="en-US" w:eastAsia="zh-CN"/>
                    </w:rPr>
                    <w:t>52.5</w:t>
                  </w:r>
                </w:p>
              </w:tc>
              <w:tc>
                <w:tcPr>
                  <w:tcW w:w="891" w:type="pct"/>
                  <w:vAlign w:val="center"/>
                </w:tcPr>
                <w:p w14:paraId="27D356CD">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4350DEDD">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32F093D4">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1A8BF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2275F69">
                  <w:pPr>
                    <w:jc w:val="center"/>
                    <w:rPr>
                      <w:bCs/>
                      <w:color w:val="auto"/>
                      <w:szCs w:val="21"/>
                      <w:highlight w:val="none"/>
                    </w:rPr>
                  </w:pPr>
                </w:p>
              </w:tc>
              <w:tc>
                <w:tcPr>
                  <w:tcW w:w="491" w:type="pct"/>
                  <w:vAlign w:val="center"/>
                </w:tcPr>
                <w:p w14:paraId="11B975A6">
                  <w:pPr>
                    <w:jc w:val="center"/>
                    <w:rPr>
                      <w:rFonts w:hint="default" w:eastAsia="宋体"/>
                      <w:color w:val="auto"/>
                      <w:szCs w:val="21"/>
                      <w:highlight w:val="none"/>
                      <w:lang w:val="en-US" w:eastAsia="zh-CN"/>
                    </w:rPr>
                  </w:pPr>
                  <w:r>
                    <w:rPr>
                      <w:rFonts w:hint="eastAsia"/>
                      <w:color w:val="auto"/>
                      <w:szCs w:val="21"/>
                      <w:highlight w:val="none"/>
                      <w:lang w:val="en-US" w:eastAsia="zh-CN"/>
                    </w:rPr>
                    <w:t>18</w:t>
                  </w:r>
                  <w:r>
                    <w:rPr>
                      <w:color w:val="auto"/>
                      <w:szCs w:val="21"/>
                      <w:highlight w:val="none"/>
                    </w:rPr>
                    <w:t>#</w:t>
                  </w:r>
                </w:p>
              </w:tc>
              <w:tc>
                <w:tcPr>
                  <w:tcW w:w="1053" w:type="pct"/>
                  <w:vAlign w:val="center"/>
                </w:tcPr>
                <w:p w14:paraId="258911C3">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黄家村</w:t>
                  </w:r>
                </w:p>
              </w:tc>
              <w:tc>
                <w:tcPr>
                  <w:tcW w:w="871" w:type="pct"/>
                  <w:vAlign w:val="center"/>
                </w:tcPr>
                <w:p w14:paraId="74552EA8">
                  <w:pPr>
                    <w:jc w:val="center"/>
                    <w:rPr>
                      <w:rFonts w:hint="default"/>
                      <w:bCs/>
                      <w:color w:val="auto"/>
                      <w:szCs w:val="21"/>
                      <w:highlight w:val="none"/>
                      <w:lang w:val="en-US" w:eastAsia="zh-CN"/>
                    </w:rPr>
                  </w:pPr>
                  <w:r>
                    <w:rPr>
                      <w:rFonts w:hint="eastAsia"/>
                      <w:bCs/>
                      <w:color w:val="auto"/>
                      <w:szCs w:val="21"/>
                      <w:highlight w:val="none"/>
                      <w:lang w:val="en-US" w:eastAsia="zh-CN"/>
                    </w:rPr>
                    <w:t>48.3</w:t>
                  </w:r>
                </w:p>
              </w:tc>
              <w:tc>
                <w:tcPr>
                  <w:tcW w:w="891" w:type="pct"/>
                  <w:vAlign w:val="center"/>
                </w:tcPr>
                <w:p w14:paraId="50B4AE21">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233A3BC5">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6784F2DF">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74227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43A45717">
                  <w:pPr>
                    <w:jc w:val="center"/>
                    <w:rPr>
                      <w:bCs/>
                      <w:color w:val="auto"/>
                      <w:szCs w:val="21"/>
                      <w:highlight w:val="none"/>
                    </w:rPr>
                  </w:pPr>
                </w:p>
              </w:tc>
              <w:tc>
                <w:tcPr>
                  <w:tcW w:w="491" w:type="pct"/>
                  <w:vAlign w:val="center"/>
                </w:tcPr>
                <w:p w14:paraId="5CEA58FD">
                  <w:pPr>
                    <w:jc w:val="center"/>
                    <w:rPr>
                      <w:rFonts w:hint="default" w:eastAsia="宋体"/>
                      <w:color w:val="auto"/>
                      <w:szCs w:val="21"/>
                      <w:highlight w:val="none"/>
                      <w:lang w:val="en-US" w:eastAsia="zh-CN"/>
                    </w:rPr>
                  </w:pPr>
                  <w:r>
                    <w:rPr>
                      <w:rFonts w:hint="eastAsia"/>
                      <w:color w:val="auto"/>
                      <w:szCs w:val="21"/>
                      <w:highlight w:val="none"/>
                      <w:lang w:val="en-US" w:eastAsia="zh-CN"/>
                    </w:rPr>
                    <w:t>19</w:t>
                  </w:r>
                  <w:r>
                    <w:rPr>
                      <w:color w:val="auto"/>
                      <w:szCs w:val="21"/>
                      <w:highlight w:val="none"/>
                    </w:rPr>
                    <w:t>#</w:t>
                  </w:r>
                </w:p>
              </w:tc>
              <w:tc>
                <w:tcPr>
                  <w:tcW w:w="1053" w:type="pct"/>
                  <w:vAlign w:val="center"/>
                </w:tcPr>
                <w:p w14:paraId="04210330">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暖水河村</w:t>
                  </w:r>
                </w:p>
              </w:tc>
              <w:tc>
                <w:tcPr>
                  <w:tcW w:w="871" w:type="pct"/>
                  <w:vAlign w:val="center"/>
                </w:tcPr>
                <w:p w14:paraId="53D45BB5">
                  <w:pPr>
                    <w:jc w:val="center"/>
                    <w:rPr>
                      <w:rFonts w:hint="default"/>
                      <w:bCs/>
                      <w:color w:val="auto"/>
                      <w:szCs w:val="21"/>
                      <w:highlight w:val="none"/>
                      <w:lang w:val="en-US" w:eastAsia="zh-CN"/>
                    </w:rPr>
                  </w:pPr>
                  <w:r>
                    <w:rPr>
                      <w:rFonts w:hint="eastAsia"/>
                      <w:bCs/>
                      <w:color w:val="auto"/>
                      <w:szCs w:val="21"/>
                      <w:highlight w:val="none"/>
                      <w:lang w:val="en-US" w:eastAsia="zh-CN"/>
                    </w:rPr>
                    <w:t>50.3</w:t>
                  </w:r>
                </w:p>
              </w:tc>
              <w:tc>
                <w:tcPr>
                  <w:tcW w:w="891" w:type="pct"/>
                  <w:vAlign w:val="center"/>
                </w:tcPr>
                <w:p w14:paraId="21DA2C85">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29E01949">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0C2C6E09">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4CFA1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BCB7057">
                  <w:pPr>
                    <w:jc w:val="center"/>
                    <w:rPr>
                      <w:bCs/>
                      <w:color w:val="auto"/>
                      <w:szCs w:val="21"/>
                      <w:highlight w:val="none"/>
                    </w:rPr>
                  </w:pPr>
                </w:p>
              </w:tc>
              <w:tc>
                <w:tcPr>
                  <w:tcW w:w="491" w:type="pct"/>
                  <w:vAlign w:val="center"/>
                </w:tcPr>
                <w:p w14:paraId="39A93F7D">
                  <w:pPr>
                    <w:jc w:val="center"/>
                    <w:rPr>
                      <w:rFonts w:hint="default" w:eastAsia="宋体"/>
                      <w:color w:val="auto"/>
                      <w:szCs w:val="21"/>
                      <w:highlight w:val="none"/>
                      <w:lang w:val="en-US" w:eastAsia="zh-CN"/>
                    </w:rPr>
                  </w:pPr>
                  <w:r>
                    <w:rPr>
                      <w:rFonts w:hint="eastAsia"/>
                      <w:color w:val="auto"/>
                      <w:szCs w:val="21"/>
                      <w:highlight w:val="none"/>
                      <w:lang w:val="en-US" w:eastAsia="zh-CN"/>
                    </w:rPr>
                    <w:t>20</w:t>
                  </w:r>
                  <w:r>
                    <w:rPr>
                      <w:color w:val="auto"/>
                      <w:szCs w:val="21"/>
                      <w:highlight w:val="none"/>
                    </w:rPr>
                    <w:t>#</w:t>
                  </w:r>
                </w:p>
              </w:tc>
              <w:tc>
                <w:tcPr>
                  <w:tcW w:w="1053" w:type="pct"/>
                  <w:vAlign w:val="center"/>
                </w:tcPr>
                <w:p w14:paraId="07F30278">
                  <w:pPr>
                    <w:jc w:val="center"/>
                    <w:rPr>
                      <w:rFonts w:hint="eastAsia" w:cs="Times New Roman" w:eastAsiaTheme="minorEastAsia"/>
                      <w:color w:val="auto"/>
                      <w:sz w:val="21"/>
                      <w:szCs w:val="21"/>
                      <w:highlight w:val="none"/>
                      <w:lang w:eastAsia="zh-CN"/>
                    </w:rPr>
                  </w:pPr>
                  <w:r>
                    <w:rPr>
                      <w:rFonts w:hint="default" w:ascii="Times New Roman" w:hAnsi="Times New Roman" w:cs="Times New Roman"/>
                      <w:color w:val="auto"/>
                      <w:szCs w:val="21"/>
                      <w:highlight w:val="none"/>
                    </w:rPr>
                    <w:t>瓦村</w:t>
                  </w:r>
                </w:p>
              </w:tc>
              <w:tc>
                <w:tcPr>
                  <w:tcW w:w="871" w:type="pct"/>
                  <w:vAlign w:val="center"/>
                </w:tcPr>
                <w:p w14:paraId="68FC5ECD">
                  <w:pPr>
                    <w:jc w:val="center"/>
                    <w:rPr>
                      <w:rFonts w:hint="default"/>
                      <w:bCs/>
                      <w:color w:val="auto"/>
                      <w:szCs w:val="21"/>
                      <w:highlight w:val="none"/>
                      <w:lang w:val="en-US" w:eastAsia="zh-CN"/>
                    </w:rPr>
                  </w:pPr>
                  <w:r>
                    <w:rPr>
                      <w:rFonts w:hint="eastAsia"/>
                      <w:bCs/>
                      <w:color w:val="auto"/>
                      <w:szCs w:val="21"/>
                      <w:highlight w:val="none"/>
                      <w:lang w:val="en-US" w:eastAsia="zh-CN"/>
                    </w:rPr>
                    <w:t>49.1</w:t>
                  </w:r>
                </w:p>
              </w:tc>
              <w:tc>
                <w:tcPr>
                  <w:tcW w:w="891" w:type="pct"/>
                  <w:vAlign w:val="center"/>
                </w:tcPr>
                <w:p w14:paraId="0578FD4F">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134DD91D">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70666175">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5A060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2EDEC524">
                  <w:pPr>
                    <w:jc w:val="center"/>
                    <w:rPr>
                      <w:bCs/>
                      <w:color w:val="auto"/>
                      <w:szCs w:val="21"/>
                      <w:highlight w:val="none"/>
                    </w:rPr>
                  </w:pPr>
                </w:p>
              </w:tc>
              <w:tc>
                <w:tcPr>
                  <w:tcW w:w="491" w:type="pct"/>
                  <w:shd w:val="clear" w:color="auto" w:fill="auto"/>
                  <w:vAlign w:val="center"/>
                </w:tcPr>
                <w:p w14:paraId="7ADE868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21#</w:t>
                  </w:r>
                </w:p>
              </w:tc>
              <w:tc>
                <w:tcPr>
                  <w:tcW w:w="1053" w:type="pct"/>
                  <w:shd w:val="clear" w:color="auto" w:fill="auto"/>
                  <w:vAlign w:val="center"/>
                </w:tcPr>
                <w:p w14:paraId="4B2C675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小董村</w:t>
                  </w:r>
                </w:p>
              </w:tc>
              <w:tc>
                <w:tcPr>
                  <w:tcW w:w="871" w:type="pct"/>
                  <w:vAlign w:val="center"/>
                </w:tcPr>
                <w:p w14:paraId="51212CB9">
                  <w:pPr>
                    <w:jc w:val="center"/>
                    <w:rPr>
                      <w:rFonts w:hint="default"/>
                      <w:bCs/>
                      <w:color w:val="auto"/>
                      <w:szCs w:val="21"/>
                      <w:highlight w:val="none"/>
                      <w:lang w:val="en-US" w:eastAsia="zh-CN"/>
                    </w:rPr>
                  </w:pPr>
                  <w:r>
                    <w:rPr>
                      <w:rFonts w:hint="eastAsia"/>
                      <w:bCs/>
                      <w:color w:val="auto"/>
                      <w:szCs w:val="21"/>
                      <w:highlight w:val="none"/>
                      <w:lang w:val="en-US" w:eastAsia="zh-CN"/>
                    </w:rPr>
                    <w:t>52.7</w:t>
                  </w:r>
                </w:p>
              </w:tc>
              <w:tc>
                <w:tcPr>
                  <w:tcW w:w="891" w:type="pct"/>
                  <w:vAlign w:val="center"/>
                </w:tcPr>
                <w:p w14:paraId="1CCF68ED">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54A5A05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vAlign w:val="center"/>
                </w:tcPr>
                <w:p w14:paraId="7DD21AF4">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6321A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7BF1F671">
                  <w:pPr>
                    <w:jc w:val="center"/>
                    <w:rPr>
                      <w:bCs/>
                      <w:color w:val="auto"/>
                      <w:szCs w:val="21"/>
                      <w:highlight w:val="none"/>
                    </w:rPr>
                  </w:pPr>
                </w:p>
              </w:tc>
              <w:tc>
                <w:tcPr>
                  <w:tcW w:w="491" w:type="pct"/>
                  <w:shd w:val="clear" w:color="auto" w:fill="auto"/>
                  <w:vAlign w:val="center"/>
                </w:tcPr>
                <w:p w14:paraId="69B1B85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22#</w:t>
                  </w:r>
                </w:p>
              </w:tc>
              <w:tc>
                <w:tcPr>
                  <w:tcW w:w="1053" w:type="pct"/>
                  <w:shd w:val="clear" w:color="auto" w:fill="auto"/>
                  <w:vAlign w:val="center"/>
                </w:tcPr>
                <w:p w14:paraId="55F3A81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西河村</w:t>
                  </w:r>
                </w:p>
              </w:tc>
              <w:tc>
                <w:tcPr>
                  <w:tcW w:w="871" w:type="pct"/>
                  <w:shd w:val="clear" w:color="auto" w:fill="auto"/>
                  <w:vAlign w:val="center"/>
                </w:tcPr>
                <w:p w14:paraId="382420D7">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48.5</w:t>
                  </w:r>
                </w:p>
              </w:tc>
              <w:tc>
                <w:tcPr>
                  <w:tcW w:w="891" w:type="pct"/>
                  <w:shd w:val="clear" w:color="auto" w:fill="auto"/>
                  <w:vAlign w:val="center"/>
                </w:tcPr>
                <w:p w14:paraId="77F9D34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4C536015">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58729B32">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1B507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2363E53">
                  <w:pPr>
                    <w:jc w:val="center"/>
                    <w:rPr>
                      <w:bCs/>
                      <w:color w:val="auto"/>
                      <w:szCs w:val="21"/>
                      <w:highlight w:val="none"/>
                    </w:rPr>
                  </w:pPr>
                </w:p>
              </w:tc>
              <w:tc>
                <w:tcPr>
                  <w:tcW w:w="491" w:type="pct"/>
                  <w:shd w:val="clear" w:color="auto" w:fill="auto"/>
                  <w:vAlign w:val="center"/>
                </w:tcPr>
                <w:p w14:paraId="5276A345">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23#</w:t>
                  </w:r>
                </w:p>
              </w:tc>
              <w:tc>
                <w:tcPr>
                  <w:tcW w:w="1053" w:type="pct"/>
                  <w:shd w:val="clear" w:color="auto" w:fill="auto"/>
                  <w:vAlign w:val="center"/>
                </w:tcPr>
                <w:p w14:paraId="26ABC076">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官三村</w:t>
                  </w:r>
                </w:p>
              </w:tc>
              <w:tc>
                <w:tcPr>
                  <w:tcW w:w="871" w:type="pct"/>
                  <w:shd w:val="clear" w:color="auto" w:fill="auto"/>
                  <w:vAlign w:val="center"/>
                </w:tcPr>
                <w:p w14:paraId="3A090907">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50.5</w:t>
                  </w:r>
                </w:p>
              </w:tc>
              <w:tc>
                <w:tcPr>
                  <w:tcW w:w="891" w:type="pct"/>
                  <w:shd w:val="clear" w:color="auto" w:fill="auto"/>
                  <w:vAlign w:val="center"/>
                </w:tcPr>
                <w:p w14:paraId="32C3012C">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4CC80240">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0195B390">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355AA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3151F387">
                  <w:pPr>
                    <w:jc w:val="center"/>
                    <w:rPr>
                      <w:bCs/>
                      <w:color w:val="auto"/>
                      <w:szCs w:val="21"/>
                      <w:highlight w:val="none"/>
                    </w:rPr>
                  </w:pPr>
                </w:p>
              </w:tc>
              <w:tc>
                <w:tcPr>
                  <w:tcW w:w="491" w:type="pct"/>
                  <w:shd w:val="clear" w:color="auto" w:fill="auto"/>
                  <w:vAlign w:val="center"/>
                </w:tcPr>
                <w:p w14:paraId="769166A4">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24#</w:t>
                  </w:r>
                </w:p>
              </w:tc>
              <w:tc>
                <w:tcPr>
                  <w:tcW w:w="1053" w:type="pct"/>
                  <w:shd w:val="clear" w:color="auto" w:fill="auto"/>
                  <w:vAlign w:val="center"/>
                </w:tcPr>
                <w:p w14:paraId="0BD64348">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西山社区</w:t>
                  </w:r>
                </w:p>
              </w:tc>
              <w:tc>
                <w:tcPr>
                  <w:tcW w:w="871" w:type="pct"/>
                  <w:shd w:val="clear" w:color="auto" w:fill="auto"/>
                  <w:vAlign w:val="center"/>
                </w:tcPr>
                <w:p w14:paraId="123B4A2B">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52.0</w:t>
                  </w:r>
                </w:p>
              </w:tc>
              <w:tc>
                <w:tcPr>
                  <w:tcW w:w="891" w:type="pct"/>
                  <w:shd w:val="clear" w:color="auto" w:fill="auto"/>
                  <w:vAlign w:val="center"/>
                </w:tcPr>
                <w:p w14:paraId="2CC73549">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1.3</w:t>
                  </w:r>
                </w:p>
              </w:tc>
              <w:tc>
                <w:tcPr>
                  <w:tcW w:w="648" w:type="pct"/>
                  <w:shd w:val="clear" w:color="auto" w:fill="auto"/>
                  <w:vAlign w:val="center"/>
                </w:tcPr>
                <w:p w14:paraId="2B373966">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40CFEED1">
                  <w:pPr>
                    <w:jc w:val="center"/>
                    <w:rPr>
                      <w:rFonts w:hint="eastAsia" w:cs="Times New Roman"/>
                      <w:bCs/>
                      <w:color w:val="auto"/>
                      <w:kern w:val="2"/>
                      <w:sz w:val="21"/>
                      <w:szCs w:val="21"/>
                      <w:highlight w:val="none"/>
                      <w:lang w:val="en-US" w:eastAsia="zh-CN" w:bidi="ar-SA"/>
                    </w:rPr>
                  </w:pPr>
                  <w:r>
                    <w:rPr>
                      <w:rFonts w:hint="eastAsia"/>
                      <w:bCs/>
                      <w:color w:val="auto"/>
                      <w:szCs w:val="21"/>
                      <w:highlight w:val="none"/>
                      <w:lang w:val="en-US" w:eastAsia="zh-CN"/>
                    </w:rPr>
                    <w:t>达标</w:t>
                  </w:r>
                </w:p>
              </w:tc>
            </w:tr>
            <w:tr w14:paraId="3C8CA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26CDDED">
                  <w:pPr>
                    <w:jc w:val="center"/>
                    <w:rPr>
                      <w:bCs/>
                      <w:color w:val="auto"/>
                      <w:szCs w:val="21"/>
                      <w:highlight w:val="none"/>
                    </w:rPr>
                  </w:pPr>
                </w:p>
              </w:tc>
              <w:tc>
                <w:tcPr>
                  <w:tcW w:w="491" w:type="pct"/>
                  <w:shd w:val="clear" w:color="auto" w:fill="auto"/>
                  <w:vAlign w:val="center"/>
                </w:tcPr>
                <w:p w14:paraId="0267C14F">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25</w:t>
                  </w:r>
                  <w:r>
                    <w:rPr>
                      <w:rFonts w:hint="eastAsia"/>
                      <w:color w:val="auto"/>
                      <w:szCs w:val="21"/>
                      <w:highlight w:val="none"/>
                      <w:lang w:val="en-US" w:eastAsia="zh-CN"/>
                    </w:rPr>
                    <w:t>#</w:t>
                  </w:r>
                </w:p>
              </w:tc>
              <w:tc>
                <w:tcPr>
                  <w:tcW w:w="1053" w:type="pct"/>
                  <w:shd w:val="clear" w:color="auto" w:fill="auto"/>
                  <w:vAlign w:val="center"/>
                </w:tcPr>
                <w:p w14:paraId="29F0896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三泉村</w:t>
                  </w:r>
                </w:p>
              </w:tc>
              <w:tc>
                <w:tcPr>
                  <w:tcW w:w="871" w:type="pct"/>
                  <w:shd w:val="clear" w:color="auto" w:fill="auto"/>
                  <w:vAlign w:val="center"/>
                </w:tcPr>
                <w:p w14:paraId="2B1A7660">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54.2</w:t>
                  </w:r>
                </w:p>
              </w:tc>
              <w:tc>
                <w:tcPr>
                  <w:tcW w:w="891" w:type="pct"/>
                  <w:shd w:val="clear" w:color="auto" w:fill="auto"/>
                  <w:vAlign w:val="center"/>
                </w:tcPr>
                <w:p w14:paraId="5A2551BC">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1.3</w:t>
                  </w:r>
                </w:p>
              </w:tc>
              <w:tc>
                <w:tcPr>
                  <w:tcW w:w="648" w:type="pct"/>
                  <w:shd w:val="clear" w:color="auto" w:fill="auto"/>
                  <w:vAlign w:val="center"/>
                </w:tcPr>
                <w:p w14:paraId="32AA8F07">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3FD88FD4">
                  <w:pPr>
                    <w:jc w:val="center"/>
                    <w:rPr>
                      <w:rFonts w:hint="eastAsia" w:cs="Times New Roman"/>
                      <w:bCs/>
                      <w:color w:val="auto"/>
                      <w:kern w:val="2"/>
                      <w:sz w:val="21"/>
                      <w:szCs w:val="21"/>
                      <w:highlight w:val="none"/>
                      <w:lang w:val="en-US" w:eastAsia="zh-CN" w:bidi="ar-SA"/>
                    </w:rPr>
                  </w:pPr>
                  <w:r>
                    <w:rPr>
                      <w:rFonts w:hint="eastAsia"/>
                      <w:bCs/>
                      <w:color w:val="auto"/>
                      <w:szCs w:val="21"/>
                      <w:highlight w:val="none"/>
                      <w:lang w:val="en-US" w:eastAsia="zh-CN"/>
                    </w:rPr>
                    <w:t>达标</w:t>
                  </w:r>
                </w:p>
              </w:tc>
            </w:tr>
            <w:tr w14:paraId="71C37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vAlign w:val="center"/>
                </w:tcPr>
                <w:p w14:paraId="10E1064E">
                  <w:pPr>
                    <w:jc w:val="center"/>
                    <w:rPr>
                      <w:bCs/>
                      <w:color w:val="auto"/>
                      <w:szCs w:val="21"/>
                      <w:highlight w:val="none"/>
                    </w:rPr>
                  </w:pPr>
                </w:p>
              </w:tc>
              <w:tc>
                <w:tcPr>
                  <w:tcW w:w="491" w:type="pct"/>
                  <w:shd w:val="clear" w:color="auto" w:fill="auto"/>
                  <w:vAlign w:val="center"/>
                </w:tcPr>
                <w:p w14:paraId="6DDA298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26</w:t>
                  </w:r>
                  <w:r>
                    <w:rPr>
                      <w:rFonts w:hint="eastAsia"/>
                      <w:color w:val="auto"/>
                      <w:szCs w:val="21"/>
                      <w:highlight w:val="none"/>
                      <w:lang w:val="en-US" w:eastAsia="zh-CN"/>
                    </w:rPr>
                    <w:t>#</w:t>
                  </w:r>
                </w:p>
              </w:tc>
              <w:tc>
                <w:tcPr>
                  <w:tcW w:w="1053" w:type="pct"/>
                  <w:shd w:val="clear" w:color="auto" w:fill="auto"/>
                  <w:vAlign w:val="center"/>
                </w:tcPr>
                <w:p w14:paraId="0E2C793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李家村</w:t>
                  </w:r>
                </w:p>
              </w:tc>
              <w:tc>
                <w:tcPr>
                  <w:tcW w:w="871" w:type="pct"/>
                  <w:shd w:val="clear" w:color="auto" w:fill="auto"/>
                  <w:vAlign w:val="center"/>
                </w:tcPr>
                <w:p w14:paraId="223741CE">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49.0</w:t>
                  </w:r>
                </w:p>
              </w:tc>
              <w:tc>
                <w:tcPr>
                  <w:tcW w:w="891" w:type="pct"/>
                  <w:shd w:val="clear" w:color="auto" w:fill="auto"/>
                  <w:vAlign w:val="center"/>
                </w:tcPr>
                <w:p w14:paraId="3D4B921A">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5B23AD92">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36AB2246">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7FD7B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tcPr>
                <w:p w14:paraId="3D925657">
                  <w:pPr>
                    <w:jc w:val="center"/>
                    <w:rPr>
                      <w:bCs/>
                      <w:color w:val="auto"/>
                      <w:szCs w:val="21"/>
                      <w:highlight w:val="none"/>
                    </w:rPr>
                  </w:pPr>
                </w:p>
              </w:tc>
              <w:tc>
                <w:tcPr>
                  <w:tcW w:w="491" w:type="pct"/>
                  <w:shd w:val="clear" w:color="auto" w:fill="auto"/>
                  <w:vAlign w:val="center"/>
                </w:tcPr>
                <w:p w14:paraId="021DDDC6">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27</w:t>
                  </w:r>
                  <w:r>
                    <w:rPr>
                      <w:rFonts w:hint="eastAsia"/>
                      <w:color w:val="auto"/>
                      <w:szCs w:val="21"/>
                      <w:highlight w:val="none"/>
                      <w:lang w:val="en-US" w:eastAsia="zh-CN"/>
                    </w:rPr>
                    <w:t>#</w:t>
                  </w:r>
                </w:p>
              </w:tc>
              <w:tc>
                <w:tcPr>
                  <w:tcW w:w="1053" w:type="pct"/>
                  <w:shd w:val="clear" w:color="auto" w:fill="auto"/>
                  <w:vAlign w:val="center"/>
                </w:tcPr>
                <w:p w14:paraId="1ABD59A1">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山障埠村</w:t>
                  </w:r>
                </w:p>
              </w:tc>
              <w:tc>
                <w:tcPr>
                  <w:tcW w:w="871" w:type="pct"/>
                  <w:shd w:val="clear" w:color="auto" w:fill="auto"/>
                  <w:vAlign w:val="center"/>
                </w:tcPr>
                <w:p w14:paraId="2D109AB4">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49.7</w:t>
                  </w:r>
                </w:p>
              </w:tc>
              <w:tc>
                <w:tcPr>
                  <w:tcW w:w="891" w:type="pct"/>
                  <w:shd w:val="clear" w:color="auto" w:fill="auto"/>
                  <w:vAlign w:val="center"/>
                </w:tcPr>
                <w:p w14:paraId="4D22EF78">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3ACFCB1F">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092DF382">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20A90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tcPr>
                <w:p w14:paraId="76CE5E5F">
                  <w:pPr>
                    <w:jc w:val="center"/>
                    <w:rPr>
                      <w:bCs/>
                      <w:color w:val="auto"/>
                      <w:szCs w:val="21"/>
                      <w:highlight w:val="none"/>
                    </w:rPr>
                  </w:pPr>
                </w:p>
              </w:tc>
              <w:tc>
                <w:tcPr>
                  <w:tcW w:w="491" w:type="pct"/>
                  <w:shd w:val="clear" w:color="auto" w:fill="auto"/>
                  <w:vAlign w:val="center"/>
                </w:tcPr>
                <w:p w14:paraId="43E64A5B">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28</w:t>
                  </w:r>
                  <w:r>
                    <w:rPr>
                      <w:rFonts w:hint="eastAsia"/>
                      <w:color w:val="auto"/>
                      <w:szCs w:val="21"/>
                      <w:highlight w:val="none"/>
                      <w:lang w:val="en-US" w:eastAsia="zh-CN"/>
                    </w:rPr>
                    <w:t>#</w:t>
                  </w:r>
                </w:p>
              </w:tc>
              <w:tc>
                <w:tcPr>
                  <w:tcW w:w="1053" w:type="pct"/>
                  <w:shd w:val="clear" w:color="auto" w:fill="auto"/>
                  <w:vAlign w:val="center"/>
                </w:tcPr>
                <w:p w14:paraId="440174B5">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开河村</w:t>
                  </w:r>
                </w:p>
              </w:tc>
              <w:tc>
                <w:tcPr>
                  <w:tcW w:w="871" w:type="pct"/>
                  <w:shd w:val="clear" w:color="auto" w:fill="auto"/>
                  <w:vAlign w:val="center"/>
                </w:tcPr>
                <w:p w14:paraId="47FD7D99">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47.7</w:t>
                  </w:r>
                </w:p>
              </w:tc>
              <w:tc>
                <w:tcPr>
                  <w:tcW w:w="891" w:type="pct"/>
                  <w:shd w:val="clear" w:color="auto" w:fill="auto"/>
                  <w:vAlign w:val="center"/>
                </w:tcPr>
                <w:p w14:paraId="4F37CEF1">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1E4202CB">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7903F149">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r w14:paraId="4DC5F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02" w:type="pct"/>
                  <w:vMerge w:val="continue"/>
                </w:tcPr>
                <w:p w14:paraId="2740B697">
                  <w:pPr>
                    <w:jc w:val="center"/>
                    <w:rPr>
                      <w:bCs/>
                      <w:color w:val="auto"/>
                      <w:szCs w:val="21"/>
                      <w:highlight w:val="none"/>
                    </w:rPr>
                  </w:pPr>
                </w:p>
              </w:tc>
              <w:tc>
                <w:tcPr>
                  <w:tcW w:w="491" w:type="pct"/>
                  <w:shd w:val="clear" w:color="auto" w:fill="auto"/>
                  <w:vAlign w:val="center"/>
                </w:tcPr>
                <w:p w14:paraId="30F9E8C8">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29</w:t>
                  </w:r>
                  <w:r>
                    <w:rPr>
                      <w:rFonts w:hint="eastAsia"/>
                      <w:color w:val="auto"/>
                      <w:szCs w:val="21"/>
                      <w:highlight w:val="none"/>
                      <w:lang w:val="en-US" w:eastAsia="zh-CN"/>
                    </w:rPr>
                    <w:t>#</w:t>
                  </w:r>
                </w:p>
              </w:tc>
              <w:tc>
                <w:tcPr>
                  <w:tcW w:w="1053" w:type="pct"/>
                  <w:shd w:val="clear" w:color="auto" w:fill="auto"/>
                  <w:vAlign w:val="center"/>
                </w:tcPr>
                <w:p w14:paraId="37160853">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rPr>
                    <w:t>东河村</w:t>
                  </w:r>
                </w:p>
              </w:tc>
              <w:tc>
                <w:tcPr>
                  <w:tcW w:w="871" w:type="pct"/>
                  <w:shd w:val="clear" w:color="auto" w:fill="auto"/>
                  <w:vAlign w:val="center"/>
                </w:tcPr>
                <w:p w14:paraId="18E39EF5">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50.6</w:t>
                  </w:r>
                </w:p>
              </w:tc>
              <w:tc>
                <w:tcPr>
                  <w:tcW w:w="891" w:type="pct"/>
                  <w:shd w:val="clear" w:color="auto" w:fill="auto"/>
                  <w:vAlign w:val="center"/>
                </w:tcPr>
                <w:p w14:paraId="3C5F62B0">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w:t>
                  </w:r>
                </w:p>
              </w:tc>
              <w:tc>
                <w:tcPr>
                  <w:tcW w:w="648" w:type="pct"/>
                  <w:shd w:val="clear" w:color="auto" w:fill="auto"/>
                  <w:vAlign w:val="center"/>
                </w:tcPr>
                <w:p w14:paraId="58D41BCA">
                  <w:pPr>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60</w:t>
                  </w:r>
                </w:p>
              </w:tc>
              <w:tc>
                <w:tcPr>
                  <w:tcW w:w="441" w:type="pct"/>
                  <w:shd w:val="clear" w:color="auto" w:fill="auto"/>
                  <w:vAlign w:val="center"/>
                </w:tcPr>
                <w:p w14:paraId="1EF21787">
                  <w:pPr>
                    <w:jc w:val="center"/>
                    <w:rPr>
                      <w:rFonts w:hint="eastAsia"/>
                      <w:bCs/>
                      <w:color w:val="auto"/>
                      <w:szCs w:val="21"/>
                      <w:highlight w:val="none"/>
                      <w:lang w:val="en-US" w:eastAsia="zh-CN"/>
                    </w:rPr>
                  </w:pPr>
                  <w:r>
                    <w:rPr>
                      <w:rFonts w:hint="eastAsia"/>
                      <w:bCs/>
                      <w:color w:val="auto"/>
                      <w:szCs w:val="21"/>
                      <w:highlight w:val="none"/>
                      <w:lang w:val="en-US" w:eastAsia="zh-CN"/>
                    </w:rPr>
                    <w:t>达标</w:t>
                  </w:r>
                </w:p>
              </w:tc>
            </w:tr>
          </w:tbl>
          <w:p w14:paraId="5B13DAC8">
            <w:pPr>
              <w:spacing w:line="360" w:lineRule="auto"/>
              <w:ind w:firstLine="480" w:firstLineChars="200"/>
              <w:rPr>
                <w:color w:val="auto"/>
                <w:kern w:val="0"/>
                <w:szCs w:val="21"/>
                <w:highlight w:val="yellow"/>
              </w:rPr>
            </w:pPr>
            <w:r>
              <w:rPr>
                <w:color w:val="auto"/>
                <w:kern w:val="0"/>
                <w:sz w:val="24"/>
                <w:lang w:bidi="ar"/>
              </w:rPr>
              <w:t>由上表监测结果可知</w:t>
            </w:r>
            <w:r>
              <w:rPr>
                <w:rFonts w:hint="eastAsia"/>
                <w:color w:val="auto"/>
                <w:kern w:val="0"/>
                <w:sz w:val="24"/>
                <w:lang w:bidi="ar"/>
              </w:rPr>
              <w:t>，</w:t>
            </w:r>
            <w:r>
              <w:rPr>
                <w:color w:val="auto"/>
                <w:kern w:val="0"/>
                <w:sz w:val="24"/>
                <w:lang w:bidi="ar"/>
              </w:rPr>
              <w:t>项目周围</w:t>
            </w:r>
            <w:r>
              <w:rPr>
                <w:rFonts w:hint="eastAsia"/>
                <w:color w:val="auto"/>
                <w:kern w:val="0"/>
                <w:sz w:val="24"/>
                <w:lang w:bidi="ar"/>
              </w:rPr>
              <w:t>声</w:t>
            </w:r>
            <w:r>
              <w:rPr>
                <w:color w:val="auto"/>
                <w:kern w:val="0"/>
                <w:sz w:val="24"/>
                <w:lang w:bidi="ar"/>
              </w:rPr>
              <w:t>环境</w:t>
            </w:r>
            <w:r>
              <w:rPr>
                <w:rFonts w:hint="eastAsia"/>
                <w:color w:val="auto"/>
                <w:kern w:val="0"/>
                <w:sz w:val="24"/>
                <w:lang w:bidi="ar"/>
              </w:rPr>
              <w:t>质量</w:t>
            </w:r>
            <w:r>
              <w:rPr>
                <w:color w:val="auto"/>
                <w:kern w:val="0"/>
                <w:sz w:val="24"/>
                <w:lang w:bidi="ar"/>
              </w:rPr>
              <w:t>现状可以满足《声环境质量标准》</w:t>
            </w:r>
            <w:r>
              <w:rPr>
                <w:rFonts w:hint="eastAsia"/>
                <w:color w:val="auto"/>
                <w:kern w:val="0"/>
                <w:sz w:val="24"/>
                <w:lang w:bidi="ar"/>
              </w:rPr>
              <w:t>(</w:t>
            </w:r>
            <w:r>
              <w:rPr>
                <w:color w:val="auto"/>
                <w:kern w:val="0"/>
                <w:sz w:val="24"/>
                <w:lang w:bidi="ar"/>
              </w:rPr>
              <w:t>GB</w:t>
            </w:r>
            <w:r>
              <w:rPr>
                <w:rFonts w:hint="eastAsia"/>
                <w:color w:val="auto"/>
                <w:kern w:val="0"/>
                <w:sz w:val="24"/>
                <w:lang w:bidi="ar"/>
              </w:rPr>
              <w:t xml:space="preserve"> </w:t>
            </w:r>
            <w:r>
              <w:rPr>
                <w:color w:val="auto"/>
                <w:kern w:val="0"/>
                <w:sz w:val="24"/>
                <w:lang w:bidi="ar"/>
              </w:rPr>
              <w:t>3096-2008</w:t>
            </w:r>
            <w:r>
              <w:rPr>
                <w:rFonts w:hint="eastAsia"/>
                <w:color w:val="auto"/>
                <w:kern w:val="0"/>
                <w:sz w:val="24"/>
                <w:lang w:bidi="ar"/>
              </w:rPr>
              <w:t>)中</w:t>
            </w:r>
            <w:r>
              <w:rPr>
                <w:rFonts w:hint="eastAsia"/>
                <w:color w:val="auto"/>
                <w:kern w:val="0"/>
                <w:sz w:val="24"/>
                <w:lang w:val="en-US" w:eastAsia="zh-CN" w:bidi="ar"/>
              </w:rPr>
              <w:t>2</w:t>
            </w:r>
            <w:r>
              <w:rPr>
                <w:color w:val="auto"/>
                <w:kern w:val="0"/>
                <w:sz w:val="24"/>
                <w:lang w:bidi="ar"/>
              </w:rPr>
              <w:t>类区标准</w:t>
            </w:r>
            <w:r>
              <w:rPr>
                <w:rFonts w:hint="eastAsia"/>
                <w:color w:val="auto"/>
                <w:kern w:val="0"/>
                <w:sz w:val="24"/>
                <w:lang w:bidi="ar"/>
              </w:rPr>
              <w:t>要求</w:t>
            </w:r>
            <w:r>
              <w:rPr>
                <w:color w:val="auto"/>
                <w:kern w:val="0"/>
                <w:sz w:val="24"/>
                <w:lang w:bidi="ar"/>
              </w:rPr>
              <w:t>。</w:t>
            </w:r>
          </w:p>
        </w:tc>
      </w:tr>
      <w:tr w14:paraId="35DB73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3" w:type="pct"/>
            <w:vAlign w:val="center"/>
          </w:tcPr>
          <w:p w14:paraId="5B7B672F">
            <w:pPr>
              <w:adjustRightInd w:val="0"/>
              <w:snapToGrid w:val="0"/>
              <w:jc w:val="center"/>
              <w:rPr>
                <w:color w:val="auto"/>
                <w:kern w:val="0"/>
                <w:szCs w:val="21"/>
                <w:highlight w:val="yellow"/>
              </w:rPr>
            </w:pPr>
            <w:r>
              <w:rPr>
                <w:bCs/>
                <w:color w:val="auto"/>
                <w:sz w:val="24"/>
              </w:rPr>
              <w:t>与项目有关的原有环境污染和生态破坏问题</w:t>
            </w:r>
          </w:p>
        </w:tc>
        <w:tc>
          <w:tcPr>
            <w:tcW w:w="4556" w:type="pct"/>
            <w:vAlign w:val="center"/>
          </w:tcPr>
          <w:p w14:paraId="28326F63">
            <w:pPr>
              <w:widowControl/>
              <w:spacing w:line="360" w:lineRule="auto"/>
              <w:ind w:firstLine="480" w:firstLineChars="200"/>
              <w:rPr>
                <w:color w:val="auto"/>
                <w:kern w:val="0"/>
                <w:sz w:val="24"/>
                <w:lang w:bidi="ar"/>
              </w:rPr>
            </w:pPr>
            <w:r>
              <w:rPr>
                <w:color w:val="auto"/>
                <w:sz w:val="24"/>
              </w:rPr>
              <w:t>本项目为新建项目，不涉及原有污染情况。本项目河道现状及区域排污现状分析如下：</w:t>
            </w:r>
          </w:p>
          <w:p w14:paraId="31E7DF5D">
            <w:pPr>
              <w:widowControl/>
              <w:spacing w:line="360" w:lineRule="auto"/>
              <w:ind w:firstLine="480" w:firstLineChars="200"/>
              <w:rPr>
                <w:color w:val="auto"/>
                <w:sz w:val="24"/>
              </w:rPr>
            </w:pPr>
            <w:r>
              <w:rPr>
                <w:color w:val="auto"/>
                <w:sz w:val="24"/>
              </w:rPr>
              <w:t>一、河道现状</w:t>
            </w:r>
          </w:p>
          <w:p w14:paraId="2770C7AE">
            <w:pPr>
              <w:widowControl/>
              <w:spacing w:line="360" w:lineRule="auto"/>
              <w:ind w:firstLine="480" w:firstLineChars="200"/>
              <w:rPr>
                <w:color w:val="auto"/>
                <w:sz w:val="24"/>
              </w:rPr>
            </w:pPr>
            <w:r>
              <w:rPr>
                <w:rFonts w:hint="eastAsia"/>
                <w:color w:val="auto"/>
                <w:sz w:val="24"/>
              </w:rPr>
              <w:t>1、涝淄河昌国路以南段防洪标准为10-20年一遇，城区段为50-100年一遇，上下游河道防洪标准不一致造成河道排水能力的差别较大，在局部河段存在河道阻水和河水外溢现象。防洪标准与排涝标准不一致，河道普遍较浅，不满足防涝要求。</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09718D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2CA93055">
                  <w:pPr>
                    <w:jc w:val="center"/>
                    <w:rPr>
                      <w:color w:val="auto"/>
                    </w:rPr>
                  </w:pPr>
                  <w:r>
                    <w:rPr>
                      <w:color w:val="auto"/>
                    </w:rPr>
                    <w:drawing>
                      <wp:inline distT="0" distB="0" distL="114300" distR="114300">
                        <wp:extent cx="2444750" cy="1834515"/>
                        <wp:effectExtent l="0" t="0" r="12700" b="1333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7"/>
                                <a:stretch>
                                  <a:fillRect/>
                                </a:stretch>
                              </pic:blipFill>
                              <pic:spPr>
                                <a:xfrm>
                                  <a:off x="0" y="0"/>
                                  <a:ext cx="2444750" cy="1834515"/>
                                </a:xfrm>
                                <a:prstGeom prst="rect">
                                  <a:avLst/>
                                </a:prstGeom>
                                <a:noFill/>
                                <a:ln>
                                  <a:noFill/>
                                </a:ln>
                              </pic:spPr>
                            </pic:pic>
                          </a:graphicData>
                        </a:graphic>
                      </wp:inline>
                    </w:drawing>
                  </w:r>
                </w:p>
              </w:tc>
              <w:tc>
                <w:tcPr>
                  <w:tcW w:w="2484" w:type="pct"/>
                </w:tcPr>
                <w:p w14:paraId="71B009B6">
                  <w:pPr>
                    <w:jc w:val="center"/>
                    <w:rPr>
                      <w:color w:val="auto"/>
                    </w:rPr>
                  </w:pPr>
                  <w:r>
                    <w:rPr>
                      <w:color w:val="auto"/>
                    </w:rPr>
                    <w:drawing>
                      <wp:inline distT="0" distB="0" distL="114300" distR="114300">
                        <wp:extent cx="2482215" cy="1863725"/>
                        <wp:effectExtent l="0" t="0" r="13335" b="317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8"/>
                                <a:stretch>
                                  <a:fillRect/>
                                </a:stretch>
                              </pic:blipFill>
                              <pic:spPr>
                                <a:xfrm>
                                  <a:off x="0" y="0"/>
                                  <a:ext cx="2482215" cy="1863725"/>
                                </a:xfrm>
                                <a:prstGeom prst="rect">
                                  <a:avLst/>
                                </a:prstGeom>
                                <a:noFill/>
                                <a:ln>
                                  <a:noFill/>
                                </a:ln>
                              </pic:spPr>
                            </pic:pic>
                          </a:graphicData>
                        </a:graphic>
                      </wp:inline>
                    </w:drawing>
                  </w:r>
                </w:p>
              </w:tc>
            </w:tr>
            <w:tr w14:paraId="1C6C4D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6448371E">
                  <w:pPr>
                    <w:pStyle w:val="47"/>
                    <w:spacing w:line="240" w:lineRule="auto"/>
                    <w:rPr>
                      <w:color w:val="auto"/>
                      <w:sz w:val="24"/>
                    </w:rPr>
                  </w:pPr>
                  <w:r>
                    <w:rPr>
                      <w:rFonts w:hint="eastAsia"/>
                      <w:color w:val="auto"/>
                      <w:sz w:val="24"/>
                    </w:rPr>
                    <w:t>图1 鲁山大道西侧涝淄河</w:t>
                  </w:r>
                </w:p>
              </w:tc>
              <w:tc>
                <w:tcPr>
                  <w:tcW w:w="2484" w:type="pct"/>
                  <w:vAlign w:val="center"/>
                </w:tcPr>
                <w:p w14:paraId="4177650C">
                  <w:pPr>
                    <w:pStyle w:val="47"/>
                    <w:spacing w:line="240" w:lineRule="auto"/>
                    <w:rPr>
                      <w:color w:val="auto"/>
                      <w:sz w:val="24"/>
                    </w:rPr>
                  </w:pPr>
                  <w:r>
                    <w:rPr>
                      <w:rFonts w:hint="eastAsia"/>
                      <w:color w:val="auto"/>
                      <w:sz w:val="24"/>
                    </w:rPr>
                    <w:t>图2 张赵村段涝淄河</w:t>
                  </w:r>
                </w:p>
              </w:tc>
            </w:tr>
          </w:tbl>
          <w:p w14:paraId="01E46204">
            <w:pPr>
              <w:widowControl/>
              <w:spacing w:line="360" w:lineRule="auto"/>
              <w:ind w:firstLine="480" w:firstLineChars="200"/>
              <w:rPr>
                <w:color w:val="auto"/>
                <w:sz w:val="24"/>
              </w:rPr>
            </w:pPr>
            <w:r>
              <w:rPr>
                <w:rFonts w:hint="eastAsia"/>
                <w:color w:val="auto"/>
                <w:sz w:val="24"/>
              </w:rPr>
              <w:t>2、猪龙河上游东支</w:t>
            </w:r>
          </w:p>
          <w:p w14:paraId="3190E522">
            <w:pPr>
              <w:widowControl/>
              <w:spacing w:line="360" w:lineRule="auto"/>
              <w:ind w:firstLine="480" w:firstLineChars="200"/>
              <w:rPr>
                <w:color w:val="auto"/>
                <w:sz w:val="24"/>
              </w:rPr>
            </w:pPr>
            <w:r>
              <w:rPr>
                <w:rFonts w:hint="eastAsia"/>
                <w:color w:val="auto"/>
                <w:sz w:val="24"/>
              </w:rPr>
              <w:t>猪龙河东支起点为东四路，终点至白家闸，全长3.7km。流域总面积6.5km</w:t>
            </w:r>
            <w:r>
              <w:rPr>
                <w:rFonts w:hint="eastAsia"/>
                <w:color w:val="auto"/>
                <w:sz w:val="24"/>
                <w:vertAlign w:val="superscript"/>
              </w:rPr>
              <w:t>2</w:t>
            </w:r>
            <w:r>
              <w:rPr>
                <w:rFonts w:hint="eastAsia"/>
                <w:color w:val="auto"/>
                <w:sz w:val="24"/>
              </w:rPr>
              <w:t>。河道沿朝阳路上游段约500m为暗沟，上有蓬河建筑，朝阳路下游段已进行改造。其它段均为土沟。东支上游因有山铝赤泥堆渗透水进入河道以及淄博华电电厂沉淀池废水排入河道，水质较差；东支下游河道断面小、深度浅，不满足防洪排涝要求，暴雨时两侧的街区常被淹。猪龙河东支上游海岱大道与东四路交叉口处为土沟（长240m），且存在阻水坝，影响东四路管道来水，海岱大道至朝阳路段大部份段为暗涵，淤积严重。</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34E0A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1EB30D3E">
                  <w:pPr>
                    <w:jc w:val="center"/>
                    <w:rPr>
                      <w:color w:val="auto"/>
                    </w:rPr>
                  </w:pPr>
                  <w:r>
                    <w:rPr>
                      <w:color w:val="auto"/>
                      <w:sz w:val="20"/>
                    </w:rPr>
                    <w:drawing>
                      <wp:inline distT="0" distB="0" distL="0" distR="0">
                        <wp:extent cx="2504440" cy="1619250"/>
                        <wp:effectExtent l="0" t="0" r="10160" b="0"/>
                        <wp:docPr id="11" name="image6.jpeg" descr="DSC0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descr="DSC03469"/>
                                <pic:cNvPicPr>
                                  <a:picLocks noChangeAspect="1"/>
                                </pic:cNvPicPr>
                              </pic:nvPicPr>
                              <pic:blipFill>
                                <a:blip r:embed="rId19" cstate="print"/>
                                <a:srcRect r="13027"/>
                                <a:stretch>
                                  <a:fillRect/>
                                </a:stretch>
                              </pic:blipFill>
                              <pic:spPr>
                                <a:xfrm>
                                  <a:off x="0" y="0"/>
                                  <a:ext cx="2504440" cy="1619250"/>
                                </a:xfrm>
                                <a:prstGeom prst="rect">
                                  <a:avLst/>
                                </a:prstGeom>
                              </pic:spPr>
                            </pic:pic>
                          </a:graphicData>
                        </a:graphic>
                      </wp:inline>
                    </w:drawing>
                  </w:r>
                </w:p>
              </w:tc>
              <w:tc>
                <w:tcPr>
                  <w:tcW w:w="2484" w:type="pct"/>
                </w:tcPr>
                <w:p w14:paraId="560FBD5E">
                  <w:pPr>
                    <w:jc w:val="center"/>
                    <w:rPr>
                      <w:color w:val="auto"/>
                    </w:rPr>
                  </w:pPr>
                  <w:r>
                    <w:rPr>
                      <w:color w:val="auto"/>
                      <w:position w:val="1"/>
                      <w:sz w:val="20"/>
                    </w:rPr>
                    <w:drawing>
                      <wp:inline distT="0" distB="0" distL="0" distR="0">
                        <wp:extent cx="2474595" cy="1645920"/>
                        <wp:effectExtent l="0" t="0" r="1905" b="11430"/>
                        <wp:docPr id="17" name="image8.jpeg" descr="DSC0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jpeg" descr="DSC03515"/>
                                <pic:cNvPicPr>
                                  <a:picLocks noChangeAspect="1"/>
                                </pic:cNvPicPr>
                              </pic:nvPicPr>
                              <pic:blipFill>
                                <a:blip r:embed="rId20" cstate="print"/>
                                <a:stretch>
                                  <a:fillRect/>
                                </a:stretch>
                              </pic:blipFill>
                              <pic:spPr>
                                <a:xfrm>
                                  <a:off x="0" y="0"/>
                                  <a:ext cx="2474595" cy="1645920"/>
                                </a:xfrm>
                                <a:prstGeom prst="rect">
                                  <a:avLst/>
                                </a:prstGeom>
                              </pic:spPr>
                            </pic:pic>
                          </a:graphicData>
                        </a:graphic>
                      </wp:inline>
                    </w:drawing>
                  </w:r>
                </w:p>
              </w:tc>
            </w:tr>
            <w:tr w14:paraId="49313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28A76495">
                  <w:pPr>
                    <w:pStyle w:val="47"/>
                    <w:spacing w:line="240" w:lineRule="auto"/>
                    <w:rPr>
                      <w:color w:val="auto"/>
                      <w:sz w:val="24"/>
                    </w:rPr>
                  </w:pPr>
                  <w:r>
                    <w:rPr>
                      <w:rFonts w:hint="eastAsia"/>
                      <w:color w:val="auto"/>
                      <w:sz w:val="24"/>
                    </w:rPr>
                    <w:t>图3 东四路西侧猪龙河东支</w:t>
                  </w:r>
                </w:p>
              </w:tc>
              <w:tc>
                <w:tcPr>
                  <w:tcW w:w="2484" w:type="pct"/>
                  <w:vAlign w:val="center"/>
                </w:tcPr>
                <w:p w14:paraId="38CA6FD6">
                  <w:pPr>
                    <w:pStyle w:val="47"/>
                    <w:spacing w:line="240" w:lineRule="auto"/>
                    <w:rPr>
                      <w:color w:val="auto"/>
                      <w:sz w:val="24"/>
                    </w:rPr>
                  </w:pPr>
                  <w:r>
                    <w:rPr>
                      <w:rFonts w:hint="eastAsia"/>
                      <w:color w:val="auto"/>
                      <w:sz w:val="24"/>
                    </w:rPr>
                    <w:t>图4 朝阳路段猪龙河东支</w:t>
                  </w:r>
                </w:p>
              </w:tc>
            </w:tr>
          </w:tbl>
          <w:p w14:paraId="0040970E">
            <w:pPr>
              <w:widowControl/>
              <w:spacing w:line="360" w:lineRule="auto"/>
              <w:ind w:firstLine="480" w:firstLineChars="200"/>
              <w:rPr>
                <w:color w:val="auto"/>
                <w:sz w:val="24"/>
              </w:rPr>
            </w:pPr>
            <w:r>
              <w:rPr>
                <w:rFonts w:hint="eastAsia"/>
                <w:color w:val="auto"/>
                <w:sz w:val="24"/>
              </w:rPr>
              <w:t>3、猪龙河上游西支</w:t>
            </w:r>
          </w:p>
          <w:p w14:paraId="48EFB460">
            <w:pPr>
              <w:widowControl/>
              <w:spacing w:line="360" w:lineRule="auto"/>
              <w:ind w:firstLine="480" w:firstLineChars="200"/>
              <w:rPr>
                <w:color w:val="auto"/>
                <w:sz w:val="24"/>
              </w:rPr>
            </w:pPr>
            <w:r>
              <w:rPr>
                <w:rFonts w:hint="eastAsia"/>
                <w:color w:val="auto"/>
                <w:sz w:val="24"/>
              </w:rPr>
              <w:t>西支上游多处山铝企业内部且为暗涵，不利于行洪。华电西门段过路涵洞尺寸偏小，长约170m，导致洪水外溢至张南路。</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0F957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2EE79ADF">
                  <w:pPr>
                    <w:jc w:val="center"/>
                    <w:rPr>
                      <w:color w:val="auto"/>
                    </w:rPr>
                  </w:pPr>
                  <w:r>
                    <w:rPr>
                      <w:color w:val="auto"/>
                    </w:rPr>
                    <w:drawing>
                      <wp:inline distT="0" distB="0" distL="114300" distR="114300">
                        <wp:extent cx="2519045" cy="1923415"/>
                        <wp:effectExtent l="0" t="0" r="14605" b="63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1"/>
                                <a:srcRect l="23788"/>
                                <a:stretch>
                                  <a:fillRect/>
                                </a:stretch>
                              </pic:blipFill>
                              <pic:spPr>
                                <a:xfrm>
                                  <a:off x="0" y="0"/>
                                  <a:ext cx="2519045" cy="1923415"/>
                                </a:xfrm>
                                <a:prstGeom prst="rect">
                                  <a:avLst/>
                                </a:prstGeom>
                                <a:noFill/>
                                <a:ln>
                                  <a:noFill/>
                                </a:ln>
                              </pic:spPr>
                            </pic:pic>
                          </a:graphicData>
                        </a:graphic>
                      </wp:inline>
                    </w:drawing>
                  </w:r>
                </w:p>
              </w:tc>
              <w:tc>
                <w:tcPr>
                  <w:tcW w:w="2484" w:type="pct"/>
                </w:tcPr>
                <w:p w14:paraId="062D36A1">
                  <w:pPr>
                    <w:jc w:val="center"/>
                    <w:rPr>
                      <w:color w:val="auto"/>
                    </w:rPr>
                  </w:pPr>
                  <w:r>
                    <w:rPr>
                      <w:color w:val="auto"/>
                    </w:rPr>
                    <w:drawing>
                      <wp:inline distT="0" distB="0" distL="114300" distR="114300">
                        <wp:extent cx="2417445" cy="2030095"/>
                        <wp:effectExtent l="0" t="0" r="1905" b="825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2"/>
                                <a:srcRect t="15208" b="11637"/>
                                <a:stretch>
                                  <a:fillRect/>
                                </a:stretch>
                              </pic:blipFill>
                              <pic:spPr>
                                <a:xfrm>
                                  <a:off x="0" y="0"/>
                                  <a:ext cx="2417445" cy="2030095"/>
                                </a:xfrm>
                                <a:prstGeom prst="rect">
                                  <a:avLst/>
                                </a:prstGeom>
                                <a:noFill/>
                                <a:ln>
                                  <a:noFill/>
                                </a:ln>
                              </pic:spPr>
                            </pic:pic>
                          </a:graphicData>
                        </a:graphic>
                      </wp:inline>
                    </w:drawing>
                  </w:r>
                </w:p>
              </w:tc>
            </w:tr>
            <w:tr w14:paraId="00AD4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74A6525D">
                  <w:pPr>
                    <w:pStyle w:val="47"/>
                    <w:spacing w:line="240" w:lineRule="auto"/>
                    <w:rPr>
                      <w:color w:val="auto"/>
                      <w:sz w:val="24"/>
                    </w:rPr>
                  </w:pPr>
                  <w:r>
                    <w:rPr>
                      <w:rFonts w:hint="eastAsia"/>
                      <w:color w:val="auto"/>
                      <w:sz w:val="24"/>
                    </w:rPr>
                    <w:t>图5 东四路西侧猪龙河西支</w:t>
                  </w:r>
                </w:p>
              </w:tc>
              <w:tc>
                <w:tcPr>
                  <w:tcW w:w="2484" w:type="pct"/>
                  <w:vAlign w:val="center"/>
                </w:tcPr>
                <w:p w14:paraId="2BB2AD40">
                  <w:pPr>
                    <w:pStyle w:val="47"/>
                    <w:spacing w:line="240" w:lineRule="auto"/>
                    <w:rPr>
                      <w:color w:val="auto"/>
                      <w:sz w:val="24"/>
                    </w:rPr>
                  </w:pPr>
                  <w:r>
                    <w:rPr>
                      <w:rFonts w:hint="eastAsia"/>
                      <w:color w:val="auto"/>
                      <w:sz w:val="24"/>
                    </w:rPr>
                    <w:t>图6 寨子村段猪龙河西支</w:t>
                  </w:r>
                </w:p>
              </w:tc>
            </w:tr>
          </w:tbl>
          <w:p w14:paraId="127BEBFB">
            <w:pPr>
              <w:widowControl/>
              <w:spacing w:line="360" w:lineRule="auto"/>
              <w:ind w:firstLine="480" w:firstLineChars="200"/>
              <w:rPr>
                <w:color w:val="auto"/>
                <w:sz w:val="24"/>
              </w:rPr>
            </w:pPr>
            <w:r>
              <w:rPr>
                <w:rFonts w:hint="eastAsia"/>
                <w:color w:val="auto"/>
                <w:sz w:val="24"/>
              </w:rPr>
              <w:t>4、</w:t>
            </w:r>
            <w:r>
              <w:rPr>
                <w:color w:val="auto"/>
                <w:sz w:val="24"/>
              </w:rPr>
              <w:t>瓦村沟</w:t>
            </w:r>
          </w:p>
          <w:p w14:paraId="48B04839">
            <w:pPr>
              <w:widowControl/>
              <w:spacing w:line="360" w:lineRule="auto"/>
              <w:ind w:firstLine="480" w:firstLineChars="200"/>
              <w:rPr>
                <w:color w:val="auto"/>
                <w:sz w:val="24"/>
              </w:rPr>
            </w:pPr>
            <w:r>
              <w:rPr>
                <w:rFonts w:hint="eastAsia"/>
                <w:color w:val="auto"/>
                <w:sz w:val="24"/>
              </w:rPr>
              <w:t>瓦村沟起点为洪山路东侧自然排水冲沟，由东向西南穿煤矿铁路、张博铁路、张博路最后排入孝妇河。张博路以东段约400米为暗沟，现状洪山路以西段位护砌沟，其余段均为土沟，全长5.1km，汇水面积为6.25km</w:t>
            </w:r>
            <w:r>
              <w:rPr>
                <w:rFonts w:hint="eastAsia"/>
                <w:color w:val="auto"/>
                <w:sz w:val="24"/>
                <w:vertAlign w:val="superscript"/>
              </w:rPr>
              <w:t>2</w:t>
            </w:r>
            <w:r>
              <w:rPr>
                <w:rFonts w:hint="eastAsia"/>
                <w:color w:val="auto"/>
                <w:sz w:val="24"/>
              </w:rPr>
              <w:t>。</w:t>
            </w:r>
          </w:p>
          <w:p w14:paraId="2DCF959D">
            <w:pPr>
              <w:widowControl/>
              <w:spacing w:line="360" w:lineRule="auto"/>
              <w:ind w:firstLine="480" w:firstLineChars="200"/>
              <w:rPr>
                <w:color w:val="auto"/>
                <w:sz w:val="24"/>
              </w:rPr>
            </w:pPr>
            <w:r>
              <w:rPr>
                <w:rFonts w:hint="eastAsia"/>
                <w:color w:val="auto"/>
                <w:sz w:val="24"/>
              </w:rPr>
              <w:t>现状断面偏窄，而且流经村庄段存在多处阻水构筑物，整体行洪与排涝能力较低。</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577E4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0FAB78E3">
                  <w:pPr>
                    <w:jc w:val="center"/>
                    <w:rPr>
                      <w:color w:val="auto"/>
                    </w:rPr>
                  </w:pPr>
                  <w:r>
                    <w:rPr>
                      <w:color w:val="auto"/>
                    </w:rPr>
                    <w:drawing>
                      <wp:inline distT="0" distB="0" distL="114300" distR="114300">
                        <wp:extent cx="2589530" cy="1802765"/>
                        <wp:effectExtent l="0" t="0" r="1270" b="698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23"/>
                                <a:srcRect l="5581" r="6022" b="13403"/>
                                <a:stretch>
                                  <a:fillRect/>
                                </a:stretch>
                              </pic:blipFill>
                              <pic:spPr>
                                <a:xfrm>
                                  <a:off x="0" y="0"/>
                                  <a:ext cx="2589530" cy="1802765"/>
                                </a:xfrm>
                                <a:prstGeom prst="rect">
                                  <a:avLst/>
                                </a:prstGeom>
                                <a:noFill/>
                                <a:ln>
                                  <a:noFill/>
                                </a:ln>
                              </pic:spPr>
                            </pic:pic>
                          </a:graphicData>
                        </a:graphic>
                      </wp:inline>
                    </w:drawing>
                  </w:r>
                </w:p>
              </w:tc>
              <w:tc>
                <w:tcPr>
                  <w:tcW w:w="2484" w:type="pct"/>
                </w:tcPr>
                <w:p w14:paraId="40494F91">
                  <w:pPr>
                    <w:jc w:val="center"/>
                    <w:rPr>
                      <w:color w:val="auto"/>
                    </w:rPr>
                  </w:pPr>
                  <w:r>
                    <w:rPr>
                      <w:color w:val="auto"/>
                    </w:rPr>
                    <w:drawing>
                      <wp:inline distT="0" distB="0" distL="114300" distR="114300">
                        <wp:extent cx="2460625" cy="1799590"/>
                        <wp:effectExtent l="0" t="0" r="15875" b="1016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4"/>
                                <a:stretch>
                                  <a:fillRect/>
                                </a:stretch>
                              </pic:blipFill>
                              <pic:spPr>
                                <a:xfrm>
                                  <a:off x="0" y="0"/>
                                  <a:ext cx="2460625" cy="1799590"/>
                                </a:xfrm>
                                <a:prstGeom prst="rect">
                                  <a:avLst/>
                                </a:prstGeom>
                                <a:noFill/>
                                <a:ln>
                                  <a:noFill/>
                                </a:ln>
                              </pic:spPr>
                            </pic:pic>
                          </a:graphicData>
                        </a:graphic>
                      </wp:inline>
                    </w:drawing>
                  </w:r>
                </w:p>
              </w:tc>
            </w:tr>
            <w:tr w14:paraId="08D45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21D82CA5">
                  <w:pPr>
                    <w:pStyle w:val="47"/>
                    <w:spacing w:line="240" w:lineRule="auto"/>
                    <w:rPr>
                      <w:color w:val="auto"/>
                      <w:sz w:val="24"/>
                    </w:rPr>
                  </w:pPr>
                  <w:r>
                    <w:rPr>
                      <w:rFonts w:hint="eastAsia"/>
                      <w:color w:val="auto"/>
                      <w:sz w:val="24"/>
                    </w:rPr>
                    <w:t>图</w:t>
                  </w:r>
                  <w:r>
                    <w:rPr>
                      <w:rFonts w:hint="eastAsia"/>
                      <w:color w:val="auto"/>
                      <w:sz w:val="24"/>
                      <w:lang w:val="en-US" w:eastAsia="zh-CN"/>
                    </w:rPr>
                    <w:t>7</w:t>
                  </w:r>
                  <w:r>
                    <w:rPr>
                      <w:rFonts w:hint="eastAsia"/>
                      <w:color w:val="auto"/>
                      <w:sz w:val="24"/>
                    </w:rPr>
                    <w:t xml:space="preserve"> 瓦村沟车站街上游土沟段</w:t>
                  </w:r>
                </w:p>
              </w:tc>
              <w:tc>
                <w:tcPr>
                  <w:tcW w:w="2484" w:type="pct"/>
                  <w:vAlign w:val="center"/>
                </w:tcPr>
                <w:p w14:paraId="7D35824A">
                  <w:pPr>
                    <w:pStyle w:val="47"/>
                    <w:spacing w:line="240" w:lineRule="auto"/>
                    <w:rPr>
                      <w:color w:val="auto"/>
                      <w:sz w:val="24"/>
                    </w:rPr>
                  </w:pPr>
                  <w:r>
                    <w:rPr>
                      <w:rFonts w:hint="eastAsia"/>
                      <w:color w:val="auto"/>
                      <w:sz w:val="24"/>
                    </w:rPr>
                    <w:t>图</w:t>
                  </w:r>
                  <w:r>
                    <w:rPr>
                      <w:rFonts w:hint="eastAsia"/>
                      <w:color w:val="auto"/>
                      <w:sz w:val="24"/>
                      <w:lang w:val="en-US" w:eastAsia="zh-CN"/>
                    </w:rPr>
                    <w:t>8</w:t>
                  </w:r>
                  <w:r>
                    <w:rPr>
                      <w:rFonts w:hint="eastAsia"/>
                      <w:color w:val="auto"/>
                      <w:sz w:val="24"/>
                    </w:rPr>
                    <w:t xml:space="preserve"> 瓦村沟下游蓬河段</w:t>
                  </w:r>
                </w:p>
              </w:tc>
            </w:tr>
          </w:tbl>
          <w:p w14:paraId="54BEA4BC">
            <w:pPr>
              <w:widowControl/>
              <w:spacing w:line="360" w:lineRule="auto"/>
              <w:ind w:firstLine="480" w:firstLineChars="200"/>
              <w:rPr>
                <w:color w:val="auto"/>
                <w:kern w:val="0"/>
                <w:sz w:val="24"/>
                <w:lang w:bidi="ar"/>
              </w:rPr>
            </w:pPr>
            <w:r>
              <w:rPr>
                <w:color w:val="auto"/>
                <w:kern w:val="0"/>
                <w:sz w:val="24"/>
                <w:lang w:bidi="ar"/>
              </w:rPr>
              <w:t>5、</w:t>
            </w:r>
            <w:r>
              <w:rPr>
                <w:color w:val="auto"/>
                <w:sz w:val="24"/>
              </w:rPr>
              <w:t>暖水河</w:t>
            </w:r>
          </w:p>
          <w:p w14:paraId="30C2A5C0">
            <w:pPr>
              <w:pStyle w:val="46"/>
              <w:rPr>
                <w:color w:val="auto"/>
                <w:sz w:val="24"/>
              </w:rPr>
            </w:pPr>
            <w:r>
              <w:rPr>
                <w:color w:val="auto"/>
                <w:sz w:val="24"/>
              </w:rPr>
              <w:t>省道102以北段，暖水河河宽10～14m，河深2m，河道内杂草及水生植物较多，影响行洪。瓦村村庄段河道为砌石矩形断面，两侧为道路及房屋，村庄外河段梯形断面，河道淤积严重，杂草丛生，现状断面满足5～10年一遇排涝标准。部分桥涵断面不足，影响河道行洪。张罗路—漫泗河段河道为土质梯形断面，部分河道断面过小，现状防洪标准为5～10年一遇，河道底宽3～20米，上口宽8～30米。该段河道总长约4.3km。</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00732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365D8E58">
                  <w:pPr>
                    <w:jc w:val="center"/>
                    <w:rPr>
                      <w:color w:val="auto"/>
                    </w:rPr>
                  </w:pPr>
                  <w:r>
                    <w:rPr>
                      <w:color w:val="auto"/>
                    </w:rPr>
                    <w:drawing>
                      <wp:inline distT="0" distB="0" distL="114300" distR="114300">
                        <wp:extent cx="2562860" cy="1925955"/>
                        <wp:effectExtent l="0" t="0" r="8890" b="1714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25"/>
                                <a:stretch>
                                  <a:fillRect/>
                                </a:stretch>
                              </pic:blipFill>
                              <pic:spPr>
                                <a:xfrm>
                                  <a:off x="0" y="0"/>
                                  <a:ext cx="2562860" cy="1925955"/>
                                </a:xfrm>
                                <a:prstGeom prst="rect">
                                  <a:avLst/>
                                </a:prstGeom>
                                <a:noFill/>
                                <a:ln>
                                  <a:noFill/>
                                </a:ln>
                              </pic:spPr>
                            </pic:pic>
                          </a:graphicData>
                        </a:graphic>
                      </wp:inline>
                    </w:drawing>
                  </w:r>
                </w:p>
              </w:tc>
              <w:tc>
                <w:tcPr>
                  <w:tcW w:w="2484" w:type="pct"/>
                </w:tcPr>
                <w:p w14:paraId="3E2A8668">
                  <w:pPr>
                    <w:jc w:val="center"/>
                    <w:rPr>
                      <w:color w:val="auto"/>
                    </w:rPr>
                  </w:pPr>
                  <w:r>
                    <w:rPr>
                      <w:color w:val="auto"/>
                    </w:rPr>
                    <w:drawing>
                      <wp:inline distT="0" distB="0" distL="114300" distR="114300">
                        <wp:extent cx="2538095" cy="1902460"/>
                        <wp:effectExtent l="0" t="0" r="14605" b="254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26"/>
                                <a:stretch>
                                  <a:fillRect/>
                                </a:stretch>
                              </pic:blipFill>
                              <pic:spPr>
                                <a:xfrm>
                                  <a:off x="0" y="0"/>
                                  <a:ext cx="2538095" cy="1902460"/>
                                </a:xfrm>
                                <a:prstGeom prst="rect">
                                  <a:avLst/>
                                </a:prstGeom>
                                <a:noFill/>
                                <a:ln>
                                  <a:noFill/>
                                </a:ln>
                              </pic:spPr>
                            </pic:pic>
                          </a:graphicData>
                        </a:graphic>
                      </wp:inline>
                    </w:drawing>
                  </w:r>
                </w:p>
              </w:tc>
            </w:tr>
            <w:tr w14:paraId="09CFE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5C7AA077">
                  <w:pPr>
                    <w:pStyle w:val="47"/>
                    <w:spacing w:line="240" w:lineRule="auto"/>
                    <w:rPr>
                      <w:rFonts w:hint="eastAsia"/>
                      <w:color w:val="auto"/>
                      <w:sz w:val="24"/>
                    </w:rPr>
                  </w:pPr>
                  <w:r>
                    <w:rPr>
                      <w:rFonts w:hint="eastAsia"/>
                      <w:color w:val="auto"/>
                      <w:sz w:val="24"/>
                    </w:rPr>
                    <w:t>图</w:t>
                  </w:r>
                  <w:r>
                    <w:rPr>
                      <w:rFonts w:hint="eastAsia"/>
                      <w:color w:val="auto"/>
                      <w:sz w:val="24"/>
                      <w:lang w:val="en-US" w:eastAsia="zh-CN"/>
                    </w:rPr>
                    <w:t>9</w:t>
                  </w:r>
                  <w:r>
                    <w:rPr>
                      <w:rFonts w:hint="eastAsia"/>
                      <w:color w:val="auto"/>
                      <w:sz w:val="24"/>
                    </w:rPr>
                    <w:t xml:space="preserve"> 暖水河土沟段</w:t>
                  </w:r>
                </w:p>
              </w:tc>
              <w:tc>
                <w:tcPr>
                  <w:tcW w:w="2484" w:type="pct"/>
                  <w:vAlign w:val="center"/>
                </w:tcPr>
                <w:p w14:paraId="676ADDE8">
                  <w:pPr>
                    <w:pStyle w:val="47"/>
                    <w:spacing w:line="240" w:lineRule="auto"/>
                    <w:rPr>
                      <w:rFonts w:hint="eastAsia"/>
                      <w:color w:val="auto"/>
                      <w:sz w:val="24"/>
                    </w:rPr>
                  </w:pPr>
                  <w:r>
                    <w:rPr>
                      <w:rFonts w:hint="eastAsia"/>
                      <w:color w:val="auto"/>
                      <w:sz w:val="24"/>
                    </w:rPr>
                    <w:t>图</w:t>
                  </w:r>
                  <w:r>
                    <w:rPr>
                      <w:rFonts w:hint="eastAsia"/>
                      <w:color w:val="auto"/>
                      <w:sz w:val="24"/>
                      <w:lang w:val="en-US" w:eastAsia="zh-CN"/>
                    </w:rPr>
                    <w:t>10</w:t>
                  </w:r>
                  <w:r>
                    <w:rPr>
                      <w:rFonts w:hint="eastAsia"/>
                      <w:color w:val="auto"/>
                      <w:sz w:val="24"/>
                    </w:rPr>
                    <w:t xml:space="preserve"> 暖水河上阻水桥</w:t>
                  </w:r>
                </w:p>
              </w:tc>
            </w:tr>
          </w:tbl>
          <w:p w14:paraId="082D1E93">
            <w:pPr>
              <w:pStyle w:val="46"/>
              <w:rPr>
                <w:color w:val="auto"/>
                <w:sz w:val="24"/>
              </w:rPr>
            </w:pPr>
            <w:r>
              <w:rPr>
                <w:rFonts w:hint="eastAsia"/>
                <w:color w:val="auto"/>
                <w:sz w:val="24"/>
              </w:rPr>
              <w:t>6、</w:t>
            </w:r>
            <w:r>
              <w:rPr>
                <w:color w:val="auto"/>
                <w:sz w:val="24"/>
              </w:rPr>
              <w:t>焕然河</w:t>
            </w:r>
          </w:p>
          <w:p w14:paraId="45FAA85F">
            <w:pPr>
              <w:pStyle w:val="46"/>
              <w:rPr>
                <w:color w:val="auto"/>
                <w:sz w:val="24"/>
              </w:rPr>
            </w:pPr>
            <w:r>
              <w:rPr>
                <w:rFonts w:hint="eastAsia"/>
                <w:color w:val="auto"/>
                <w:sz w:val="24"/>
              </w:rPr>
              <w:t>经开区范围内焕然河长度约2.2km，现状河道宽15～50m，河道为梯形断面，局部为复式断面，部分河道淤积较重，树木丛生，河道较深。西河桥以北至官三村桥段，部分河道断面收缩，过水断面变窄，进入范阳河处及西河广场西侧存在拦水坝严重影响排洪流量，部分河段不满足20年一遇防洪要求。与范阳河汇流处有一拦水坝。</w:t>
            </w:r>
          </w:p>
          <w:p w14:paraId="3C1A1C7A">
            <w:pPr>
              <w:widowControl/>
              <w:spacing w:line="360" w:lineRule="auto"/>
              <w:ind w:firstLine="480" w:firstLineChars="200"/>
              <w:jc w:val="left"/>
              <w:rPr>
                <w:color w:val="auto"/>
                <w:sz w:val="24"/>
              </w:rPr>
            </w:pPr>
            <w:r>
              <w:rPr>
                <w:rFonts w:hint="eastAsia"/>
                <w:color w:val="auto"/>
                <w:sz w:val="24"/>
              </w:rPr>
              <w:t>7、三泉沟</w:t>
            </w:r>
          </w:p>
          <w:p w14:paraId="50C35799">
            <w:pPr>
              <w:pStyle w:val="46"/>
              <w:rPr>
                <w:color w:val="auto"/>
                <w:sz w:val="24"/>
              </w:rPr>
            </w:pPr>
            <w:r>
              <w:rPr>
                <w:color w:val="auto"/>
                <w:sz w:val="24"/>
              </w:rPr>
              <w:t>山泉沟为山铝片区一条的排水沟，</w:t>
            </w:r>
            <w:r>
              <w:rPr>
                <w:rFonts w:hint="eastAsia"/>
                <w:color w:val="auto"/>
                <w:sz w:val="24"/>
              </w:rPr>
              <w:t>起点接柳泉路雨水管渠，</w:t>
            </w:r>
            <w:r>
              <w:rPr>
                <w:color w:val="auto"/>
                <w:sz w:val="24"/>
              </w:rPr>
              <w:t>沿矿机路、张博铁路</w:t>
            </w:r>
            <w:r>
              <w:rPr>
                <w:rFonts w:hint="eastAsia"/>
                <w:color w:val="auto"/>
                <w:sz w:val="24"/>
              </w:rPr>
              <w:t>西侧</w:t>
            </w:r>
            <w:r>
              <w:rPr>
                <w:color w:val="auto"/>
                <w:sz w:val="24"/>
              </w:rPr>
              <w:t>、过淄河大道后汇入漫泗河</w:t>
            </w:r>
            <w:r>
              <w:rPr>
                <w:rFonts w:hint="eastAsia"/>
                <w:color w:val="auto"/>
                <w:sz w:val="24"/>
              </w:rPr>
              <w:t>。</w:t>
            </w:r>
          </w:p>
          <w:p w14:paraId="71047C45">
            <w:pPr>
              <w:pStyle w:val="46"/>
              <w:rPr>
                <w:color w:val="auto"/>
                <w:sz w:val="24"/>
              </w:rPr>
            </w:pPr>
            <w:r>
              <w:rPr>
                <w:rFonts w:hint="eastAsia"/>
                <w:color w:val="auto"/>
                <w:sz w:val="24"/>
              </w:rPr>
              <w:t>矿机路段三泉沟为地面式盖板石砌沟，宽约2.5~3.0米，深约1.5~2米。</w:t>
            </w:r>
            <w:r>
              <w:rPr>
                <w:color w:val="auto"/>
                <w:sz w:val="24"/>
              </w:rPr>
              <w:t>现状山泉沟在淄河大道两侧为砌石梯形断面，上口宽约8米，下口宽约4米，深约2米。淄河大道以南段为土沟，</w:t>
            </w:r>
            <w:r>
              <w:rPr>
                <w:rFonts w:hint="eastAsia"/>
                <w:color w:val="auto"/>
                <w:sz w:val="24"/>
              </w:rPr>
              <w:t>上口宽约2.5~3米，深约1.5~2米，河道</w:t>
            </w:r>
            <w:r>
              <w:rPr>
                <w:color w:val="auto"/>
                <w:sz w:val="24"/>
              </w:rPr>
              <w:t>淤堵、侵占较严重，</w:t>
            </w:r>
            <w:r>
              <w:rPr>
                <w:rFonts w:hint="eastAsia"/>
                <w:color w:val="auto"/>
                <w:sz w:val="24"/>
              </w:rPr>
              <w:t>过路涵洞</w:t>
            </w:r>
            <w:r>
              <w:rPr>
                <w:color w:val="auto"/>
                <w:sz w:val="24"/>
              </w:rPr>
              <w:t>排水断面缩减严重，</w:t>
            </w:r>
            <w:r>
              <w:rPr>
                <w:rFonts w:hint="eastAsia"/>
                <w:color w:val="auto"/>
                <w:sz w:val="24"/>
              </w:rPr>
              <w:t>导致</w:t>
            </w:r>
            <w:r>
              <w:rPr>
                <w:color w:val="auto"/>
                <w:sz w:val="24"/>
              </w:rPr>
              <w:t>山泉沟排水能力有限，影响排涝沟的排水能力，大雨时山泉沟会形成漫流，造成淄河大道下穿立交积水严重。</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19067D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54204E4A">
                  <w:pPr>
                    <w:jc w:val="center"/>
                    <w:rPr>
                      <w:color w:val="auto"/>
                    </w:rPr>
                  </w:pPr>
                  <w:r>
                    <w:rPr>
                      <w:color w:val="auto"/>
                    </w:rPr>
                    <w:drawing>
                      <wp:inline distT="0" distB="0" distL="114300" distR="114300">
                        <wp:extent cx="2635250" cy="2163445"/>
                        <wp:effectExtent l="0" t="0" r="12700" b="825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7"/>
                                <a:srcRect r="8840"/>
                                <a:stretch>
                                  <a:fillRect/>
                                </a:stretch>
                              </pic:blipFill>
                              <pic:spPr>
                                <a:xfrm>
                                  <a:off x="0" y="0"/>
                                  <a:ext cx="2635250" cy="2163445"/>
                                </a:xfrm>
                                <a:prstGeom prst="rect">
                                  <a:avLst/>
                                </a:prstGeom>
                                <a:noFill/>
                                <a:ln>
                                  <a:noFill/>
                                </a:ln>
                              </pic:spPr>
                            </pic:pic>
                          </a:graphicData>
                        </a:graphic>
                      </wp:inline>
                    </w:drawing>
                  </w:r>
                </w:p>
              </w:tc>
              <w:tc>
                <w:tcPr>
                  <w:tcW w:w="2484" w:type="pct"/>
                </w:tcPr>
                <w:p w14:paraId="76684405">
                  <w:pPr>
                    <w:jc w:val="center"/>
                    <w:rPr>
                      <w:color w:val="auto"/>
                    </w:rPr>
                  </w:pPr>
                  <w:r>
                    <w:rPr>
                      <w:color w:val="auto"/>
                    </w:rPr>
                    <w:drawing>
                      <wp:inline distT="0" distB="0" distL="114300" distR="114300">
                        <wp:extent cx="2249805" cy="2190750"/>
                        <wp:effectExtent l="0" t="0" r="17145" b="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28"/>
                                <a:stretch>
                                  <a:fillRect/>
                                </a:stretch>
                              </pic:blipFill>
                              <pic:spPr>
                                <a:xfrm>
                                  <a:off x="0" y="0"/>
                                  <a:ext cx="2249805" cy="2190750"/>
                                </a:xfrm>
                                <a:prstGeom prst="rect">
                                  <a:avLst/>
                                </a:prstGeom>
                                <a:noFill/>
                                <a:ln>
                                  <a:noFill/>
                                </a:ln>
                              </pic:spPr>
                            </pic:pic>
                          </a:graphicData>
                        </a:graphic>
                      </wp:inline>
                    </w:drawing>
                  </w:r>
                </w:p>
              </w:tc>
            </w:tr>
            <w:tr w14:paraId="39790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290AC537">
                  <w:pPr>
                    <w:pStyle w:val="47"/>
                    <w:spacing w:line="240" w:lineRule="auto"/>
                    <w:rPr>
                      <w:color w:val="auto"/>
                      <w:sz w:val="24"/>
                    </w:rPr>
                  </w:pPr>
                  <w:r>
                    <w:rPr>
                      <w:rFonts w:hint="eastAsia"/>
                      <w:color w:val="auto"/>
                      <w:sz w:val="24"/>
                    </w:rPr>
                    <w:t>图</w:t>
                  </w:r>
                  <w:r>
                    <w:rPr>
                      <w:rFonts w:hint="eastAsia"/>
                      <w:color w:val="auto"/>
                      <w:sz w:val="24"/>
                      <w:lang w:val="en-US" w:eastAsia="zh-CN"/>
                    </w:rPr>
                    <w:t>11</w:t>
                  </w:r>
                  <w:r>
                    <w:rPr>
                      <w:rFonts w:hint="eastAsia"/>
                      <w:color w:val="auto"/>
                      <w:sz w:val="24"/>
                    </w:rPr>
                    <w:t xml:space="preserve"> 瓦村沟车站街上游土沟段</w:t>
                  </w:r>
                </w:p>
              </w:tc>
              <w:tc>
                <w:tcPr>
                  <w:tcW w:w="2484" w:type="pct"/>
                  <w:vAlign w:val="center"/>
                </w:tcPr>
                <w:p w14:paraId="1D3C9DA8">
                  <w:pPr>
                    <w:pStyle w:val="47"/>
                    <w:spacing w:line="240" w:lineRule="auto"/>
                    <w:rPr>
                      <w:color w:val="auto"/>
                      <w:sz w:val="24"/>
                    </w:rPr>
                  </w:pPr>
                  <w:r>
                    <w:rPr>
                      <w:rFonts w:hint="eastAsia"/>
                      <w:color w:val="auto"/>
                      <w:sz w:val="24"/>
                    </w:rPr>
                    <w:t>图</w:t>
                  </w:r>
                  <w:r>
                    <w:rPr>
                      <w:rFonts w:hint="eastAsia"/>
                      <w:color w:val="auto"/>
                      <w:sz w:val="24"/>
                      <w:lang w:val="en-US" w:eastAsia="zh-CN"/>
                    </w:rPr>
                    <w:t>12</w:t>
                  </w:r>
                  <w:r>
                    <w:rPr>
                      <w:rFonts w:hint="eastAsia"/>
                      <w:color w:val="auto"/>
                      <w:sz w:val="24"/>
                    </w:rPr>
                    <w:t xml:space="preserve"> 三泉沟淄河大道下游土沟段</w:t>
                  </w:r>
                </w:p>
              </w:tc>
            </w:tr>
          </w:tbl>
          <w:p w14:paraId="72CA820C">
            <w:pPr>
              <w:widowControl/>
              <w:spacing w:line="360" w:lineRule="auto"/>
              <w:ind w:firstLine="480" w:firstLineChars="200"/>
              <w:jc w:val="left"/>
              <w:rPr>
                <w:color w:val="auto"/>
                <w:sz w:val="24"/>
              </w:rPr>
            </w:pPr>
            <w:r>
              <w:rPr>
                <w:rFonts w:hint="eastAsia"/>
                <w:color w:val="auto"/>
                <w:sz w:val="24"/>
              </w:rPr>
              <w:t>8、</w:t>
            </w:r>
            <w:r>
              <w:rPr>
                <w:color w:val="auto"/>
                <w:sz w:val="24"/>
              </w:rPr>
              <w:t>白蛇沟</w:t>
            </w:r>
          </w:p>
          <w:p w14:paraId="5DEBE97D">
            <w:pPr>
              <w:pStyle w:val="46"/>
              <w:rPr>
                <w:color w:val="auto"/>
                <w:sz w:val="24"/>
              </w:rPr>
            </w:pPr>
            <w:r>
              <w:rPr>
                <w:rFonts w:hint="eastAsia"/>
                <w:color w:val="auto"/>
                <w:sz w:val="24"/>
              </w:rPr>
              <w:t>白蛇沟汇水总面积15.10km</w:t>
            </w:r>
            <w:r>
              <w:rPr>
                <w:rFonts w:hint="eastAsia"/>
                <w:color w:val="auto"/>
                <w:sz w:val="24"/>
                <w:vertAlign w:val="superscript"/>
              </w:rPr>
              <w:t>2</w:t>
            </w:r>
            <w:r>
              <w:rPr>
                <w:rFonts w:hint="eastAsia"/>
                <w:color w:val="auto"/>
                <w:sz w:val="24"/>
              </w:rPr>
              <w:t>。其走向和位置不规律，但多数段沿现状道路布置，该沟沿横二路东西向段及沿原山大道西侧路的南北向局部段为护砌断面，其它段均为梯形土沟。沟底宽2~4m，上口宽4~8m，深1.5~2.0m。现状断面满足5~10年一遇排涝标准。</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2836B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3E69463D">
                  <w:pPr>
                    <w:jc w:val="center"/>
                    <w:rPr>
                      <w:color w:val="auto"/>
                    </w:rPr>
                  </w:pPr>
                  <w:r>
                    <w:rPr>
                      <w:color w:val="auto"/>
                    </w:rPr>
                    <w:drawing>
                      <wp:inline distT="0" distB="0" distL="114300" distR="114300">
                        <wp:extent cx="2524760" cy="1899285"/>
                        <wp:effectExtent l="0" t="0" r="8890" b="571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29"/>
                                <a:stretch>
                                  <a:fillRect/>
                                </a:stretch>
                              </pic:blipFill>
                              <pic:spPr>
                                <a:xfrm>
                                  <a:off x="0" y="0"/>
                                  <a:ext cx="2524760" cy="1899285"/>
                                </a:xfrm>
                                <a:prstGeom prst="rect">
                                  <a:avLst/>
                                </a:prstGeom>
                                <a:noFill/>
                                <a:ln>
                                  <a:noFill/>
                                </a:ln>
                              </pic:spPr>
                            </pic:pic>
                          </a:graphicData>
                        </a:graphic>
                      </wp:inline>
                    </w:drawing>
                  </w:r>
                </w:p>
              </w:tc>
              <w:tc>
                <w:tcPr>
                  <w:tcW w:w="2484" w:type="pct"/>
                </w:tcPr>
                <w:p w14:paraId="67B8663A">
                  <w:pPr>
                    <w:jc w:val="center"/>
                    <w:rPr>
                      <w:color w:val="auto"/>
                    </w:rPr>
                  </w:pPr>
                  <w:r>
                    <w:rPr>
                      <w:color w:val="auto"/>
                    </w:rPr>
                    <w:drawing>
                      <wp:inline distT="0" distB="0" distL="114300" distR="114300">
                        <wp:extent cx="2506345" cy="1895475"/>
                        <wp:effectExtent l="0" t="0" r="8255" b="952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0"/>
                                <a:stretch>
                                  <a:fillRect/>
                                </a:stretch>
                              </pic:blipFill>
                              <pic:spPr>
                                <a:xfrm>
                                  <a:off x="0" y="0"/>
                                  <a:ext cx="2506345" cy="1895475"/>
                                </a:xfrm>
                                <a:prstGeom prst="rect">
                                  <a:avLst/>
                                </a:prstGeom>
                                <a:noFill/>
                                <a:ln>
                                  <a:noFill/>
                                </a:ln>
                              </pic:spPr>
                            </pic:pic>
                          </a:graphicData>
                        </a:graphic>
                      </wp:inline>
                    </w:drawing>
                  </w:r>
                </w:p>
              </w:tc>
            </w:tr>
            <w:tr w14:paraId="02F7B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562F7F4B">
                  <w:pPr>
                    <w:pStyle w:val="47"/>
                    <w:spacing w:line="240" w:lineRule="auto"/>
                    <w:rPr>
                      <w:color w:val="auto"/>
                      <w:sz w:val="24"/>
                    </w:rPr>
                  </w:pPr>
                  <w:r>
                    <w:rPr>
                      <w:rFonts w:hint="eastAsia"/>
                      <w:color w:val="auto"/>
                      <w:sz w:val="24"/>
                    </w:rPr>
                    <w:t>图</w:t>
                  </w:r>
                  <w:r>
                    <w:rPr>
                      <w:rFonts w:hint="eastAsia"/>
                      <w:color w:val="auto"/>
                      <w:sz w:val="24"/>
                      <w:lang w:val="en-US" w:eastAsia="zh-CN"/>
                    </w:rPr>
                    <w:t>13</w:t>
                  </w:r>
                  <w:r>
                    <w:rPr>
                      <w:rFonts w:hint="eastAsia"/>
                      <w:color w:val="auto"/>
                      <w:sz w:val="24"/>
                    </w:rPr>
                    <w:t xml:space="preserve"> 白蛇沟过路管涵</w:t>
                  </w:r>
                </w:p>
              </w:tc>
              <w:tc>
                <w:tcPr>
                  <w:tcW w:w="2484" w:type="pct"/>
                  <w:vAlign w:val="center"/>
                </w:tcPr>
                <w:p w14:paraId="773337FC">
                  <w:pPr>
                    <w:pStyle w:val="47"/>
                    <w:spacing w:line="240" w:lineRule="auto"/>
                    <w:rPr>
                      <w:color w:val="auto"/>
                      <w:sz w:val="24"/>
                    </w:rPr>
                  </w:pPr>
                  <w:r>
                    <w:rPr>
                      <w:rFonts w:hint="eastAsia"/>
                      <w:color w:val="auto"/>
                      <w:sz w:val="24"/>
                    </w:rPr>
                    <w:t>图</w:t>
                  </w:r>
                  <w:r>
                    <w:rPr>
                      <w:rFonts w:hint="eastAsia"/>
                      <w:color w:val="auto"/>
                      <w:sz w:val="24"/>
                      <w:lang w:val="en-US" w:eastAsia="zh-CN"/>
                    </w:rPr>
                    <w:t>14</w:t>
                  </w:r>
                  <w:r>
                    <w:rPr>
                      <w:rFonts w:hint="eastAsia"/>
                      <w:color w:val="auto"/>
                      <w:sz w:val="24"/>
                    </w:rPr>
                    <w:t xml:space="preserve"> 白蛇沟现状土沟</w:t>
                  </w:r>
                </w:p>
              </w:tc>
            </w:tr>
          </w:tbl>
          <w:p w14:paraId="73A5D15B">
            <w:pPr>
              <w:widowControl/>
              <w:spacing w:line="360" w:lineRule="auto"/>
              <w:ind w:firstLine="480" w:firstLineChars="200"/>
              <w:rPr>
                <w:color w:val="auto"/>
                <w:kern w:val="0"/>
                <w:sz w:val="24"/>
                <w:highlight w:val="yellow"/>
                <w:lang w:bidi="ar"/>
              </w:rPr>
            </w:pPr>
            <w:r>
              <w:rPr>
                <w:rFonts w:hint="eastAsia"/>
                <w:color w:val="auto"/>
                <w:sz w:val="24"/>
              </w:rPr>
              <w:t>9、袁家河</w:t>
            </w:r>
          </w:p>
          <w:p w14:paraId="3B5D8819">
            <w:pPr>
              <w:pStyle w:val="46"/>
              <w:rPr>
                <w:color w:val="auto"/>
                <w:sz w:val="24"/>
              </w:rPr>
            </w:pPr>
            <w:r>
              <w:rPr>
                <w:rFonts w:hint="eastAsia"/>
                <w:color w:val="auto"/>
                <w:sz w:val="24"/>
              </w:rPr>
              <w:t>袁家河下游段（梁牛路至范阳河）已按30年一遇排涝标准改造完成。梁牛路以南段袁家河多数段为梯形土沟，沟宽2~5米，断面较小，不满足排涝需求。梁牛路以南段约160米为暗沟，上有篷河建筑和院落，成为排水瓶颈，影响河道排水。梁牛路及南侧支路的过路管为d1200管道，其排水断面与上下游河道不匹配，不满足排水要求，成为排水瓶颈，需进行改造。</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6827A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0E3AF131">
                  <w:pPr>
                    <w:jc w:val="center"/>
                    <w:rPr>
                      <w:color w:val="auto"/>
                    </w:rPr>
                  </w:pPr>
                  <w:r>
                    <w:rPr>
                      <w:color w:val="auto"/>
                    </w:rPr>
                    <w:drawing>
                      <wp:inline distT="0" distB="0" distL="114300" distR="114300">
                        <wp:extent cx="2407285" cy="1814830"/>
                        <wp:effectExtent l="0" t="0" r="12065" b="139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1"/>
                                <a:stretch>
                                  <a:fillRect/>
                                </a:stretch>
                              </pic:blipFill>
                              <pic:spPr>
                                <a:xfrm>
                                  <a:off x="0" y="0"/>
                                  <a:ext cx="2407285" cy="1814830"/>
                                </a:xfrm>
                                <a:prstGeom prst="rect">
                                  <a:avLst/>
                                </a:prstGeom>
                                <a:noFill/>
                                <a:ln>
                                  <a:noFill/>
                                </a:ln>
                              </pic:spPr>
                            </pic:pic>
                          </a:graphicData>
                        </a:graphic>
                      </wp:inline>
                    </w:drawing>
                  </w:r>
                </w:p>
              </w:tc>
              <w:tc>
                <w:tcPr>
                  <w:tcW w:w="2484" w:type="pct"/>
                </w:tcPr>
                <w:p w14:paraId="06438A92">
                  <w:pPr>
                    <w:jc w:val="center"/>
                    <w:rPr>
                      <w:color w:val="auto"/>
                    </w:rPr>
                  </w:pPr>
                  <w:r>
                    <w:rPr>
                      <w:color w:val="auto"/>
                    </w:rPr>
                    <w:drawing>
                      <wp:inline distT="0" distB="0" distL="114300" distR="114300">
                        <wp:extent cx="2426335" cy="1881505"/>
                        <wp:effectExtent l="0" t="0" r="12065" b="444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2"/>
                                <a:srcRect l="4729"/>
                                <a:stretch>
                                  <a:fillRect/>
                                </a:stretch>
                              </pic:blipFill>
                              <pic:spPr>
                                <a:xfrm>
                                  <a:off x="0" y="0"/>
                                  <a:ext cx="2426335" cy="1881505"/>
                                </a:xfrm>
                                <a:prstGeom prst="rect">
                                  <a:avLst/>
                                </a:prstGeom>
                                <a:noFill/>
                                <a:ln>
                                  <a:noFill/>
                                </a:ln>
                              </pic:spPr>
                            </pic:pic>
                          </a:graphicData>
                        </a:graphic>
                      </wp:inline>
                    </w:drawing>
                  </w:r>
                </w:p>
              </w:tc>
            </w:tr>
            <w:tr w14:paraId="072E3D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53F6D5A1">
                  <w:pPr>
                    <w:pStyle w:val="47"/>
                    <w:spacing w:line="240" w:lineRule="auto"/>
                    <w:rPr>
                      <w:color w:val="auto"/>
                      <w:sz w:val="24"/>
                    </w:rPr>
                  </w:pPr>
                  <w:r>
                    <w:rPr>
                      <w:rFonts w:hint="eastAsia"/>
                      <w:color w:val="auto"/>
                      <w:sz w:val="24"/>
                    </w:rPr>
                    <w:t>图</w:t>
                  </w:r>
                  <w:r>
                    <w:rPr>
                      <w:rFonts w:hint="eastAsia"/>
                      <w:color w:val="auto"/>
                      <w:sz w:val="24"/>
                      <w:lang w:val="en-US" w:eastAsia="zh-CN"/>
                    </w:rPr>
                    <w:t>15</w:t>
                  </w:r>
                  <w:r>
                    <w:rPr>
                      <w:rFonts w:hint="eastAsia"/>
                      <w:color w:val="auto"/>
                      <w:sz w:val="24"/>
                    </w:rPr>
                    <w:t xml:space="preserve"> 袁家河梁牛路以南蓬河段</w:t>
                  </w:r>
                </w:p>
              </w:tc>
              <w:tc>
                <w:tcPr>
                  <w:tcW w:w="2484" w:type="pct"/>
                  <w:vAlign w:val="center"/>
                </w:tcPr>
                <w:p w14:paraId="3F6E57E2">
                  <w:pPr>
                    <w:pStyle w:val="47"/>
                    <w:spacing w:line="240" w:lineRule="auto"/>
                    <w:rPr>
                      <w:color w:val="auto"/>
                      <w:sz w:val="24"/>
                    </w:rPr>
                  </w:pPr>
                  <w:r>
                    <w:rPr>
                      <w:rFonts w:hint="eastAsia"/>
                      <w:color w:val="auto"/>
                      <w:sz w:val="24"/>
                    </w:rPr>
                    <w:t>图</w:t>
                  </w:r>
                  <w:r>
                    <w:rPr>
                      <w:rFonts w:hint="eastAsia"/>
                      <w:color w:val="auto"/>
                      <w:sz w:val="24"/>
                      <w:lang w:val="en-US" w:eastAsia="zh-CN"/>
                    </w:rPr>
                    <w:t>16</w:t>
                  </w:r>
                  <w:r>
                    <w:rPr>
                      <w:rFonts w:hint="eastAsia"/>
                      <w:color w:val="auto"/>
                      <w:sz w:val="24"/>
                    </w:rPr>
                    <w:t xml:space="preserve"> 袁家河上游土沟段</w:t>
                  </w:r>
                </w:p>
              </w:tc>
            </w:tr>
          </w:tbl>
          <w:p w14:paraId="13EC3EDC">
            <w:pPr>
              <w:widowControl/>
              <w:spacing w:line="360" w:lineRule="auto"/>
              <w:ind w:firstLine="480" w:firstLineChars="200"/>
              <w:rPr>
                <w:color w:val="auto"/>
                <w:sz w:val="24"/>
              </w:rPr>
            </w:pPr>
            <w:r>
              <w:rPr>
                <w:rFonts w:hint="eastAsia"/>
                <w:color w:val="auto"/>
                <w:sz w:val="24"/>
              </w:rPr>
              <w:t>10、天津路排涝沟</w:t>
            </w:r>
          </w:p>
          <w:p w14:paraId="69343AE9">
            <w:pPr>
              <w:widowControl/>
              <w:spacing w:line="360" w:lineRule="auto"/>
              <w:ind w:firstLine="480" w:firstLineChars="200"/>
              <w:jc w:val="left"/>
              <w:rPr>
                <w:color w:val="auto"/>
                <w:sz w:val="24"/>
              </w:rPr>
            </w:pPr>
            <w:r>
              <w:rPr>
                <w:rFonts w:hint="eastAsia"/>
                <w:color w:val="auto"/>
                <w:sz w:val="24"/>
              </w:rPr>
              <w:t>天津路排涝沟30年一遇排涝标准设计流量约17.5m</w:t>
            </w:r>
            <w:r>
              <w:rPr>
                <w:rFonts w:hint="eastAsia"/>
                <w:color w:val="auto"/>
                <w:sz w:val="24"/>
                <w:vertAlign w:val="superscript"/>
              </w:rPr>
              <w:t>3</w:t>
            </w:r>
            <w:r>
              <w:rPr>
                <w:rFonts w:hint="eastAsia"/>
                <w:color w:val="auto"/>
                <w:sz w:val="24"/>
              </w:rPr>
              <w:t>/s，现状排涝沟下口宽约3米，上口宽约8米，深约2.5米，可满足该流量需求。但下游淄河大道两侧现状d1500及d1800管道现状排水流量约为6m</w:t>
            </w:r>
            <w:r>
              <w:rPr>
                <w:rFonts w:hint="eastAsia"/>
                <w:color w:val="auto"/>
                <w:sz w:val="24"/>
                <w:vertAlign w:val="superscript"/>
              </w:rPr>
              <w:t>3</w:t>
            </w:r>
            <w:r>
              <w:rPr>
                <w:rFonts w:hint="eastAsia"/>
                <w:color w:val="auto"/>
                <w:sz w:val="24"/>
              </w:rPr>
              <w:t>/s，无法满足天津路排涝沟排水需求，形成排水瓶颈，造成淄河大道、天津路路口处积水严重。天津路排涝沟厂区出入口处，多处使用d1200～d1800管道代替，排水断面严重缩小，形成排水瓶颈。雨水管道共有11处，总长约322米。</w:t>
            </w:r>
          </w:p>
          <w:tbl>
            <w:tblPr>
              <w:tblStyle w:val="2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147"/>
              <w:gridCol w:w="4095"/>
            </w:tblGrid>
            <w:tr w14:paraId="4CB7A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13C4F74E">
                  <w:pPr>
                    <w:jc w:val="center"/>
                    <w:rPr>
                      <w:color w:val="auto"/>
                    </w:rPr>
                  </w:pPr>
                  <w:r>
                    <w:rPr>
                      <w:color w:val="auto"/>
                    </w:rPr>
                    <w:drawing>
                      <wp:inline distT="0" distB="0" distL="114300" distR="114300">
                        <wp:extent cx="2493645" cy="1991995"/>
                        <wp:effectExtent l="0" t="0" r="1905" b="8255"/>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33"/>
                                <a:stretch>
                                  <a:fillRect/>
                                </a:stretch>
                              </pic:blipFill>
                              <pic:spPr>
                                <a:xfrm>
                                  <a:off x="0" y="0"/>
                                  <a:ext cx="2493645" cy="1991995"/>
                                </a:xfrm>
                                <a:prstGeom prst="rect">
                                  <a:avLst/>
                                </a:prstGeom>
                                <a:noFill/>
                                <a:ln>
                                  <a:noFill/>
                                </a:ln>
                              </pic:spPr>
                            </pic:pic>
                          </a:graphicData>
                        </a:graphic>
                      </wp:inline>
                    </w:drawing>
                  </w:r>
                </w:p>
              </w:tc>
              <w:tc>
                <w:tcPr>
                  <w:tcW w:w="2484" w:type="pct"/>
                </w:tcPr>
                <w:p w14:paraId="06502C14">
                  <w:pPr>
                    <w:jc w:val="center"/>
                    <w:rPr>
                      <w:color w:val="auto"/>
                    </w:rPr>
                  </w:pPr>
                  <w:r>
                    <w:rPr>
                      <w:color w:val="auto"/>
                    </w:rPr>
                    <w:drawing>
                      <wp:inline distT="0" distB="0" distL="114300" distR="114300">
                        <wp:extent cx="2275840" cy="1974850"/>
                        <wp:effectExtent l="0" t="0" r="10160" b="635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34"/>
                                <a:stretch>
                                  <a:fillRect/>
                                </a:stretch>
                              </pic:blipFill>
                              <pic:spPr>
                                <a:xfrm>
                                  <a:off x="0" y="0"/>
                                  <a:ext cx="2275840" cy="1974850"/>
                                </a:xfrm>
                                <a:prstGeom prst="rect">
                                  <a:avLst/>
                                </a:prstGeom>
                                <a:noFill/>
                                <a:ln>
                                  <a:noFill/>
                                </a:ln>
                              </pic:spPr>
                            </pic:pic>
                          </a:graphicData>
                        </a:graphic>
                      </wp:inline>
                    </w:drawing>
                  </w:r>
                </w:p>
              </w:tc>
            </w:tr>
            <w:tr w14:paraId="5B580E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0" w:hRule="atLeast"/>
                <w:jc w:val="center"/>
              </w:trPr>
              <w:tc>
                <w:tcPr>
                  <w:tcW w:w="2516" w:type="pct"/>
                  <w:vAlign w:val="center"/>
                </w:tcPr>
                <w:p w14:paraId="3D5B84D6">
                  <w:pPr>
                    <w:pStyle w:val="47"/>
                    <w:spacing w:line="240" w:lineRule="auto"/>
                    <w:rPr>
                      <w:color w:val="auto"/>
                      <w:sz w:val="24"/>
                    </w:rPr>
                  </w:pPr>
                  <w:r>
                    <w:rPr>
                      <w:rFonts w:hint="eastAsia"/>
                      <w:color w:val="auto"/>
                      <w:sz w:val="24"/>
                    </w:rPr>
                    <w:t>图</w:t>
                  </w:r>
                  <w:r>
                    <w:rPr>
                      <w:rFonts w:hint="eastAsia"/>
                      <w:color w:val="auto"/>
                      <w:sz w:val="24"/>
                      <w:lang w:val="en-US" w:eastAsia="zh-CN"/>
                    </w:rPr>
                    <w:t>17</w:t>
                  </w:r>
                  <w:r>
                    <w:rPr>
                      <w:rFonts w:hint="eastAsia"/>
                      <w:color w:val="auto"/>
                      <w:sz w:val="24"/>
                    </w:rPr>
                    <w:t xml:space="preserve"> 天津路排涝沟上游土沟段</w:t>
                  </w:r>
                </w:p>
              </w:tc>
              <w:tc>
                <w:tcPr>
                  <w:tcW w:w="2484" w:type="pct"/>
                  <w:vAlign w:val="center"/>
                </w:tcPr>
                <w:p w14:paraId="7B03C98D">
                  <w:pPr>
                    <w:pStyle w:val="47"/>
                    <w:spacing w:line="240" w:lineRule="auto"/>
                    <w:rPr>
                      <w:color w:val="auto"/>
                      <w:sz w:val="24"/>
                    </w:rPr>
                  </w:pPr>
                  <w:r>
                    <w:rPr>
                      <w:rFonts w:hint="eastAsia"/>
                      <w:color w:val="auto"/>
                      <w:sz w:val="24"/>
                    </w:rPr>
                    <w:t>图</w:t>
                  </w:r>
                  <w:r>
                    <w:rPr>
                      <w:rFonts w:hint="eastAsia"/>
                      <w:color w:val="auto"/>
                      <w:sz w:val="24"/>
                      <w:lang w:val="en-US" w:eastAsia="zh-CN"/>
                    </w:rPr>
                    <w:t>18</w:t>
                  </w:r>
                  <w:r>
                    <w:rPr>
                      <w:rFonts w:hint="eastAsia"/>
                      <w:color w:val="auto"/>
                      <w:sz w:val="24"/>
                    </w:rPr>
                    <w:t xml:space="preserve"> 天津路排涝沟现状过路管涵</w:t>
                  </w:r>
                </w:p>
              </w:tc>
            </w:tr>
          </w:tbl>
          <w:p w14:paraId="5C3D7E01">
            <w:pPr>
              <w:widowControl/>
              <w:spacing w:line="360" w:lineRule="auto"/>
              <w:ind w:firstLine="480" w:firstLineChars="200"/>
              <w:rPr>
                <w:color w:val="auto"/>
                <w:sz w:val="24"/>
              </w:rPr>
            </w:pPr>
            <w:r>
              <w:rPr>
                <w:rFonts w:hint="eastAsia"/>
                <w:color w:val="auto"/>
                <w:sz w:val="24"/>
              </w:rPr>
              <w:t>11、大高、小旦排涝通道缺失</w:t>
            </w:r>
          </w:p>
          <w:p w14:paraId="3E17E5E6">
            <w:pPr>
              <w:widowControl/>
              <w:spacing w:line="360" w:lineRule="auto"/>
              <w:ind w:firstLine="480" w:firstLineChars="200"/>
              <w:rPr>
                <w:rFonts w:hint="eastAsia"/>
                <w:color w:val="auto"/>
                <w:sz w:val="24"/>
              </w:rPr>
            </w:pPr>
            <w:r>
              <w:rPr>
                <w:rFonts w:hint="eastAsia"/>
                <w:color w:val="auto"/>
                <w:sz w:val="24"/>
              </w:rPr>
              <w:t>部分地块排涝通道缺失：淄博经开区南部区域，小旦村、聂村、暖水河村、陈家村围合的农田，以及大高村西侧区域，缺少排涝通道，至少该片区域积水严重，农田积水严重，造成农民财产损失。</w:t>
            </w:r>
          </w:p>
          <w:p w14:paraId="624F37F6">
            <w:pPr>
              <w:widowControl/>
              <w:spacing w:line="360" w:lineRule="auto"/>
              <w:ind w:firstLine="480" w:firstLineChars="200"/>
              <w:rPr>
                <w:rFonts w:hint="default"/>
                <w:color w:val="auto"/>
                <w:sz w:val="24"/>
                <w:lang w:val="en-US" w:eastAsia="zh-CN"/>
              </w:rPr>
            </w:pPr>
            <w:r>
              <w:rPr>
                <w:rFonts w:hint="eastAsia"/>
                <w:color w:val="auto"/>
                <w:sz w:val="24"/>
                <w:lang w:val="en-US" w:eastAsia="zh-CN"/>
              </w:rPr>
              <w:t>根据调查，本项目施工工段无排污口及例行监测断面。</w:t>
            </w:r>
          </w:p>
          <w:p w14:paraId="775EC7B4">
            <w:pPr>
              <w:rPr>
                <w:rFonts w:hint="default"/>
                <w:color w:val="auto"/>
                <w:lang w:val="en-US" w:eastAsia="zh-CN"/>
              </w:rPr>
            </w:pPr>
          </w:p>
        </w:tc>
      </w:tr>
      <w:tr w14:paraId="14208B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43" w:type="pct"/>
            <w:vAlign w:val="center"/>
          </w:tcPr>
          <w:p w14:paraId="3EF88774">
            <w:pPr>
              <w:adjustRightInd w:val="0"/>
              <w:snapToGrid w:val="0"/>
              <w:jc w:val="center"/>
              <w:rPr>
                <w:color w:val="auto"/>
                <w:kern w:val="0"/>
                <w:szCs w:val="21"/>
                <w:highlight w:val="yellow"/>
              </w:rPr>
            </w:pPr>
            <w:r>
              <w:rPr>
                <w:color w:val="auto"/>
                <w:kern w:val="0"/>
                <w:sz w:val="24"/>
              </w:rPr>
              <w:t>生态环境保护目标</w:t>
            </w:r>
          </w:p>
        </w:tc>
        <w:tc>
          <w:tcPr>
            <w:tcW w:w="4556" w:type="pct"/>
            <w:vAlign w:val="center"/>
          </w:tcPr>
          <w:p w14:paraId="5F714062">
            <w:pPr>
              <w:snapToGrid w:val="0"/>
              <w:spacing w:line="360" w:lineRule="auto"/>
              <w:ind w:left="560"/>
              <w:rPr>
                <w:color w:val="auto"/>
                <w:sz w:val="24"/>
              </w:rPr>
            </w:pPr>
            <w:r>
              <w:rPr>
                <w:rFonts w:hint="eastAsia"/>
                <w:color w:val="auto"/>
                <w:sz w:val="24"/>
              </w:rPr>
              <w:t>1、</w:t>
            </w:r>
            <w:r>
              <w:rPr>
                <w:color w:val="auto"/>
                <w:sz w:val="24"/>
              </w:rPr>
              <w:t>涝淄河</w:t>
            </w:r>
            <w:r>
              <w:rPr>
                <w:rFonts w:hint="eastAsia"/>
                <w:color w:val="auto"/>
                <w:sz w:val="24"/>
              </w:rPr>
              <w:t>：</w:t>
            </w:r>
            <w:r>
              <w:rPr>
                <w:color w:val="auto"/>
                <w:sz w:val="24"/>
              </w:rPr>
              <w:t>治理范围为胶济铁路至大高水库，总长约3.88公里。</w:t>
            </w:r>
          </w:p>
          <w:p w14:paraId="5B3D3091">
            <w:pPr>
              <w:spacing w:before="120" w:beforeLines="50"/>
              <w:jc w:val="center"/>
              <w:rPr>
                <w:b/>
                <w:bCs/>
                <w:color w:val="auto"/>
                <w:szCs w:val="21"/>
              </w:rPr>
            </w:pPr>
            <w:r>
              <w:rPr>
                <w:b/>
                <w:bCs/>
                <w:color w:val="auto"/>
                <w:szCs w:val="21"/>
              </w:rPr>
              <w:t>表3-</w:t>
            </w:r>
            <w:r>
              <w:rPr>
                <w:rFonts w:hint="eastAsia"/>
                <w:b/>
                <w:bCs/>
                <w:color w:val="auto"/>
                <w:szCs w:val="21"/>
                <w:lang w:val="en-US" w:eastAsia="zh-CN"/>
              </w:rPr>
              <w:t>7</w:t>
            </w:r>
            <w:r>
              <w:rPr>
                <w:b/>
                <w:bCs/>
                <w:color w:val="auto"/>
                <w:szCs w:val="21"/>
              </w:rPr>
              <w:t xml:space="preserve">  经开区内涝淄河工程主要环境保护目标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05"/>
              <w:gridCol w:w="2464"/>
              <w:gridCol w:w="1045"/>
              <w:gridCol w:w="2008"/>
              <w:gridCol w:w="844"/>
              <w:gridCol w:w="1046"/>
            </w:tblGrid>
            <w:tr w14:paraId="7F3FD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28" w:hRule="atLeast"/>
                <w:jc w:val="center"/>
              </w:trPr>
              <w:tc>
                <w:tcPr>
                  <w:tcW w:w="490" w:type="pct"/>
                  <w:vAlign w:val="center"/>
                </w:tcPr>
                <w:p w14:paraId="557D24A8">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3CF43625">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类别</w:t>
                  </w:r>
                </w:p>
              </w:tc>
              <w:tc>
                <w:tcPr>
                  <w:tcW w:w="1500" w:type="pct"/>
                  <w:vAlign w:val="center"/>
                </w:tcPr>
                <w:p w14:paraId="7FCDFF9B">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保护对象</w:t>
                  </w:r>
                </w:p>
              </w:tc>
              <w:tc>
                <w:tcPr>
                  <w:tcW w:w="635" w:type="pct"/>
                  <w:vAlign w:val="center"/>
                </w:tcPr>
                <w:p w14:paraId="1CD3D92B">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063F03D7">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内容</w:t>
                  </w:r>
                </w:p>
              </w:tc>
              <w:tc>
                <w:tcPr>
                  <w:tcW w:w="1222" w:type="pct"/>
                  <w:vAlign w:val="center"/>
                </w:tcPr>
                <w:p w14:paraId="3A8311F1">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环境功能区</w:t>
                  </w:r>
                </w:p>
              </w:tc>
              <w:tc>
                <w:tcPr>
                  <w:tcW w:w="514" w:type="pct"/>
                  <w:vAlign w:val="center"/>
                </w:tcPr>
                <w:p w14:paraId="5154254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相对河道方位</w:t>
                  </w:r>
                </w:p>
              </w:tc>
              <w:tc>
                <w:tcPr>
                  <w:tcW w:w="635" w:type="pct"/>
                  <w:vAlign w:val="center"/>
                </w:tcPr>
                <w:p w14:paraId="24276073">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w:t>
                  </w:r>
                </w:p>
                <w:p w14:paraId="15ABEA15">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距离（m）</w:t>
                  </w:r>
                </w:p>
              </w:tc>
            </w:tr>
            <w:tr w14:paraId="455560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restart"/>
                  <w:vAlign w:val="center"/>
                </w:tcPr>
                <w:p w14:paraId="4EB458C4">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w:t>
                  </w:r>
                </w:p>
                <w:p w14:paraId="77BE3888">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tc>
              <w:tc>
                <w:tcPr>
                  <w:tcW w:w="1500" w:type="pct"/>
                  <w:vAlign w:val="center"/>
                </w:tcPr>
                <w:p w14:paraId="578BB7BC">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大高村</w:t>
                  </w:r>
                </w:p>
              </w:tc>
              <w:tc>
                <w:tcPr>
                  <w:tcW w:w="635" w:type="pct"/>
                  <w:vAlign w:val="center"/>
                </w:tcPr>
                <w:p w14:paraId="26148AB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restart"/>
                  <w:vAlign w:val="center"/>
                </w:tcPr>
                <w:p w14:paraId="7D1ADCD4">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《环境空气质量标准》（GB3095-20</w:t>
                  </w:r>
                  <w:r>
                    <w:rPr>
                      <w:rFonts w:hint="eastAsia" w:cs="Times New Roman"/>
                      <w:bCs/>
                      <w:color w:val="auto"/>
                      <w:sz w:val="21"/>
                      <w:szCs w:val="21"/>
                      <w:lang w:val="en-US" w:eastAsia="zh-CN"/>
                    </w:rPr>
                    <w:t>26</w:t>
                  </w:r>
                  <w:r>
                    <w:rPr>
                      <w:rFonts w:hint="default" w:ascii="Times New Roman" w:hAnsi="Times New Roman" w:eastAsia="宋体" w:cs="Times New Roman"/>
                      <w:bCs/>
                      <w:color w:val="auto"/>
                      <w:sz w:val="21"/>
                      <w:szCs w:val="21"/>
                    </w:rPr>
                    <w:t>）</w:t>
                  </w:r>
                  <w:r>
                    <w:rPr>
                      <w:rFonts w:hint="eastAsia"/>
                      <w:bCs/>
                      <w:color w:val="auto"/>
                      <w:szCs w:val="21"/>
                      <w:highlight w:val="none"/>
                      <w:lang w:eastAsia="zh-CN"/>
                    </w:rPr>
                    <w:t>过渡阶段</w:t>
                  </w:r>
                  <w:r>
                    <w:rPr>
                      <w:rFonts w:hint="default" w:ascii="Times New Roman" w:hAnsi="Times New Roman" w:eastAsia="宋体" w:cs="Times New Roman"/>
                      <w:bCs/>
                      <w:color w:val="auto"/>
                      <w:sz w:val="21"/>
                      <w:szCs w:val="21"/>
                    </w:rPr>
                    <w:t>二级标准</w:t>
                  </w:r>
                </w:p>
              </w:tc>
              <w:tc>
                <w:tcPr>
                  <w:tcW w:w="514" w:type="pct"/>
                  <w:vAlign w:val="center"/>
                </w:tcPr>
                <w:p w14:paraId="0A96BA5D">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p>
              </w:tc>
              <w:tc>
                <w:tcPr>
                  <w:tcW w:w="635" w:type="pct"/>
                  <w:vAlign w:val="center"/>
                </w:tcPr>
                <w:p w14:paraId="5378335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250</w:t>
                  </w:r>
                </w:p>
              </w:tc>
            </w:tr>
            <w:tr w14:paraId="0EB22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775F1452">
                  <w:pPr>
                    <w:widowControl/>
                    <w:jc w:val="center"/>
                    <w:rPr>
                      <w:rFonts w:hint="default" w:ascii="Times New Roman" w:hAnsi="Times New Roman" w:eastAsia="宋体" w:cs="Times New Roman"/>
                      <w:color w:val="auto"/>
                      <w:kern w:val="0"/>
                      <w:sz w:val="21"/>
                      <w:szCs w:val="21"/>
                    </w:rPr>
                  </w:pPr>
                </w:p>
              </w:tc>
              <w:tc>
                <w:tcPr>
                  <w:tcW w:w="1500" w:type="pct"/>
                  <w:vAlign w:val="center"/>
                </w:tcPr>
                <w:p w14:paraId="159B78A4">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河庄村</w:t>
                  </w:r>
                </w:p>
              </w:tc>
              <w:tc>
                <w:tcPr>
                  <w:tcW w:w="635" w:type="pct"/>
                  <w:vAlign w:val="center"/>
                </w:tcPr>
                <w:p w14:paraId="086FDFF5">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46EF6C35">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6A16FB8D">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SW</w:t>
                  </w:r>
                </w:p>
              </w:tc>
              <w:tc>
                <w:tcPr>
                  <w:tcW w:w="635" w:type="pct"/>
                  <w:vAlign w:val="center"/>
                </w:tcPr>
                <w:p w14:paraId="0EBD494F">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490</w:t>
                  </w:r>
                </w:p>
              </w:tc>
            </w:tr>
            <w:tr w14:paraId="0D622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630ADFD7">
                  <w:pPr>
                    <w:widowControl/>
                    <w:jc w:val="center"/>
                    <w:rPr>
                      <w:rFonts w:hint="default" w:ascii="Times New Roman" w:hAnsi="Times New Roman" w:eastAsia="宋体" w:cs="Times New Roman"/>
                      <w:color w:val="auto"/>
                      <w:kern w:val="0"/>
                      <w:sz w:val="21"/>
                      <w:szCs w:val="21"/>
                    </w:rPr>
                  </w:pPr>
                </w:p>
              </w:tc>
              <w:tc>
                <w:tcPr>
                  <w:tcW w:w="1500" w:type="pct"/>
                  <w:vAlign w:val="center"/>
                </w:tcPr>
                <w:p w14:paraId="333A3278">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润沣家园</w:t>
                  </w:r>
                </w:p>
              </w:tc>
              <w:tc>
                <w:tcPr>
                  <w:tcW w:w="635" w:type="pct"/>
                  <w:vAlign w:val="center"/>
                </w:tcPr>
                <w:p w14:paraId="5AAEE6A1">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02D2A1CF">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65962437">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SW</w:t>
                  </w:r>
                </w:p>
              </w:tc>
              <w:tc>
                <w:tcPr>
                  <w:tcW w:w="635" w:type="pct"/>
                  <w:vAlign w:val="center"/>
                </w:tcPr>
                <w:p w14:paraId="4BF83DA8">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860</w:t>
                  </w:r>
                </w:p>
              </w:tc>
            </w:tr>
            <w:tr w14:paraId="6E4386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089FE909">
                  <w:pPr>
                    <w:widowControl/>
                    <w:jc w:val="center"/>
                    <w:rPr>
                      <w:rFonts w:hint="default" w:ascii="Times New Roman" w:hAnsi="Times New Roman" w:eastAsia="宋体" w:cs="Times New Roman"/>
                      <w:color w:val="auto"/>
                      <w:kern w:val="0"/>
                      <w:sz w:val="21"/>
                      <w:szCs w:val="21"/>
                    </w:rPr>
                  </w:pPr>
                </w:p>
              </w:tc>
              <w:tc>
                <w:tcPr>
                  <w:tcW w:w="1500" w:type="pct"/>
                  <w:vAlign w:val="center"/>
                </w:tcPr>
                <w:p w14:paraId="79BBB364">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刘家村</w:t>
                  </w:r>
                </w:p>
              </w:tc>
              <w:tc>
                <w:tcPr>
                  <w:tcW w:w="635" w:type="pct"/>
                  <w:vAlign w:val="center"/>
                </w:tcPr>
                <w:p w14:paraId="30DDFB37">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4EFB386F">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16B0D0CB">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w:t>
                  </w:r>
                </w:p>
              </w:tc>
              <w:tc>
                <w:tcPr>
                  <w:tcW w:w="635" w:type="pct"/>
                  <w:vAlign w:val="center"/>
                </w:tcPr>
                <w:p w14:paraId="1846C6C1">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915</w:t>
                  </w:r>
                </w:p>
              </w:tc>
            </w:tr>
            <w:tr w14:paraId="52802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2F96174C">
                  <w:pPr>
                    <w:widowControl/>
                    <w:jc w:val="center"/>
                    <w:rPr>
                      <w:rFonts w:hint="default" w:ascii="Times New Roman" w:hAnsi="Times New Roman" w:eastAsia="宋体" w:cs="Times New Roman"/>
                      <w:color w:val="auto"/>
                      <w:kern w:val="0"/>
                      <w:sz w:val="21"/>
                      <w:szCs w:val="21"/>
                    </w:rPr>
                  </w:pPr>
                </w:p>
              </w:tc>
              <w:tc>
                <w:tcPr>
                  <w:tcW w:w="1500" w:type="pct"/>
                  <w:vAlign w:val="center"/>
                </w:tcPr>
                <w:p w14:paraId="2C088F75">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中南紫云集</w:t>
                  </w:r>
                </w:p>
              </w:tc>
              <w:tc>
                <w:tcPr>
                  <w:tcW w:w="635" w:type="pct"/>
                  <w:vAlign w:val="center"/>
                </w:tcPr>
                <w:p w14:paraId="5F7454F7">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0CEC834A">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68757583">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w:t>
                  </w:r>
                </w:p>
              </w:tc>
              <w:tc>
                <w:tcPr>
                  <w:tcW w:w="635" w:type="pct"/>
                  <w:vAlign w:val="center"/>
                </w:tcPr>
                <w:p w14:paraId="7D2A154D">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740</w:t>
                  </w:r>
                </w:p>
              </w:tc>
            </w:tr>
            <w:tr w14:paraId="3553BA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1A8C4918">
                  <w:pPr>
                    <w:widowControl/>
                    <w:jc w:val="center"/>
                    <w:rPr>
                      <w:rFonts w:hint="default" w:ascii="Times New Roman" w:hAnsi="Times New Roman" w:eastAsia="宋体" w:cs="Times New Roman"/>
                      <w:color w:val="auto"/>
                      <w:kern w:val="0"/>
                      <w:sz w:val="21"/>
                      <w:szCs w:val="21"/>
                    </w:rPr>
                  </w:pPr>
                </w:p>
              </w:tc>
              <w:tc>
                <w:tcPr>
                  <w:tcW w:w="1500" w:type="pct"/>
                  <w:vAlign w:val="center"/>
                </w:tcPr>
                <w:p w14:paraId="12DCDCD0">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商家村</w:t>
                  </w:r>
                </w:p>
              </w:tc>
              <w:tc>
                <w:tcPr>
                  <w:tcW w:w="635" w:type="pct"/>
                  <w:vAlign w:val="center"/>
                </w:tcPr>
                <w:p w14:paraId="3E0FC8CA">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7E96D42E">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7B56F101">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t>
                  </w:r>
                </w:p>
              </w:tc>
              <w:tc>
                <w:tcPr>
                  <w:tcW w:w="635" w:type="pct"/>
                  <w:vAlign w:val="center"/>
                </w:tcPr>
                <w:p w14:paraId="51689CC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580</w:t>
                  </w:r>
                </w:p>
              </w:tc>
            </w:tr>
            <w:tr w14:paraId="518DD5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682FB7D4">
                  <w:pPr>
                    <w:widowControl/>
                    <w:jc w:val="center"/>
                    <w:rPr>
                      <w:rFonts w:hint="default" w:ascii="Times New Roman" w:hAnsi="Times New Roman" w:eastAsia="宋体" w:cs="Times New Roman"/>
                      <w:color w:val="auto"/>
                      <w:kern w:val="0"/>
                      <w:sz w:val="21"/>
                      <w:szCs w:val="21"/>
                    </w:rPr>
                  </w:pPr>
                </w:p>
              </w:tc>
              <w:tc>
                <w:tcPr>
                  <w:tcW w:w="1500" w:type="pct"/>
                  <w:vAlign w:val="center"/>
                </w:tcPr>
                <w:p w14:paraId="09AC31AF">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房子社区</w:t>
                  </w:r>
                </w:p>
              </w:tc>
              <w:tc>
                <w:tcPr>
                  <w:tcW w:w="635" w:type="pct"/>
                  <w:vAlign w:val="center"/>
                </w:tcPr>
                <w:p w14:paraId="2DFACF1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09E8120F">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2709755C">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w:t>
                  </w:r>
                </w:p>
              </w:tc>
              <w:tc>
                <w:tcPr>
                  <w:tcW w:w="635" w:type="pct"/>
                  <w:vAlign w:val="center"/>
                </w:tcPr>
                <w:p w14:paraId="30E80ED5">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960</w:t>
                  </w:r>
                </w:p>
              </w:tc>
            </w:tr>
            <w:tr w14:paraId="00B71A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49312FC0">
                  <w:pPr>
                    <w:widowControl/>
                    <w:jc w:val="center"/>
                    <w:rPr>
                      <w:rFonts w:hint="default" w:ascii="Times New Roman" w:hAnsi="Times New Roman" w:eastAsia="宋体" w:cs="Times New Roman"/>
                      <w:color w:val="auto"/>
                      <w:kern w:val="0"/>
                      <w:sz w:val="21"/>
                      <w:szCs w:val="21"/>
                    </w:rPr>
                  </w:pPr>
                </w:p>
              </w:tc>
              <w:tc>
                <w:tcPr>
                  <w:tcW w:w="1500" w:type="pct"/>
                  <w:vAlign w:val="center"/>
                </w:tcPr>
                <w:p w14:paraId="7F01AEEA">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张二村</w:t>
                  </w:r>
                </w:p>
              </w:tc>
              <w:tc>
                <w:tcPr>
                  <w:tcW w:w="635" w:type="pct"/>
                  <w:vAlign w:val="center"/>
                </w:tcPr>
                <w:p w14:paraId="7EA042DC">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6531FBDD">
                  <w:pPr>
                    <w:autoSpaceDE w:val="0"/>
                    <w:autoSpaceDN w:val="0"/>
                    <w:jc w:val="center"/>
                    <w:rPr>
                      <w:rFonts w:hint="default" w:ascii="Times New Roman" w:hAnsi="Times New Roman" w:eastAsia="宋体" w:cs="Times New Roman"/>
                      <w:bCs/>
                      <w:color w:val="auto"/>
                      <w:sz w:val="21"/>
                      <w:szCs w:val="21"/>
                    </w:rPr>
                  </w:pPr>
                </w:p>
              </w:tc>
              <w:tc>
                <w:tcPr>
                  <w:tcW w:w="514" w:type="pct"/>
                  <w:vAlign w:val="center"/>
                </w:tcPr>
                <w:p w14:paraId="4998368F">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w:t>
                  </w:r>
                </w:p>
              </w:tc>
              <w:tc>
                <w:tcPr>
                  <w:tcW w:w="635" w:type="pct"/>
                  <w:vAlign w:val="center"/>
                </w:tcPr>
                <w:p w14:paraId="6F71EDA7">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410</w:t>
                  </w:r>
                </w:p>
              </w:tc>
            </w:tr>
            <w:tr w14:paraId="2C0F04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0B7F8913">
                  <w:pPr>
                    <w:widowControl/>
                    <w:jc w:val="center"/>
                    <w:rPr>
                      <w:rFonts w:hint="default" w:ascii="Times New Roman" w:hAnsi="Times New Roman" w:eastAsia="宋体" w:cs="Times New Roman"/>
                      <w:color w:val="auto"/>
                      <w:kern w:val="0"/>
                      <w:sz w:val="21"/>
                      <w:szCs w:val="21"/>
                    </w:rPr>
                  </w:pPr>
                </w:p>
              </w:tc>
              <w:tc>
                <w:tcPr>
                  <w:tcW w:w="1500" w:type="pct"/>
                  <w:vAlign w:val="center"/>
                </w:tcPr>
                <w:p w14:paraId="36BA4DB5">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城东村</w:t>
                  </w:r>
                </w:p>
              </w:tc>
              <w:tc>
                <w:tcPr>
                  <w:tcW w:w="635" w:type="pct"/>
                  <w:vAlign w:val="center"/>
                </w:tcPr>
                <w:p w14:paraId="2443F9C0">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5ED10693">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13F62EB7">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w:t>
                  </w:r>
                </w:p>
              </w:tc>
              <w:tc>
                <w:tcPr>
                  <w:tcW w:w="635" w:type="pct"/>
                  <w:vAlign w:val="center"/>
                </w:tcPr>
                <w:p w14:paraId="666AD8E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315</w:t>
                  </w:r>
                </w:p>
              </w:tc>
            </w:tr>
            <w:tr w14:paraId="2D5C77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57318CF9">
                  <w:pPr>
                    <w:widowControl/>
                    <w:jc w:val="center"/>
                    <w:rPr>
                      <w:rFonts w:hint="default" w:ascii="Times New Roman" w:hAnsi="Times New Roman" w:eastAsia="宋体" w:cs="Times New Roman"/>
                      <w:color w:val="auto"/>
                      <w:kern w:val="0"/>
                      <w:sz w:val="21"/>
                      <w:szCs w:val="21"/>
                    </w:rPr>
                  </w:pPr>
                </w:p>
              </w:tc>
              <w:tc>
                <w:tcPr>
                  <w:tcW w:w="1500" w:type="pct"/>
                  <w:vAlign w:val="center"/>
                </w:tcPr>
                <w:p w14:paraId="22FA094C">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张三村</w:t>
                  </w:r>
                </w:p>
              </w:tc>
              <w:tc>
                <w:tcPr>
                  <w:tcW w:w="635" w:type="pct"/>
                  <w:vAlign w:val="center"/>
                </w:tcPr>
                <w:p w14:paraId="6D435E1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4C7E262C">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1E8B4346">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w:t>
                  </w:r>
                </w:p>
              </w:tc>
              <w:tc>
                <w:tcPr>
                  <w:tcW w:w="635" w:type="pct"/>
                  <w:vAlign w:val="center"/>
                </w:tcPr>
                <w:p w14:paraId="5FA08D6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200</w:t>
                  </w:r>
                </w:p>
              </w:tc>
            </w:tr>
            <w:tr w14:paraId="4ED184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4F61BC0C">
                  <w:pPr>
                    <w:widowControl/>
                    <w:jc w:val="center"/>
                    <w:rPr>
                      <w:rFonts w:hint="default" w:ascii="Times New Roman" w:hAnsi="Times New Roman" w:eastAsia="宋体" w:cs="Times New Roman"/>
                      <w:color w:val="auto"/>
                      <w:kern w:val="0"/>
                      <w:sz w:val="21"/>
                      <w:szCs w:val="21"/>
                    </w:rPr>
                  </w:pPr>
                </w:p>
              </w:tc>
              <w:tc>
                <w:tcPr>
                  <w:tcW w:w="1500" w:type="pct"/>
                  <w:vAlign w:val="center"/>
                </w:tcPr>
                <w:p w14:paraId="737801EE">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沣水镇一小</w:t>
                  </w:r>
                </w:p>
              </w:tc>
              <w:tc>
                <w:tcPr>
                  <w:tcW w:w="635" w:type="pct"/>
                  <w:vAlign w:val="center"/>
                </w:tcPr>
                <w:p w14:paraId="5DEF050A">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学生</w:t>
                  </w:r>
                </w:p>
              </w:tc>
              <w:tc>
                <w:tcPr>
                  <w:tcW w:w="1222" w:type="pct"/>
                  <w:vMerge w:val="continue"/>
                  <w:vAlign w:val="center"/>
                </w:tcPr>
                <w:p w14:paraId="35A13AF5">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055F992E">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w:t>
                  </w:r>
                </w:p>
              </w:tc>
              <w:tc>
                <w:tcPr>
                  <w:tcW w:w="635" w:type="pct"/>
                  <w:vAlign w:val="center"/>
                </w:tcPr>
                <w:p w14:paraId="3F843AD3">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315</w:t>
                  </w:r>
                </w:p>
              </w:tc>
            </w:tr>
            <w:tr w14:paraId="3E070E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56D7BFA9">
                  <w:pPr>
                    <w:widowControl/>
                    <w:jc w:val="center"/>
                    <w:rPr>
                      <w:rFonts w:hint="default" w:ascii="Times New Roman" w:hAnsi="Times New Roman" w:eastAsia="宋体" w:cs="Times New Roman"/>
                      <w:color w:val="auto"/>
                      <w:kern w:val="0"/>
                      <w:sz w:val="21"/>
                      <w:szCs w:val="21"/>
                    </w:rPr>
                  </w:pPr>
                </w:p>
              </w:tc>
              <w:tc>
                <w:tcPr>
                  <w:tcW w:w="1500" w:type="pct"/>
                  <w:vAlign w:val="center"/>
                </w:tcPr>
                <w:p w14:paraId="2DE0A271">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张一村</w:t>
                  </w:r>
                </w:p>
              </w:tc>
              <w:tc>
                <w:tcPr>
                  <w:tcW w:w="635" w:type="pct"/>
                  <w:vAlign w:val="center"/>
                </w:tcPr>
                <w:p w14:paraId="1DC4A00C">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1B3C9B6B">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7F230E0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E</w:t>
                  </w:r>
                </w:p>
              </w:tc>
              <w:tc>
                <w:tcPr>
                  <w:tcW w:w="635" w:type="pct"/>
                  <w:vAlign w:val="center"/>
                </w:tcPr>
                <w:p w14:paraId="7EDEA258">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紧邻</w:t>
                  </w:r>
                </w:p>
              </w:tc>
            </w:tr>
            <w:tr w14:paraId="7DA792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2FD60375">
                  <w:pPr>
                    <w:widowControl/>
                    <w:jc w:val="center"/>
                    <w:rPr>
                      <w:rFonts w:hint="default" w:ascii="Times New Roman" w:hAnsi="Times New Roman" w:eastAsia="宋体" w:cs="Times New Roman"/>
                      <w:color w:val="auto"/>
                      <w:kern w:val="0"/>
                      <w:sz w:val="21"/>
                      <w:szCs w:val="21"/>
                    </w:rPr>
                  </w:pPr>
                </w:p>
              </w:tc>
              <w:tc>
                <w:tcPr>
                  <w:tcW w:w="1500" w:type="pct"/>
                  <w:vAlign w:val="center"/>
                </w:tcPr>
                <w:p w14:paraId="404F5E4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张赵一村</w:t>
                  </w:r>
                </w:p>
              </w:tc>
              <w:tc>
                <w:tcPr>
                  <w:tcW w:w="635" w:type="pct"/>
                  <w:vAlign w:val="center"/>
                </w:tcPr>
                <w:p w14:paraId="3FE14554">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402D7870">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2B72411F">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E</w:t>
                  </w:r>
                </w:p>
              </w:tc>
              <w:tc>
                <w:tcPr>
                  <w:tcW w:w="635" w:type="pct"/>
                  <w:vAlign w:val="center"/>
                </w:tcPr>
                <w:p w14:paraId="59391355">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r>
            <w:tr w14:paraId="7186C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20A26A15">
                  <w:pPr>
                    <w:widowControl/>
                    <w:jc w:val="center"/>
                    <w:rPr>
                      <w:rFonts w:hint="default" w:ascii="Times New Roman" w:hAnsi="Times New Roman" w:eastAsia="宋体" w:cs="Times New Roman"/>
                      <w:color w:val="auto"/>
                      <w:kern w:val="0"/>
                      <w:sz w:val="21"/>
                      <w:szCs w:val="21"/>
                    </w:rPr>
                  </w:pPr>
                </w:p>
              </w:tc>
              <w:tc>
                <w:tcPr>
                  <w:tcW w:w="1500" w:type="pct"/>
                  <w:vAlign w:val="center"/>
                </w:tcPr>
                <w:p w14:paraId="11CC7063">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瑞景园东苑小区</w:t>
                  </w:r>
                </w:p>
              </w:tc>
              <w:tc>
                <w:tcPr>
                  <w:tcW w:w="635" w:type="pct"/>
                  <w:vAlign w:val="center"/>
                </w:tcPr>
                <w:p w14:paraId="6B0047C0">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04CD7D06">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5A4214C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w:t>
                  </w:r>
                </w:p>
              </w:tc>
              <w:tc>
                <w:tcPr>
                  <w:tcW w:w="635" w:type="pct"/>
                  <w:vAlign w:val="center"/>
                </w:tcPr>
                <w:p w14:paraId="34245968">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85</w:t>
                  </w:r>
                </w:p>
              </w:tc>
            </w:tr>
            <w:tr w14:paraId="6BB931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5A2659F3">
                  <w:pPr>
                    <w:widowControl/>
                    <w:jc w:val="center"/>
                    <w:rPr>
                      <w:rFonts w:hint="default" w:ascii="Times New Roman" w:hAnsi="Times New Roman" w:eastAsia="宋体" w:cs="Times New Roman"/>
                      <w:color w:val="auto"/>
                      <w:kern w:val="0"/>
                      <w:sz w:val="21"/>
                      <w:szCs w:val="21"/>
                    </w:rPr>
                  </w:pPr>
                </w:p>
              </w:tc>
              <w:tc>
                <w:tcPr>
                  <w:tcW w:w="1500" w:type="pct"/>
                  <w:vAlign w:val="center"/>
                </w:tcPr>
                <w:p w14:paraId="0C55A94E">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丰泽园东苑小区</w:t>
                  </w:r>
                </w:p>
              </w:tc>
              <w:tc>
                <w:tcPr>
                  <w:tcW w:w="635" w:type="pct"/>
                  <w:vAlign w:val="center"/>
                </w:tcPr>
                <w:p w14:paraId="4D4CC9A3">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15E043D1">
                  <w:pPr>
                    <w:autoSpaceDE w:val="0"/>
                    <w:autoSpaceDN w:val="0"/>
                    <w:jc w:val="center"/>
                    <w:rPr>
                      <w:rFonts w:hint="default" w:ascii="Times New Roman" w:hAnsi="Times New Roman" w:eastAsia="宋体" w:cs="Times New Roman"/>
                      <w:color w:val="auto"/>
                      <w:sz w:val="21"/>
                      <w:szCs w:val="21"/>
                    </w:rPr>
                  </w:pPr>
                </w:p>
              </w:tc>
              <w:tc>
                <w:tcPr>
                  <w:tcW w:w="514" w:type="pct"/>
                  <w:vAlign w:val="center"/>
                </w:tcPr>
                <w:p w14:paraId="579654FC">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w:t>
                  </w:r>
                </w:p>
              </w:tc>
              <w:tc>
                <w:tcPr>
                  <w:tcW w:w="635" w:type="pct"/>
                  <w:vAlign w:val="center"/>
                </w:tcPr>
                <w:p w14:paraId="3D4719E5">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r>
            <w:tr w14:paraId="5879CA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restart"/>
                  <w:vAlign w:val="center"/>
                </w:tcPr>
                <w:p w14:paraId="3AAF7D8A">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1500" w:type="pct"/>
                  <w:vAlign w:val="center"/>
                </w:tcPr>
                <w:p w14:paraId="796FE654">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张一村</w:t>
                  </w:r>
                </w:p>
              </w:tc>
              <w:tc>
                <w:tcPr>
                  <w:tcW w:w="635" w:type="pct"/>
                  <w:vAlign w:val="center"/>
                </w:tcPr>
                <w:p w14:paraId="54E4247E">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居民</w:t>
                  </w:r>
                </w:p>
              </w:tc>
              <w:tc>
                <w:tcPr>
                  <w:tcW w:w="1222" w:type="pct"/>
                  <w:vMerge w:val="restart"/>
                  <w:vAlign w:val="center"/>
                </w:tcPr>
                <w:p w14:paraId="4F58D8E7">
                  <w:pPr>
                    <w:autoSpaceDE w:val="0"/>
                    <w:autoSpaceDN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《声环境质量标准》（GB3096-2008）的2类声环境功能区要求</w:t>
                  </w:r>
                </w:p>
              </w:tc>
              <w:tc>
                <w:tcPr>
                  <w:tcW w:w="514" w:type="pct"/>
                  <w:vAlign w:val="center"/>
                </w:tcPr>
                <w:p w14:paraId="1E85FBAC">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E</w:t>
                  </w:r>
                </w:p>
              </w:tc>
              <w:tc>
                <w:tcPr>
                  <w:tcW w:w="635" w:type="pct"/>
                  <w:vAlign w:val="center"/>
                </w:tcPr>
                <w:p w14:paraId="1514C297">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紧邻</w:t>
                  </w:r>
                </w:p>
              </w:tc>
            </w:tr>
            <w:tr w14:paraId="323995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Merge w:val="continue"/>
                  <w:vAlign w:val="center"/>
                </w:tcPr>
                <w:p w14:paraId="53664AA1">
                  <w:pPr>
                    <w:widowControl/>
                    <w:jc w:val="center"/>
                    <w:rPr>
                      <w:rFonts w:hint="default" w:ascii="Times New Roman" w:hAnsi="Times New Roman" w:eastAsia="宋体" w:cs="Times New Roman"/>
                      <w:color w:val="auto"/>
                      <w:kern w:val="0"/>
                      <w:sz w:val="21"/>
                      <w:szCs w:val="21"/>
                      <w:highlight w:val="none"/>
                    </w:rPr>
                  </w:pPr>
                </w:p>
              </w:tc>
              <w:tc>
                <w:tcPr>
                  <w:tcW w:w="1500" w:type="pct"/>
                  <w:vAlign w:val="center"/>
                </w:tcPr>
                <w:p w14:paraId="1649DDC1">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张赵一村</w:t>
                  </w:r>
                </w:p>
              </w:tc>
              <w:tc>
                <w:tcPr>
                  <w:tcW w:w="635" w:type="pct"/>
                  <w:vAlign w:val="center"/>
                </w:tcPr>
                <w:p w14:paraId="2ACCF1BB">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居民</w:t>
                  </w:r>
                </w:p>
              </w:tc>
              <w:tc>
                <w:tcPr>
                  <w:tcW w:w="1222" w:type="pct"/>
                  <w:vMerge w:val="continue"/>
                  <w:vAlign w:val="center"/>
                </w:tcPr>
                <w:p w14:paraId="13626AC1">
                  <w:pPr>
                    <w:autoSpaceDE w:val="0"/>
                    <w:autoSpaceDN w:val="0"/>
                    <w:jc w:val="center"/>
                    <w:rPr>
                      <w:rFonts w:hint="default" w:ascii="Times New Roman" w:hAnsi="Times New Roman" w:eastAsia="宋体" w:cs="Times New Roman"/>
                      <w:color w:val="auto"/>
                      <w:sz w:val="21"/>
                      <w:szCs w:val="21"/>
                      <w:highlight w:val="none"/>
                    </w:rPr>
                  </w:pPr>
                </w:p>
              </w:tc>
              <w:tc>
                <w:tcPr>
                  <w:tcW w:w="514" w:type="pct"/>
                  <w:vAlign w:val="center"/>
                </w:tcPr>
                <w:p w14:paraId="41A61D18">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E</w:t>
                  </w:r>
                </w:p>
              </w:tc>
              <w:tc>
                <w:tcPr>
                  <w:tcW w:w="635" w:type="pct"/>
                  <w:vAlign w:val="center"/>
                </w:tcPr>
                <w:p w14:paraId="1CB6F74A">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r>
            <w:tr w14:paraId="3A677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69" w:hRule="atLeast"/>
                <w:jc w:val="center"/>
              </w:trPr>
              <w:tc>
                <w:tcPr>
                  <w:tcW w:w="490" w:type="pct"/>
                  <w:vMerge w:val="continue"/>
                  <w:vAlign w:val="center"/>
                </w:tcPr>
                <w:p w14:paraId="663C0F62">
                  <w:pPr>
                    <w:widowControl/>
                    <w:jc w:val="center"/>
                    <w:rPr>
                      <w:rFonts w:hint="default" w:ascii="Times New Roman" w:hAnsi="Times New Roman" w:eastAsia="宋体" w:cs="Times New Roman"/>
                      <w:color w:val="auto"/>
                      <w:kern w:val="0"/>
                      <w:sz w:val="21"/>
                      <w:szCs w:val="21"/>
                      <w:highlight w:val="none"/>
                    </w:rPr>
                  </w:pPr>
                </w:p>
              </w:tc>
              <w:tc>
                <w:tcPr>
                  <w:tcW w:w="1500" w:type="pct"/>
                  <w:vAlign w:val="center"/>
                </w:tcPr>
                <w:p w14:paraId="292701D6">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张三村</w:t>
                  </w:r>
                </w:p>
              </w:tc>
              <w:tc>
                <w:tcPr>
                  <w:tcW w:w="635" w:type="pct"/>
                  <w:vAlign w:val="center"/>
                </w:tcPr>
                <w:p w14:paraId="587E4369">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居民</w:t>
                  </w:r>
                </w:p>
              </w:tc>
              <w:tc>
                <w:tcPr>
                  <w:tcW w:w="1222" w:type="pct"/>
                  <w:vMerge w:val="continue"/>
                  <w:vAlign w:val="center"/>
                </w:tcPr>
                <w:p w14:paraId="7EECF6B9">
                  <w:pPr>
                    <w:autoSpaceDE w:val="0"/>
                    <w:autoSpaceDN w:val="0"/>
                    <w:jc w:val="center"/>
                    <w:rPr>
                      <w:rFonts w:hint="default" w:ascii="Times New Roman" w:hAnsi="Times New Roman" w:eastAsia="宋体" w:cs="Times New Roman"/>
                      <w:color w:val="auto"/>
                      <w:sz w:val="21"/>
                      <w:szCs w:val="21"/>
                      <w:highlight w:val="none"/>
                    </w:rPr>
                  </w:pPr>
                </w:p>
              </w:tc>
              <w:tc>
                <w:tcPr>
                  <w:tcW w:w="514" w:type="pct"/>
                  <w:vAlign w:val="center"/>
                </w:tcPr>
                <w:p w14:paraId="63C20068">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w:t>
                  </w:r>
                </w:p>
              </w:tc>
              <w:tc>
                <w:tcPr>
                  <w:tcW w:w="635" w:type="pct"/>
                  <w:vAlign w:val="center"/>
                </w:tcPr>
                <w:p w14:paraId="24967085">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w:t>
                  </w:r>
                </w:p>
              </w:tc>
            </w:tr>
            <w:tr w14:paraId="142EB1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94" w:hRule="atLeast"/>
                <w:jc w:val="center"/>
              </w:trPr>
              <w:tc>
                <w:tcPr>
                  <w:tcW w:w="490" w:type="pct"/>
                  <w:vMerge w:val="continue"/>
                  <w:vAlign w:val="center"/>
                </w:tcPr>
                <w:p w14:paraId="2E488A67">
                  <w:pPr>
                    <w:widowControl/>
                    <w:jc w:val="center"/>
                    <w:rPr>
                      <w:rFonts w:hint="default" w:ascii="Times New Roman" w:hAnsi="Times New Roman" w:eastAsia="宋体" w:cs="Times New Roman"/>
                      <w:color w:val="auto"/>
                      <w:kern w:val="0"/>
                      <w:sz w:val="21"/>
                      <w:szCs w:val="21"/>
                      <w:highlight w:val="none"/>
                    </w:rPr>
                  </w:pPr>
                </w:p>
              </w:tc>
              <w:tc>
                <w:tcPr>
                  <w:tcW w:w="1500" w:type="pct"/>
                  <w:vAlign w:val="center"/>
                </w:tcPr>
                <w:p w14:paraId="2FF26424">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瑞景园东苑小区</w:t>
                  </w:r>
                </w:p>
              </w:tc>
              <w:tc>
                <w:tcPr>
                  <w:tcW w:w="635" w:type="pct"/>
                  <w:vAlign w:val="center"/>
                </w:tcPr>
                <w:p w14:paraId="00F880F0">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居民</w:t>
                  </w:r>
                </w:p>
              </w:tc>
              <w:tc>
                <w:tcPr>
                  <w:tcW w:w="1222" w:type="pct"/>
                  <w:vMerge w:val="continue"/>
                  <w:vAlign w:val="center"/>
                </w:tcPr>
                <w:p w14:paraId="58773214">
                  <w:pPr>
                    <w:autoSpaceDE w:val="0"/>
                    <w:autoSpaceDN w:val="0"/>
                    <w:jc w:val="center"/>
                    <w:rPr>
                      <w:rFonts w:hint="default" w:ascii="Times New Roman" w:hAnsi="Times New Roman" w:eastAsia="宋体" w:cs="Times New Roman"/>
                      <w:color w:val="auto"/>
                      <w:sz w:val="21"/>
                      <w:szCs w:val="21"/>
                      <w:highlight w:val="none"/>
                    </w:rPr>
                  </w:pPr>
                </w:p>
              </w:tc>
              <w:tc>
                <w:tcPr>
                  <w:tcW w:w="514" w:type="pct"/>
                  <w:vAlign w:val="center"/>
                </w:tcPr>
                <w:p w14:paraId="6FC920A0">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w:t>
                  </w:r>
                </w:p>
              </w:tc>
              <w:tc>
                <w:tcPr>
                  <w:tcW w:w="635" w:type="pct"/>
                  <w:vAlign w:val="center"/>
                </w:tcPr>
                <w:p w14:paraId="11F58CFE">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85</w:t>
                  </w:r>
                </w:p>
              </w:tc>
            </w:tr>
            <w:tr w14:paraId="21639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81" w:hRule="atLeast"/>
                <w:jc w:val="center"/>
              </w:trPr>
              <w:tc>
                <w:tcPr>
                  <w:tcW w:w="490" w:type="pct"/>
                  <w:vMerge w:val="continue"/>
                  <w:vAlign w:val="center"/>
                </w:tcPr>
                <w:p w14:paraId="5E53FC28">
                  <w:pPr>
                    <w:widowControl/>
                    <w:jc w:val="center"/>
                    <w:rPr>
                      <w:rFonts w:hint="default" w:ascii="Times New Roman" w:hAnsi="Times New Roman" w:eastAsia="宋体" w:cs="Times New Roman"/>
                      <w:color w:val="auto"/>
                      <w:kern w:val="0"/>
                      <w:sz w:val="21"/>
                      <w:szCs w:val="21"/>
                      <w:highlight w:val="none"/>
                    </w:rPr>
                  </w:pPr>
                </w:p>
              </w:tc>
              <w:tc>
                <w:tcPr>
                  <w:tcW w:w="1500" w:type="pct"/>
                  <w:vAlign w:val="center"/>
                </w:tcPr>
                <w:p w14:paraId="56FD850A">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丰泽园东苑小区</w:t>
                  </w:r>
                </w:p>
              </w:tc>
              <w:tc>
                <w:tcPr>
                  <w:tcW w:w="635" w:type="pct"/>
                  <w:vAlign w:val="center"/>
                </w:tcPr>
                <w:p w14:paraId="56E5A9CC">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居民</w:t>
                  </w:r>
                </w:p>
              </w:tc>
              <w:tc>
                <w:tcPr>
                  <w:tcW w:w="1222" w:type="pct"/>
                  <w:vMerge w:val="continue"/>
                  <w:vAlign w:val="center"/>
                </w:tcPr>
                <w:p w14:paraId="43AFD6CB">
                  <w:pPr>
                    <w:autoSpaceDE w:val="0"/>
                    <w:autoSpaceDN w:val="0"/>
                    <w:jc w:val="center"/>
                    <w:rPr>
                      <w:rFonts w:hint="default" w:ascii="Times New Roman" w:hAnsi="Times New Roman" w:eastAsia="宋体" w:cs="Times New Roman"/>
                      <w:color w:val="auto"/>
                      <w:sz w:val="21"/>
                      <w:szCs w:val="21"/>
                      <w:highlight w:val="none"/>
                    </w:rPr>
                  </w:pPr>
                </w:p>
              </w:tc>
              <w:tc>
                <w:tcPr>
                  <w:tcW w:w="514" w:type="pct"/>
                  <w:vAlign w:val="center"/>
                </w:tcPr>
                <w:p w14:paraId="4BD001DD">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w:t>
                  </w:r>
                </w:p>
              </w:tc>
              <w:tc>
                <w:tcPr>
                  <w:tcW w:w="635" w:type="pct"/>
                  <w:vAlign w:val="center"/>
                </w:tcPr>
                <w:p w14:paraId="05E44624">
                  <w:pPr>
                    <w:autoSpaceDE w:val="0"/>
                    <w:autoSpaceDN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r>
            <w:tr w14:paraId="45F75A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870" w:hRule="atLeast"/>
                <w:jc w:val="center"/>
              </w:trPr>
              <w:tc>
                <w:tcPr>
                  <w:tcW w:w="490" w:type="pct"/>
                  <w:vAlign w:val="center"/>
                </w:tcPr>
                <w:p w14:paraId="04D148DF">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地下水环境</w:t>
                  </w:r>
                </w:p>
              </w:tc>
              <w:tc>
                <w:tcPr>
                  <w:tcW w:w="2136" w:type="pct"/>
                  <w:gridSpan w:val="2"/>
                  <w:vAlign w:val="center"/>
                </w:tcPr>
                <w:p w14:paraId="6BE53CA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厂界外500米范围内无地下水集中式饮用水源和热水、矿泉水、温泉等特殊地下水资源</w:t>
                  </w:r>
                </w:p>
              </w:tc>
              <w:tc>
                <w:tcPr>
                  <w:tcW w:w="1222" w:type="pct"/>
                  <w:vAlign w:val="center"/>
                </w:tcPr>
                <w:p w14:paraId="54556C06">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《地下水质量标准》（GB/T14848-2017）Ⅲ类标准</w:t>
                  </w:r>
                </w:p>
              </w:tc>
              <w:tc>
                <w:tcPr>
                  <w:tcW w:w="514" w:type="pct"/>
                  <w:vAlign w:val="center"/>
                </w:tcPr>
                <w:p w14:paraId="6C1DFE6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35" w:type="pct"/>
                  <w:vAlign w:val="center"/>
                </w:tcPr>
                <w:p w14:paraId="55B6195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r>
            <w:tr w14:paraId="3B6D88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44" w:hRule="atLeast"/>
                <w:jc w:val="center"/>
              </w:trPr>
              <w:tc>
                <w:tcPr>
                  <w:tcW w:w="490" w:type="pct"/>
                  <w:vMerge w:val="restart"/>
                  <w:vAlign w:val="center"/>
                </w:tcPr>
                <w:p w14:paraId="3D55D5EE">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w:t>
                  </w:r>
                </w:p>
              </w:tc>
              <w:tc>
                <w:tcPr>
                  <w:tcW w:w="2136" w:type="pct"/>
                  <w:gridSpan w:val="2"/>
                  <w:vAlign w:val="center"/>
                </w:tcPr>
                <w:p w14:paraId="20FCD15F">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涝淄河</w:t>
                  </w:r>
                </w:p>
              </w:tc>
              <w:tc>
                <w:tcPr>
                  <w:tcW w:w="1222" w:type="pct"/>
                  <w:vMerge w:val="restart"/>
                  <w:vAlign w:val="center"/>
                </w:tcPr>
                <w:p w14:paraId="1DF8EF0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《地表水环境质量标准》（GB3838-2002）V</w:t>
                  </w:r>
                  <w:r>
                    <w:rPr>
                      <w:rFonts w:hint="default" w:ascii="Times New Roman" w:hAnsi="Times New Roman" w:eastAsia="宋体" w:cs="Times New Roman"/>
                      <w:color w:val="auto"/>
                      <w:sz w:val="21"/>
                      <w:szCs w:val="21"/>
                      <w:lang w:val="zh-CN"/>
                    </w:rPr>
                    <w:t>类</w:t>
                  </w:r>
                  <w:r>
                    <w:rPr>
                      <w:rFonts w:hint="default" w:ascii="Times New Roman" w:hAnsi="Times New Roman" w:eastAsia="宋体" w:cs="Times New Roman"/>
                      <w:color w:val="auto"/>
                      <w:sz w:val="21"/>
                      <w:szCs w:val="21"/>
                    </w:rPr>
                    <w:t>标准</w:t>
                  </w:r>
                </w:p>
              </w:tc>
              <w:tc>
                <w:tcPr>
                  <w:tcW w:w="1150" w:type="pct"/>
                  <w:gridSpan w:val="2"/>
                  <w:vAlign w:val="center"/>
                </w:tcPr>
                <w:p w14:paraId="71F76869">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本次施工河道之一</w:t>
                  </w:r>
                </w:p>
              </w:tc>
            </w:tr>
            <w:tr w14:paraId="3FD1B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71" w:hRule="atLeast"/>
                <w:jc w:val="center"/>
              </w:trPr>
              <w:tc>
                <w:tcPr>
                  <w:tcW w:w="490" w:type="pct"/>
                  <w:vMerge w:val="continue"/>
                  <w:vAlign w:val="center"/>
                </w:tcPr>
                <w:p w14:paraId="740DB58E">
                  <w:pPr>
                    <w:jc w:val="center"/>
                    <w:rPr>
                      <w:rFonts w:hint="default" w:ascii="Times New Roman" w:hAnsi="Times New Roman" w:eastAsia="宋体" w:cs="Times New Roman"/>
                      <w:color w:val="auto"/>
                      <w:sz w:val="21"/>
                      <w:szCs w:val="21"/>
                    </w:rPr>
                  </w:pPr>
                </w:p>
              </w:tc>
              <w:tc>
                <w:tcPr>
                  <w:tcW w:w="2136" w:type="pct"/>
                  <w:gridSpan w:val="2"/>
                  <w:vAlign w:val="center"/>
                </w:tcPr>
                <w:p w14:paraId="4CFB03EB">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大高水库</w:t>
                  </w:r>
                </w:p>
              </w:tc>
              <w:tc>
                <w:tcPr>
                  <w:tcW w:w="1222" w:type="pct"/>
                  <w:vMerge w:val="continue"/>
                  <w:vAlign w:val="center"/>
                </w:tcPr>
                <w:p w14:paraId="54D2279C">
                  <w:pPr>
                    <w:jc w:val="center"/>
                    <w:rPr>
                      <w:rFonts w:hint="default" w:ascii="Times New Roman" w:hAnsi="Times New Roman" w:eastAsia="宋体" w:cs="Times New Roman"/>
                      <w:color w:val="auto"/>
                      <w:sz w:val="21"/>
                      <w:szCs w:val="21"/>
                    </w:rPr>
                  </w:pPr>
                </w:p>
              </w:tc>
              <w:tc>
                <w:tcPr>
                  <w:tcW w:w="514" w:type="pct"/>
                  <w:vAlign w:val="center"/>
                </w:tcPr>
                <w:p w14:paraId="1D467253">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S</w:t>
                  </w:r>
                </w:p>
              </w:tc>
              <w:tc>
                <w:tcPr>
                  <w:tcW w:w="635" w:type="pct"/>
                  <w:vAlign w:val="center"/>
                </w:tcPr>
                <w:p w14:paraId="329CAE26">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涝淄河上游</w:t>
                  </w:r>
                </w:p>
              </w:tc>
            </w:tr>
            <w:tr w14:paraId="121E7C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0" w:type="pct"/>
                  <w:vAlign w:val="center"/>
                </w:tcPr>
                <w:p w14:paraId="6ACE21D4">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p w14:paraId="00F4BFC0">
                  <w:pPr>
                    <w:autoSpaceDE w:val="0"/>
                    <w:autoSpaceDN w:val="0"/>
                    <w:jc w:val="center"/>
                    <w:rPr>
                      <w:rFonts w:hint="default" w:ascii="Times New Roman" w:hAnsi="Times New Roman" w:eastAsia="宋体" w:cs="Times New Roman"/>
                      <w:color w:val="auto"/>
                      <w:kern w:val="0"/>
                      <w:sz w:val="21"/>
                      <w:szCs w:val="21"/>
                      <w:highlight w:val="yellow"/>
                    </w:rPr>
                  </w:pPr>
                  <w:r>
                    <w:rPr>
                      <w:rFonts w:hint="default" w:ascii="Times New Roman" w:hAnsi="Times New Roman" w:eastAsia="宋体" w:cs="Times New Roman"/>
                      <w:color w:val="auto"/>
                      <w:kern w:val="0"/>
                      <w:sz w:val="21"/>
                      <w:szCs w:val="21"/>
                    </w:rPr>
                    <w:t>环境</w:t>
                  </w:r>
                </w:p>
              </w:tc>
              <w:tc>
                <w:tcPr>
                  <w:tcW w:w="4509" w:type="pct"/>
                  <w:gridSpan w:val="5"/>
                  <w:vAlign w:val="center"/>
                </w:tcPr>
                <w:p w14:paraId="486CD46F">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项目生态评价范围内无受影响的重要物种、生态敏感区以及其他需要保护的物种、种群、生物群落及生态空间等</w:t>
                  </w:r>
                </w:p>
              </w:tc>
            </w:tr>
          </w:tbl>
          <w:p w14:paraId="3E715D54">
            <w:pPr>
              <w:numPr>
                <w:ilvl w:val="0"/>
                <w:numId w:val="6"/>
              </w:numPr>
              <w:snapToGrid w:val="0"/>
              <w:spacing w:line="360" w:lineRule="auto"/>
              <w:ind w:left="560"/>
              <w:rPr>
                <w:color w:val="auto"/>
                <w:sz w:val="24"/>
              </w:rPr>
            </w:pPr>
            <w:r>
              <w:rPr>
                <w:color w:val="auto"/>
                <w:sz w:val="24"/>
              </w:rPr>
              <w:t>漫泗河</w:t>
            </w:r>
            <w:r>
              <w:rPr>
                <w:rFonts w:hint="eastAsia"/>
                <w:color w:val="auto"/>
                <w:sz w:val="24"/>
              </w:rPr>
              <w:t>：治理范围漫泗河村（一期治理终点）至旦村水库，总长约2.23</w:t>
            </w:r>
          </w:p>
          <w:p w14:paraId="32E00FDC">
            <w:pPr>
              <w:numPr>
                <w:ilvl w:val="0"/>
                <w:numId w:val="0"/>
              </w:numPr>
              <w:snapToGrid w:val="0"/>
              <w:spacing w:line="360" w:lineRule="auto"/>
              <w:rPr>
                <w:color w:val="auto"/>
                <w:sz w:val="24"/>
              </w:rPr>
            </w:pPr>
            <w:r>
              <w:rPr>
                <w:rFonts w:hint="eastAsia"/>
                <w:color w:val="auto"/>
                <w:sz w:val="24"/>
              </w:rPr>
              <w:t>公里。</w:t>
            </w:r>
          </w:p>
          <w:p w14:paraId="58CD3AF2">
            <w:pPr>
              <w:spacing w:before="120" w:beforeLines="50"/>
              <w:jc w:val="center"/>
              <w:rPr>
                <w:color w:val="auto"/>
                <w:szCs w:val="21"/>
              </w:rPr>
            </w:pPr>
            <w:r>
              <w:rPr>
                <w:b/>
                <w:bCs/>
                <w:color w:val="auto"/>
                <w:szCs w:val="21"/>
              </w:rPr>
              <w:t>表3-</w:t>
            </w:r>
            <w:r>
              <w:rPr>
                <w:rFonts w:hint="eastAsia"/>
                <w:b/>
                <w:bCs/>
                <w:color w:val="auto"/>
                <w:szCs w:val="21"/>
                <w:lang w:val="en-US" w:eastAsia="zh-CN"/>
              </w:rPr>
              <w:t>8</w:t>
            </w:r>
            <w:r>
              <w:rPr>
                <w:b/>
                <w:bCs/>
                <w:color w:val="auto"/>
                <w:szCs w:val="21"/>
              </w:rPr>
              <w:t xml:space="preserve">  经开区内漫泗河工程主要环境保护目标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1"/>
              <w:gridCol w:w="2464"/>
              <w:gridCol w:w="1045"/>
              <w:gridCol w:w="2008"/>
              <w:gridCol w:w="844"/>
              <w:gridCol w:w="1060"/>
            </w:tblGrid>
            <w:tr w14:paraId="4A9B0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2" w:type="pct"/>
                  <w:vAlign w:val="center"/>
                </w:tcPr>
                <w:p w14:paraId="545B2F74">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4938514D">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类别</w:t>
                  </w:r>
                </w:p>
              </w:tc>
              <w:tc>
                <w:tcPr>
                  <w:tcW w:w="1500" w:type="pct"/>
                  <w:vAlign w:val="center"/>
                </w:tcPr>
                <w:p w14:paraId="1093E0D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保护对象</w:t>
                  </w:r>
                </w:p>
              </w:tc>
              <w:tc>
                <w:tcPr>
                  <w:tcW w:w="635" w:type="pct"/>
                  <w:vAlign w:val="center"/>
                </w:tcPr>
                <w:p w14:paraId="1425B19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051994CB">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内容</w:t>
                  </w:r>
                </w:p>
              </w:tc>
              <w:tc>
                <w:tcPr>
                  <w:tcW w:w="1222" w:type="pct"/>
                  <w:vAlign w:val="center"/>
                </w:tcPr>
                <w:p w14:paraId="416DDB0E">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环境功能区</w:t>
                  </w:r>
                </w:p>
              </w:tc>
              <w:tc>
                <w:tcPr>
                  <w:tcW w:w="514" w:type="pct"/>
                  <w:vAlign w:val="center"/>
                </w:tcPr>
                <w:p w14:paraId="2E79817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相对河道方位</w:t>
                  </w:r>
                </w:p>
              </w:tc>
              <w:tc>
                <w:tcPr>
                  <w:tcW w:w="644" w:type="pct"/>
                  <w:vAlign w:val="center"/>
                </w:tcPr>
                <w:p w14:paraId="0668F38D">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w:t>
                  </w:r>
                </w:p>
                <w:p w14:paraId="03540D9E">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距离（m）</w:t>
                  </w:r>
                </w:p>
              </w:tc>
            </w:tr>
            <w:tr w14:paraId="5857B9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3928AFF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w:t>
                  </w:r>
                </w:p>
                <w:p w14:paraId="68F3CEF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tc>
              <w:tc>
                <w:tcPr>
                  <w:tcW w:w="1500" w:type="pct"/>
                  <w:shd w:val="clear" w:color="auto" w:fill="auto"/>
                  <w:vAlign w:val="center"/>
                </w:tcPr>
                <w:p w14:paraId="6C583FC2">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小旦村</w:t>
                  </w:r>
                </w:p>
              </w:tc>
              <w:tc>
                <w:tcPr>
                  <w:tcW w:w="635" w:type="pct"/>
                  <w:shd w:val="clear" w:color="auto" w:fill="auto"/>
                  <w:vAlign w:val="center"/>
                </w:tcPr>
                <w:p w14:paraId="1092E7BF">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restart"/>
                  <w:vAlign w:val="center"/>
                </w:tcPr>
                <w:p w14:paraId="6ED13E03">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《环境空气质量标准》（GB3095-20</w:t>
                  </w:r>
                  <w:r>
                    <w:rPr>
                      <w:rFonts w:hint="eastAsia" w:cs="Times New Roman"/>
                      <w:bCs/>
                      <w:color w:val="auto"/>
                      <w:sz w:val="21"/>
                      <w:szCs w:val="21"/>
                      <w:lang w:val="en-US" w:eastAsia="zh-CN"/>
                    </w:rPr>
                    <w:t>26</w:t>
                  </w:r>
                  <w:r>
                    <w:rPr>
                      <w:rFonts w:hint="default" w:ascii="Times New Roman" w:hAnsi="Times New Roman" w:eastAsia="宋体" w:cs="Times New Roman"/>
                      <w:bCs/>
                      <w:color w:val="auto"/>
                      <w:sz w:val="21"/>
                      <w:szCs w:val="21"/>
                    </w:rPr>
                    <w:t>）</w:t>
                  </w:r>
                  <w:r>
                    <w:rPr>
                      <w:rFonts w:hint="eastAsia"/>
                      <w:bCs/>
                      <w:color w:val="auto"/>
                      <w:szCs w:val="21"/>
                      <w:highlight w:val="none"/>
                      <w:lang w:eastAsia="zh-CN"/>
                    </w:rPr>
                    <w:t>过渡阶段</w:t>
                  </w:r>
                  <w:r>
                    <w:rPr>
                      <w:rFonts w:hint="default" w:ascii="Times New Roman" w:hAnsi="Times New Roman" w:eastAsia="宋体" w:cs="Times New Roman"/>
                      <w:bCs/>
                      <w:color w:val="auto"/>
                      <w:sz w:val="21"/>
                      <w:szCs w:val="21"/>
                    </w:rPr>
                    <w:t>二级标准</w:t>
                  </w:r>
                </w:p>
              </w:tc>
              <w:tc>
                <w:tcPr>
                  <w:tcW w:w="514" w:type="pct"/>
                  <w:shd w:val="clear" w:color="auto" w:fill="auto"/>
                  <w:vAlign w:val="center"/>
                </w:tcPr>
                <w:p w14:paraId="6C44D8B2">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w:t>
                  </w:r>
                </w:p>
              </w:tc>
              <w:tc>
                <w:tcPr>
                  <w:tcW w:w="644" w:type="pct"/>
                  <w:shd w:val="clear" w:color="auto" w:fill="auto"/>
                  <w:vAlign w:val="center"/>
                </w:tcPr>
                <w:p w14:paraId="283A1C2D">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25</w:t>
                  </w:r>
                </w:p>
              </w:tc>
            </w:tr>
            <w:tr w14:paraId="3DE29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387049BC">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46C9764E">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大旦村</w:t>
                  </w:r>
                </w:p>
              </w:tc>
              <w:tc>
                <w:tcPr>
                  <w:tcW w:w="635" w:type="pct"/>
                  <w:shd w:val="clear" w:color="auto" w:fill="auto"/>
                  <w:vAlign w:val="center"/>
                </w:tcPr>
                <w:p w14:paraId="39CC7357">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7371A4BF">
                  <w:pPr>
                    <w:widowControl/>
                    <w:jc w:val="center"/>
                    <w:rPr>
                      <w:rFonts w:hint="default" w:ascii="Times New Roman" w:hAnsi="Times New Roman" w:eastAsia="宋体" w:cs="Times New Roman"/>
                      <w:color w:val="auto"/>
                      <w:kern w:val="0"/>
                      <w:sz w:val="21"/>
                      <w:szCs w:val="21"/>
                    </w:rPr>
                  </w:pPr>
                </w:p>
              </w:tc>
              <w:tc>
                <w:tcPr>
                  <w:tcW w:w="514" w:type="pct"/>
                  <w:shd w:val="clear" w:color="auto" w:fill="auto"/>
                  <w:vAlign w:val="center"/>
                </w:tcPr>
                <w:p w14:paraId="69CA32EA">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E</w:t>
                  </w:r>
                </w:p>
              </w:tc>
              <w:tc>
                <w:tcPr>
                  <w:tcW w:w="644" w:type="pct"/>
                  <w:shd w:val="clear" w:color="auto" w:fill="auto"/>
                  <w:vAlign w:val="center"/>
                </w:tcPr>
                <w:p w14:paraId="0D101AD8">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120</w:t>
                  </w:r>
                </w:p>
              </w:tc>
            </w:tr>
            <w:tr w14:paraId="5A37C8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37C13782">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0A7B3C10">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漫泗河村</w:t>
                  </w:r>
                </w:p>
              </w:tc>
              <w:tc>
                <w:tcPr>
                  <w:tcW w:w="635" w:type="pct"/>
                  <w:shd w:val="clear" w:color="auto" w:fill="auto"/>
                  <w:vAlign w:val="center"/>
                </w:tcPr>
                <w:p w14:paraId="34BBF061">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2901866B">
                  <w:pPr>
                    <w:widowControl/>
                    <w:jc w:val="center"/>
                    <w:rPr>
                      <w:rFonts w:hint="default" w:ascii="Times New Roman" w:hAnsi="Times New Roman" w:eastAsia="宋体" w:cs="Times New Roman"/>
                      <w:color w:val="auto"/>
                      <w:kern w:val="0"/>
                      <w:sz w:val="21"/>
                      <w:szCs w:val="21"/>
                    </w:rPr>
                  </w:pPr>
                </w:p>
              </w:tc>
              <w:tc>
                <w:tcPr>
                  <w:tcW w:w="514" w:type="pct"/>
                  <w:shd w:val="clear" w:color="auto" w:fill="auto"/>
                  <w:vAlign w:val="center"/>
                </w:tcPr>
                <w:p w14:paraId="3A8E6DC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N</w:t>
                  </w:r>
                </w:p>
              </w:tc>
              <w:tc>
                <w:tcPr>
                  <w:tcW w:w="644" w:type="pct"/>
                  <w:shd w:val="clear" w:color="auto" w:fill="auto"/>
                  <w:vAlign w:val="center"/>
                </w:tcPr>
                <w:p w14:paraId="0516E40F">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r>
            <w:tr w14:paraId="1BC99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5E167B07">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声环境</w:t>
                  </w:r>
                </w:p>
              </w:tc>
              <w:tc>
                <w:tcPr>
                  <w:tcW w:w="1500" w:type="pct"/>
                  <w:shd w:val="clear" w:color="auto" w:fill="auto"/>
                  <w:vAlign w:val="center"/>
                </w:tcPr>
                <w:p w14:paraId="1F7A9130">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小旦村</w:t>
                  </w:r>
                </w:p>
              </w:tc>
              <w:tc>
                <w:tcPr>
                  <w:tcW w:w="635" w:type="pct"/>
                  <w:shd w:val="clear" w:color="auto" w:fill="auto"/>
                  <w:vAlign w:val="center"/>
                </w:tcPr>
                <w:p w14:paraId="3C20A984">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restart"/>
                  <w:vAlign w:val="center"/>
                </w:tcPr>
                <w:p w14:paraId="4C1406F1">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《声环境质量标准》（GB3096-2008）的2类声环境功能区要求</w:t>
                  </w:r>
                </w:p>
              </w:tc>
              <w:tc>
                <w:tcPr>
                  <w:tcW w:w="514" w:type="pct"/>
                  <w:shd w:val="clear" w:color="auto" w:fill="auto"/>
                  <w:vAlign w:val="center"/>
                </w:tcPr>
                <w:p w14:paraId="375B2B29">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w:t>
                  </w:r>
                </w:p>
              </w:tc>
              <w:tc>
                <w:tcPr>
                  <w:tcW w:w="644" w:type="pct"/>
                  <w:shd w:val="clear" w:color="auto" w:fill="auto"/>
                  <w:vAlign w:val="center"/>
                </w:tcPr>
                <w:p w14:paraId="3F93950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25</w:t>
                  </w:r>
                </w:p>
              </w:tc>
            </w:tr>
            <w:tr w14:paraId="073B77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1F8B362B">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3AA9D8C0">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大旦村</w:t>
                  </w:r>
                </w:p>
              </w:tc>
              <w:tc>
                <w:tcPr>
                  <w:tcW w:w="635" w:type="pct"/>
                  <w:shd w:val="clear" w:color="auto" w:fill="auto"/>
                  <w:vAlign w:val="center"/>
                </w:tcPr>
                <w:p w14:paraId="20ED2262">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444CBAE8">
                  <w:pPr>
                    <w:autoSpaceDE w:val="0"/>
                    <w:autoSpaceDN w:val="0"/>
                    <w:jc w:val="center"/>
                    <w:rPr>
                      <w:rFonts w:hint="default" w:ascii="Times New Roman" w:hAnsi="Times New Roman" w:eastAsia="宋体" w:cs="Times New Roman"/>
                      <w:color w:val="auto"/>
                      <w:sz w:val="21"/>
                      <w:szCs w:val="21"/>
                    </w:rPr>
                  </w:pPr>
                </w:p>
              </w:tc>
              <w:tc>
                <w:tcPr>
                  <w:tcW w:w="514" w:type="pct"/>
                  <w:shd w:val="clear" w:color="auto" w:fill="auto"/>
                  <w:vAlign w:val="center"/>
                </w:tcPr>
                <w:p w14:paraId="4EAB1DB0">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E</w:t>
                  </w:r>
                </w:p>
              </w:tc>
              <w:tc>
                <w:tcPr>
                  <w:tcW w:w="644" w:type="pct"/>
                  <w:shd w:val="clear" w:color="auto" w:fill="auto"/>
                  <w:vAlign w:val="center"/>
                </w:tcPr>
                <w:p w14:paraId="159EC6C0">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120</w:t>
                  </w:r>
                </w:p>
              </w:tc>
            </w:tr>
            <w:tr w14:paraId="44EC28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0F555254">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57441C3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漫泗河村</w:t>
                  </w:r>
                </w:p>
              </w:tc>
              <w:tc>
                <w:tcPr>
                  <w:tcW w:w="635" w:type="pct"/>
                  <w:shd w:val="clear" w:color="auto" w:fill="auto"/>
                  <w:vAlign w:val="center"/>
                </w:tcPr>
                <w:p w14:paraId="6AFBFAB8">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5FCE4546">
                  <w:pPr>
                    <w:autoSpaceDE w:val="0"/>
                    <w:autoSpaceDN w:val="0"/>
                    <w:jc w:val="center"/>
                    <w:rPr>
                      <w:rFonts w:hint="default" w:ascii="Times New Roman" w:hAnsi="Times New Roman" w:eastAsia="宋体" w:cs="Times New Roman"/>
                      <w:color w:val="auto"/>
                      <w:sz w:val="21"/>
                      <w:szCs w:val="21"/>
                    </w:rPr>
                  </w:pPr>
                </w:p>
              </w:tc>
              <w:tc>
                <w:tcPr>
                  <w:tcW w:w="514" w:type="pct"/>
                  <w:shd w:val="clear" w:color="auto" w:fill="auto"/>
                  <w:vAlign w:val="center"/>
                </w:tcPr>
                <w:p w14:paraId="074485F2">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N</w:t>
                  </w:r>
                </w:p>
              </w:tc>
              <w:tc>
                <w:tcPr>
                  <w:tcW w:w="644" w:type="pct"/>
                  <w:shd w:val="clear" w:color="auto" w:fill="auto"/>
                  <w:vAlign w:val="center"/>
                </w:tcPr>
                <w:p w14:paraId="6AD33D86">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r>
            <w:tr w14:paraId="3B9F08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1B151AF0">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地下水环境</w:t>
                  </w:r>
                </w:p>
              </w:tc>
              <w:tc>
                <w:tcPr>
                  <w:tcW w:w="2136" w:type="pct"/>
                  <w:gridSpan w:val="2"/>
                  <w:vAlign w:val="center"/>
                </w:tcPr>
                <w:p w14:paraId="13B736AB">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厂界外500米范围内无地下水集中式饮用水源和热水、矿泉水、温泉等特殊地下水资源</w:t>
                  </w:r>
                </w:p>
              </w:tc>
              <w:tc>
                <w:tcPr>
                  <w:tcW w:w="1222" w:type="pct"/>
                  <w:vAlign w:val="center"/>
                </w:tcPr>
                <w:p w14:paraId="76B8EA8D">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《地下水质量标准》（GB/T14848-2017）Ⅲ类标准</w:t>
                  </w:r>
                </w:p>
              </w:tc>
              <w:tc>
                <w:tcPr>
                  <w:tcW w:w="514" w:type="pct"/>
                  <w:vAlign w:val="center"/>
                </w:tcPr>
                <w:p w14:paraId="2F0B186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44" w:type="pct"/>
                  <w:vAlign w:val="center"/>
                </w:tcPr>
                <w:p w14:paraId="57B45147">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r>
            <w:tr w14:paraId="37486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5F1706EC">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地表水</w:t>
                  </w:r>
                </w:p>
              </w:tc>
              <w:tc>
                <w:tcPr>
                  <w:tcW w:w="2136" w:type="pct"/>
                  <w:gridSpan w:val="2"/>
                  <w:vAlign w:val="center"/>
                </w:tcPr>
                <w:p w14:paraId="11716A72">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漫泗河</w:t>
                  </w:r>
                </w:p>
              </w:tc>
              <w:tc>
                <w:tcPr>
                  <w:tcW w:w="1222" w:type="pct"/>
                  <w:vAlign w:val="center"/>
                </w:tcPr>
                <w:p w14:paraId="470D61A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color w:val="auto"/>
                      <w:spacing w:val="-2"/>
                      <w:sz w:val="21"/>
                      <w:szCs w:val="21"/>
                    </w:rPr>
                    <w:t>V</w:t>
                  </w:r>
                  <w:r>
                    <w:rPr>
                      <w:rFonts w:hint="default" w:ascii="Times New Roman" w:hAnsi="Times New Roman" w:eastAsia="宋体" w:cs="Times New Roman"/>
                      <w:color w:val="auto"/>
                      <w:sz w:val="21"/>
                      <w:szCs w:val="21"/>
                    </w:rPr>
                    <w:t>类标准</w:t>
                  </w:r>
                </w:p>
              </w:tc>
              <w:tc>
                <w:tcPr>
                  <w:tcW w:w="1158" w:type="pct"/>
                  <w:gridSpan w:val="2"/>
                  <w:vAlign w:val="center"/>
                </w:tcPr>
                <w:p w14:paraId="6768B72F">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本次施工河道之一</w:t>
                  </w:r>
                </w:p>
              </w:tc>
            </w:tr>
            <w:tr w14:paraId="4F0770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707D0FB1">
                  <w:pPr>
                    <w:jc w:val="center"/>
                    <w:rPr>
                      <w:rFonts w:hint="default" w:ascii="Times New Roman" w:hAnsi="Times New Roman" w:eastAsia="宋体" w:cs="Times New Roman"/>
                      <w:color w:val="auto"/>
                      <w:sz w:val="21"/>
                      <w:szCs w:val="21"/>
                    </w:rPr>
                  </w:pPr>
                </w:p>
              </w:tc>
              <w:tc>
                <w:tcPr>
                  <w:tcW w:w="2136" w:type="pct"/>
                  <w:gridSpan w:val="2"/>
                  <w:vAlign w:val="center"/>
                </w:tcPr>
                <w:p w14:paraId="08CFEF04">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孝妇河</w:t>
                  </w:r>
                </w:p>
              </w:tc>
              <w:tc>
                <w:tcPr>
                  <w:tcW w:w="1222" w:type="pct"/>
                  <w:vAlign w:val="center"/>
                </w:tcPr>
                <w:p w14:paraId="2C112DB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《地表水环境质量标准》（GB3838-2002）IV类标准</w:t>
                  </w:r>
                </w:p>
              </w:tc>
              <w:tc>
                <w:tcPr>
                  <w:tcW w:w="1158" w:type="pct"/>
                  <w:gridSpan w:val="2"/>
                  <w:vAlign w:val="center"/>
                </w:tcPr>
                <w:p w14:paraId="2A13A757">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漫泗河汇入孝妇河</w:t>
                  </w:r>
                </w:p>
              </w:tc>
            </w:tr>
            <w:tr w14:paraId="190382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6B78708E">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p w14:paraId="0682EDE7">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tc>
              <w:tc>
                <w:tcPr>
                  <w:tcW w:w="4517" w:type="pct"/>
                  <w:gridSpan w:val="5"/>
                  <w:vAlign w:val="center"/>
                </w:tcPr>
                <w:p w14:paraId="67ED6333">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项目生态评价范围内无受影响的重要物种、生态敏感区以及其他需要保护的物种、种群、生物群落及生态空间等</w:t>
                  </w:r>
                </w:p>
              </w:tc>
            </w:tr>
          </w:tbl>
          <w:p w14:paraId="36BCF1AC">
            <w:pPr>
              <w:numPr>
                <w:ilvl w:val="0"/>
                <w:numId w:val="6"/>
              </w:numPr>
              <w:snapToGrid w:val="0"/>
              <w:spacing w:line="360" w:lineRule="auto"/>
              <w:ind w:left="560" w:leftChars="0" w:firstLine="0" w:firstLineChars="0"/>
              <w:rPr>
                <w:rFonts w:hint="eastAsia"/>
                <w:color w:val="auto"/>
                <w:sz w:val="24"/>
              </w:rPr>
            </w:pPr>
            <w:r>
              <w:rPr>
                <w:rFonts w:hint="eastAsia"/>
                <w:color w:val="auto"/>
                <w:sz w:val="24"/>
              </w:rPr>
              <w:t>东猪龙河上游东支</w:t>
            </w:r>
          </w:p>
          <w:p w14:paraId="1809D86C">
            <w:pPr>
              <w:spacing w:before="120" w:beforeLines="50"/>
              <w:jc w:val="center"/>
              <w:rPr>
                <w:color w:val="auto"/>
                <w:szCs w:val="21"/>
              </w:rPr>
            </w:pPr>
            <w:r>
              <w:rPr>
                <w:b/>
                <w:bCs/>
                <w:color w:val="auto"/>
                <w:szCs w:val="21"/>
              </w:rPr>
              <w:t>表3-</w:t>
            </w:r>
            <w:r>
              <w:rPr>
                <w:rFonts w:hint="eastAsia"/>
                <w:b/>
                <w:bCs/>
                <w:color w:val="auto"/>
                <w:szCs w:val="21"/>
                <w:lang w:val="en-US" w:eastAsia="zh-CN"/>
              </w:rPr>
              <w:t>9</w:t>
            </w:r>
            <w:r>
              <w:rPr>
                <w:b/>
                <w:bCs/>
                <w:color w:val="auto"/>
                <w:szCs w:val="21"/>
              </w:rPr>
              <w:t xml:space="preserve">  经开区内</w:t>
            </w:r>
            <w:r>
              <w:rPr>
                <w:rFonts w:hint="eastAsia"/>
                <w:b/>
                <w:bCs/>
                <w:color w:val="auto"/>
                <w:szCs w:val="21"/>
                <w:lang w:eastAsia="zh-CN"/>
              </w:rPr>
              <w:t>东猪龙河上游东支</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8"/>
              <w:gridCol w:w="2464"/>
              <w:gridCol w:w="1045"/>
              <w:gridCol w:w="2008"/>
              <w:gridCol w:w="844"/>
              <w:gridCol w:w="1053"/>
            </w:tblGrid>
            <w:tr w14:paraId="1BCD0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6" w:type="pct"/>
                  <w:vAlign w:val="center"/>
                </w:tcPr>
                <w:p w14:paraId="0990241C">
                  <w:pPr>
                    <w:autoSpaceDE w:val="0"/>
                    <w:autoSpaceDN w:val="0"/>
                    <w:jc w:val="center"/>
                    <w:rPr>
                      <w:color w:val="auto"/>
                      <w:kern w:val="0"/>
                      <w:szCs w:val="21"/>
                    </w:rPr>
                  </w:pPr>
                  <w:r>
                    <w:rPr>
                      <w:color w:val="auto"/>
                      <w:kern w:val="0"/>
                      <w:szCs w:val="21"/>
                    </w:rPr>
                    <w:t>保护</w:t>
                  </w:r>
                </w:p>
                <w:p w14:paraId="79C60ABA">
                  <w:pPr>
                    <w:autoSpaceDE w:val="0"/>
                    <w:autoSpaceDN w:val="0"/>
                    <w:jc w:val="center"/>
                    <w:rPr>
                      <w:color w:val="auto"/>
                      <w:kern w:val="0"/>
                      <w:szCs w:val="21"/>
                    </w:rPr>
                  </w:pPr>
                  <w:r>
                    <w:rPr>
                      <w:color w:val="auto"/>
                      <w:kern w:val="0"/>
                      <w:szCs w:val="21"/>
                    </w:rPr>
                    <w:t>类别</w:t>
                  </w:r>
                </w:p>
              </w:tc>
              <w:tc>
                <w:tcPr>
                  <w:tcW w:w="1500" w:type="pct"/>
                  <w:vAlign w:val="center"/>
                </w:tcPr>
                <w:p w14:paraId="3D96897E">
                  <w:pPr>
                    <w:autoSpaceDE w:val="0"/>
                    <w:autoSpaceDN w:val="0"/>
                    <w:jc w:val="center"/>
                    <w:rPr>
                      <w:color w:val="auto"/>
                      <w:kern w:val="0"/>
                      <w:szCs w:val="21"/>
                    </w:rPr>
                  </w:pPr>
                  <w:r>
                    <w:rPr>
                      <w:color w:val="auto"/>
                      <w:kern w:val="0"/>
                      <w:szCs w:val="21"/>
                    </w:rPr>
                    <w:t>保护对象</w:t>
                  </w:r>
                </w:p>
              </w:tc>
              <w:tc>
                <w:tcPr>
                  <w:tcW w:w="635" w:type="pct"/>
                  <w:vAlign w:val="center"/>
                </w:tcPr>
                <w:p w14:paraId="53256D6E">
                  <w:pPr>
                    <w:autoSpaceDE w:val="0"/>
                    <w:autoSpaceDN w:val="0"/>
                    <w:jc w:val="center"/>
                    <w:rPr>
                      <w:color w:val="auto"/>
                      <w:kern w:val="0"/>
                      <w:szCs w:val="21"/>
                    </w:rPr>
                  </w:pPr>
                  <w:r>
                    <w:rPr>
                      <w:color w:val="auto"/>
                      <w:kern w:val="0"/>
                      <w:szCs w:val="21"/>
                    </w:rPr>
                    <w:t>保护</w:t>
                  </w:r>
                </w:p>
                <w:p w14:paraId="5DE3F9D0">
                  <w:pPr>
                    <w:autoSpaceDE w:val="0"/>
                    <w:autoSpaceDN w:val="0"/>
                    <w:jc w:val="center"/>
                    <w:rPr>
                      <w:color w:val="auto"/>
                      <w:kern w:val="0"/>
                      <w:szCs w:val="21"/>
                    </w:rPr>
                  </w:pPr>
                  <w:r>
                    <w:rPr>
                      <w:color w:val="auto"/>
                      <w:kern w:val="0"/>
                      <w:szCs w:val="21"/>
                    </w:rPr>
                    <w:t>内容</w:t>
                  </w:r>
                </w:p>
              </w:tc>
              <w:tc>
                <w:tcPr>
                  <w:tcW w:w="1222" w:type="pct"/>
                  <w:vAlign w:val="center"/>
                </w:tcPr>
                <w:p w14:paraId="0DF38D23">
                  <w:pPr>
                    <w:autoSpaceDE w:val="0"/>
                    <w:autoSpaceDN w:val="0"/>
                    <w:jc w:val="center"/>
                    <w:rPr>
                      <w:color w:val="auto"/>
                      <w:kern w:val="0"/>
                      <w:szCs w:val="21"/>
                    </w:rPr>
                  </w:pPr>
                  <w:r>
                    <w:rPr>
                      <w:color w:val="auto"/>
                      <w:kern w:val="0"/>
                      <w:szCs w:val="21"/>
                    </w:rPr>
                    <w:t>环境功能区</w:t>
                  </w:r>
                </w:p>
              </w:tc>
              <w:tc>
                <w:tcPr>
                  <w:tcW w:w="514" w:type="pct"/>
                  <w:vAlign w:val="center"/>
                </w:tcPr>
                <w:p w14:paraId="537A32C2">
                  <w:pPr>
                    <w:autoSpaceDE w:val="0"/>
                    <w:autoSpaceDN w:val="0"/>
                    <w:jc w:val="center"/>
                    <w:rPr>
                      <w:color w:val="auto"/>
                      <w:kern w:val="0"/>
                      <w:szCs w:val="21"/>
                    </w:rPr>
                  </w:pPr>
                  <w:r>
                    <w:rPr>
                      <w:color w:val="auto"/>
                      <w:kern w:val="0"/>
                      <w:szCs w:val="21"/>
                    </w:rPr>
                    <w:t>相对河道方位</w:t>
                  </w:r>
                </w:p>
              </w:tc>
              <w:tc>
                <w:tcPr>
                  <w:tcW w:w="640" w:type="pct"/>
                  <w:vAlign w:val="center"/>
                </w:tcPr>
                <w:p w14:paraId="11FA1B6A">
                  <w:pPr>
                    <w:autoSpaceDE w:val="0"/>
                    <w:autoSpaceDN w:val="0"/>
                    <w:jc w:val="center"/>
                    <w:rPr>
                      <w:color w:val="auto"/>
                      <w:kern w:val="0"/>
                      <w:szCs w:val="21"/>
                    </w:rPr>
                  </w:pPr>
                  <w:r>
                    <w:rPr>
                      <w:color w:val="auto"/>
                      <w:kern w:val="0"/>
                      <w:szCs w:val="21"/>
                    </w:rPr>
                    <w:t>相对河道</w:t>
                  </w:r>
                </w:p>
                <w:p w14:paraId="42FA6A4E">
                  <w:pPr>
                    <w:autoSpaceDE w:val="0"/>
                    <w:autoSpaceDN w:val="0"/>
                    <w:jc w:val="center"/>
                    <w:rPr>
                      <w:color w:val="auto"/>
                      <w:kern w:val="0"/>
                      <w:szCs w:val="21"/>
                    </w:rPr>
                  </w:pPr>
                  <w:r>
                    <w:rPr>
                      <w:color w:val="auto"/>
                      <w:kern w:val="0"/>
                      <w:szCs w:val="21"/>
                    </w:rPr>
                    <w:t>距离（m）</w:t>
                  </w:r>
                </w:p>
              </w:tc>
            </w:tr>
            <w:tr w14:paraId="3020F9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restart"/>
                  <w:vAlign w:val="center"/>
                </w:tcPr>
                <w:p w14:paraId="228740F9">
                  <w:pPr>
                    <w:autoSpaceDE w:val="0"/>
                    <w:autoSpaceDN w:val="0"/>
                    <w:jc w:val="center"/>
                    <w:rPr>
                      <w:color w:val="auto"/>
                      <w:kern w:val="0"/>
                      <w:szCs w:val="21"/>
                      <w:highlight w:val="none"/>
                    </w:rPr>
                  </w:pPr>
                  <w:r>
                    <w:rPr>
                      <w:color w:val="auto"/>
                      <w:kern w:val="0"/>
                      <w:szCs w:val="21"/>
                      <w:highlight w:val="none"/>
                    </w:rPr>
                    <w:t>大气</w:t>
                  </w:r>
                </w:p>
                <w:p w14:paraId="39D452EB">
                  <w:pPr>
                    <w:autoSpaceDE w:val="0"/>
                    <w:autoSpaceDN w:val="0"/>
                    <w:jc w:val="center"/>
                    <w:rPr>
                      <w:color w:val="auto"/>
                      <w:kern w:val="0"/>
                      <w:szCs w:val="21"/>
                      <w:highlight w:val="none"/>
                    </w:rPr>
                  </w:pPr>
                  <w:r>
                    <w:rPr>
                      <w:color w:val="auto"/>
                      <w:kern w:val="0"/>
                      <w:szCs w:val="21"/>
                      <w:highlight w:val="none"/>
                    </w:rPr>
                    <w:t>环境</w:t>
                  </w:r>
                </w:p>
              </w:tc>
              <w:tc>
                <w:tcPr>
                  <w:tcW w:w="1500" w:type="pct"/>
                  <w:vAlign w:val="center"/>
                </w:tcPr>
                <w:p w14:paraId="217DDFA2">
                  <w:pPr>
                    <w:jc w:val="center"/>
                    <w:rPr>
                      <w:rFonts w:hint="eastAsia" w:eastAsia="宋体"/>
                      <w:color w:val="auto"/>
                      <w:kern w:val="0"/>
                      <w:szCs w:val="21"/>
                      <w:highlight w:val="none"/>
                      <w:lang w:eastAsia="zh-CN"/>
                    </w:rPr>
                  </w:pPr>
                  <w:r>
                    <w:rPr>
                      <w:rFonts w:hint="eastAsia"/>
                      <w:color w:val="auto"/>
                      <w:kern w:val="0"/>
                      <w:szCs w:val="21"/>
                      <w:highlight w:val="none"/>
                      <w:lang w:eastAsia="zh-CN"/>
                    </w:rPr>
                    <w:t>朝阳馨居</w:t>
                  </w:r>
                </w:p>
              </w:tc>
              <w:tc>
                <w:tcPr>
                  <w:tcW w:w="635" w:type="pct"/>
                  <w:vAlign w:val="center"/>
                </w:tcPr>
                <w:p w14:paraId="74F910A8">
                  <w:pPr>
                    <w:autoSpaceDE w:val="0"/>
                    <w:autoSpaceDN w:val="0"/>
                    <w:jc w:val="center"/>
                    <w:rPr>
                      <w:color w:val="auto"/>
                      <w:kern w:val="0"/>
                      <w:szCs w:val="21"/>
                      <w:highlight w:val="none"/>
                    </w:rPr>
                  </w:pPr>
                  <w:r>
                    <w:rPr>
                      <w:color w:val="auto"/>
                      <w:kern w:val="0"/>
                      <w:szCs w:val="21"/>
                      <w:highlight w:val="none"/>
                    </w:rPr>
                    <w:t>居民</w:t>
                  </w:r>
                </w:p>
              </w:tc>
              <w:tc>
                <w:tcPr>
                  <w:tcW w:w="1222" w:type="pct"/>
                  <w:vMerge w:val="restart"/>
                  <w:vAlign w:val="center"/>
                </w:tcPr>
                <w:p w14:paraId="1200EFD3">
                  <w:pPr>
                    <w:autoSpaceDE w:val="0"/>
                    <w:autoSpaceDN w:val="0"/>
                    <w:jc w:val="center"/>
                    <w:rPr>
                      <w:color w:val="auto"/>
                      <w:kern w:val="0"/>
                      <w:szCs w:val="21"/>
                      <w:highlight w:val="none"/>
                    </w:rPr>
                  </w:pPr>
                  <w:r>
                    <w:rPr>
                      <w:bCs/>
                      <w:color w:val="auto"/>
                      <w:szCs w:val="21"/>
                      <w:highlight w:val="none"/>
                    </w:rPr>
                    <w:t>《环境空气质量标准》（GB3095-20</w:t>
                  </w:r>
                  <w:r>
                    <w:rPr>
                      <w:rFonts w:hint="eastAsia"/>
                      <w:bCs/>
                      <w:color w:val="auto"/>
                      <w:szCs w:val="21"/>
                      <w:highlight w:val="none"/>
                      <w:lang w:val="en-US" w:eastAsia="zh-CN"/>
                    </w:rPr>
                    <w:t>26</w:t>
                  </w:r>
                  <w:r>
                    <w:rPr>
                      <w:bCs/>
                      <w:color w:val="auto"/>
                      <w:szCs w:val="21"/>
                      <w:highlight w:val="none"/>
                    </w:rPr>
                    <w:t>）</w:t>
                  </w:r>
                  <w:r>
                    <w:rPr>
                      <w:rFonts w:hint="eastAsia"/>
                      <w:bCs/>
                      <w:color w:val="auto"/>
                      <w:szCs w:val="21"/>
                      <w:highlight w:val="none"/>
                      <w:lang w:eastAsia="zh-CN"/>
                    </w:rPr>
                    <w:t>过渡阶段</w:t>
                  </w:r>
                  <w:r>
                    <w:rPr>
                      <w:bCs/>
                      <w:color w:val="auto"/>
                      <w:szCs w:val="21"/>
                      <w:highlight w:val="none"/>
                    </w:rPr>
                    <w:t>二级标准</w:t>
                  </w:r>
                </w:p>
              </w:tc>
              <w:tc>
                <w:tcPr>
                  <w:tcW w:w="514" w:type="pct"/>
                  <w:vAlign w:val="center"/>
                </w:tcPr>
                <w:p w14:paraId="48FD2F9E">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WN</w:t>
                  </w:r>
                </w:p>
              </w:tc>
              <w:tc>
                <w:tcPr>
                  <w:tcW w:w="640" w:type="pct"/>
                  <w:vAlign w:val="center"/>
                </w:tcPr>
                <w:p w14:paraId="3418A28E">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115</w:t>
                  </w:r>
                </w:p>
              </w:tc>
            </w:tr>
            <w:tr w14:paraId="101107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7C0F99A1">
                  <w:pPr>
                    <w:widowControl/>
                    <w:jc w:val="center"/>
                    <w:rPr>
                      <w:color w:val="auto"/>
                      <w:kern w:val="0"/>
                      <w:szCs w:val="21"/>
                      <w:highlight w:val="none"/>
                    </w:rPr>
                  </w:pPr>
                </w:p>
              </w:tc>
              <w:tc>
                <w:tcPr>
                  <w:tcW w:w="1500" w:type="pct"/>
                  <w:vAlign w:val="center"/>
                </w:tcPr>
                <w:p w14:paraId="7D85AD4C">
                  <w:pPr>
                    <w:jc w:val="center"/>
                    <w:rPr>
                      <w:rFonts w:hint="eastAsia" w:eastAsia="宋体"/>
                      <w:color w:val="auto"/>
                      <w:kern w:val="0"/>
                      <w:szCs w:val="21"/>
                      <w:highlight w:val="none"/>
                      <w:lang w:eastAsia="zh-CN"/>
                    </w:rPr>
                  </w:pPr>
                  <w:r>
                    <w:rPr>
                      <w:rFonts w:hint="eastAsia"/>
                      <w:color w:val="auto"/>
                      <w:kern w:val="0"/>
                      <w:szCs w:val="21"/>
                      <w:highlight w:val="none"/>
                      <w:lang w:eastAsia="zh-CN"/>
                    </w:rPr>
                    <w:t>张店区文苑学校</w:t>
                  </w:r>
                </w:p>
              </w:tc>
              <w:tc>
                <w:tcPr>
                  <w:tcW w:w="635" w:type="pct"/>
                  <w:vAlign w:val="center"/>
                </w:tcPr>
                <w:p w14:paraId="0C562789">
                  <w:pPr>
                    <w:autoSpaceDE w:val="0"/>
                    <w:autoSpaceDN w:val="0"/>
                    <w:jc w:val="center"/>
                    <w:rPr>
                      <w:rFonts w:hint="eastAsia" w:eastAsia="宋体"/>
                      <w:color w:val="auto"/>
                      <w:kern w:val="0"/>
                      <w:szCs w:val="21"/>
                      <w:highlight w:val="none"/>
                      <w:lang w:eastAsia="zh-CN"/>
                    </w:rPr>
                  </w:pPr>
                  <w:r>
                    <w:rPr>
                      <w:rFonts w:hint="eastAsia"/>
                      <w:color w:val="auto"/>
                      <w:kern w:val="0"/>
                      <w:szCs w:val="21"/>
                      <w:highlight w:val="none"/>
                      <w:lang w:eastAsia="zh-CN"/>
                    </w:rPr>
                    <w:t>学生</w:t>
                  </w:r>
                </w:p>
              </w:tc>
              <w:tc>
                <w:tcPr>
                  <w:tcW w:w="1222" w:type="pct"/>
                  <w:vMerge w:val="continue"/>
                  <w:vAlign w:val="center"/>
                </w:tcPr>
                <w:p w14:paraId="60376E09">
                  <w:pPr>
                    <w:widowControl/>
                    <w:jc w:val="center"/>
                    <w:rPr>
                      <w:color w:val="auto"/>
                      <w:kern w:val="0"/>
                      <w:szCs w:val="21"/>
                      <w:highlight w:val="none"/>
                    </w:rPr>
                  </w:pPr>
                </w:p>
              </w:tc>
              <w:tc>
                <w:tcPr>
                  <w:tcW w:w="514" w:type="pct"/>
                  <w:vAlign w:val="center"/>
                </w:tcPr>
                <w:p w14:paraId="4985431C">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WN</w:t>
                  </w:r>
                </w:p>
              </w:tc>
              <w:tc>
                <w:tcPr>
                  <w:tcW w:w="640" w:type="pct"/>
                  <w:vAlign w:val="center"/>
                </w:tcPr>
                <w:p w14:paraId="186C5BF8">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3</w:t>
                  </w:r>
                </w:p>
              </w:tc>
            </w:tr>
            <w:tr w14:paraId="21EFDF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78699F81">
                  <w:pPr>
                    <w:widowControl/>
                    <w:jc w:val="center"/>
                    <w:rPr>
                      <w:color w:val="auto"/>
                      <w:kern w:val="0"/>
                      <w:szCs w:val="21"/>
                      <w:highlight w:val="none"/>
                    </w:rPr>
                  </w:pPr>
                </w:p>
              </w:tc>
              <w:tc>
                <w:tcPr>
                  <w:tcW w:w="1500" w:type="pct"/>
                  <w:vAlign w:val="center"/>
                </w:tcPr>
                <w:p w14:paraId="07190F9A">
                  <w:pPr>
                    <w:jc w:val="center"/>
                    <w:rPr>
                      <w:rFonts w:hint="eastAsia" w:eastAsia="宋体"/>
                      <w:color w:val="auto"/>
                      <w:kern w:val="0"/>
                      <w:szCs w:val="21"/>
                      <w:highlight w:val="none"/>
                      <w:lang w:eastAsia="zh-CN"/>
                    </w:rPr>
                  </w:pPr>
                  <w:r>
                    <w:rPr>
                      <w:rFonts w:hint="eastAsia"/>
                      <w:color w:val="auto"/>
                      <w:kern w:val="0"/>
                      <w:szCs w:val="21"/>
                      <w:highlight w:val="none"/>
                      <w:lang w:eastAsia="zh-CN"/>
                    </w:rPr>
                    <w:t>电业村</w:t>
                  </w:r>
                </w:p>
              </w:tc>
              <w:tc>
                <w:tcPr>
                  <w:tcW w:w="635" w:type="pct"/>
                  <w:vAlign w:val="center"/>
                </w:tcPr>
                <w:p w14:paraId="6778449C">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BED0152">
                  <w:pPr>
                    <w:widowControl/>
                    <w:jc w:val="center"/>
                    <w:rPr>
                      <w:color w:val="auto"/>
                      <w:kern w:val="0"/>
                      <w:szCs w:val="21"/>
                      <w:highlight w:val="none"/>
                    </w:rPr>
                  </w:pPr>
                </w:p>
              </w:tc>
              <w:tc>
                <w:tcPr>
                  <w:tcW w:w="514" w:type="pct"/>
                  <w:vAlign w:val="center"/>
                </w:tcPr>
                <w:p w14:paraId="1E5868CE">
                  <w:pPr>
                    <w:jc w:val="center"/>
                    <w:rPr>
                      <w:rFonts w:hint="eastAsia" w:eastAsia="宋体"/>
                      <w:color w:val="auto"/>
                      <w:kern w:val="0"/>
                      <w:szCs w:val="21"/>
                      <w:highlight w:val="none"/>
                      <w:lang w:eastAsia="zh-CN"/>
                    </w:rPr>
                  </w:pPr>
                  <w:r>
                    <w:rPr>
                      <w:rFonts w:hint="eastAsia"/>
                      <w:color w:val="auto"/>
                      <w:kern w:val="0"/>
                      <w:szCs w:val="21"/>
                      <w:highlight w:val="none"/>
                      <w:lang w:eastAsia="zh-CN"/>
                    </w:rPr>
                    <w:t>穿过</w:t>
                  </w:r>
                </w:p>
              </w:tc>
              <w:tc>
                <w:tcPr>
                  <w:tcW w:w="640" w:type="pct"/>
                  <w:vAlign w:val="center"/>
                </w:tcPr>
                <w:p w14:paraId="40B95B49">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r>
            <w:tr w14:paraId="72785B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restart"/>
                  <w:vAlign w:val="center"/>
                </w:tcPr>
                <w:p w14:paraId="2F5EC2F0">
                  <w:pPr>
                    <w:widowControl/>
                    <w:jc w:val="center"/>
                    <w:rPr>
                      <w:color w:val="auto"/>
                      <w:kern w:val="0"/>
                      <w:szCs w:val="21"/>
                      <w:highlight w:val="none"/>
                    </w:rPr>
                  </w:pPr>
                  <w:r>
                    <w:rPr>
                      <w:color w:val="auto"/>
                      <w:kern w:val="0"/>
                      <w:szCs w:val="21"/>
                      <w:highlight w:val="none"/>
                    </w:rPr>
                    <w:t>声环境</w:t>
                  </w:r>
                </w:p>
              </w:tc>
              <w:tc>
                <w:tcPr>
                  <w:tcW w:w="1500" w:type="pct"/>
                  <w:shd w:val="clear" w:color="auto" w:fill="auto"/>
                  <w:vAlign w:val="center"/>
                </w:tcPr>
                <w:p w14:paraId="61693299">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朝阳馨居</w:t>
                  </w:r>
                </w:p>
              </w:tc>
              <w:tc>
                <w:tcPr>
                  <w:tcW w:w="635" w:type="pct"/>
                  <w:shd w:val="clear" w:color="auto" w:fill="auto"/>
                  <w:vAlign w:val="center"/>
                </w:tcPr>
                <w:p w14:paraId="1BC70761">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restart"/>
                  <w:vAlign w:val="center"/>
                </w:tcPr>
                <w:p w14:paraId="3D72C804">
                  <w:pPr>
                    <w:autoSpaceDE w:val="0"/>
                    <w:autoSpaceDN w:val="0"/>
                    <w:jc w:val="center"/>
                    <w:rPr>
                      <w:color w:val="auto"/>
                      <w:kern w:val="0"/>
                      <w:szCs w:val="21"/>
                      <w:highlight w:val="none"/>
                    </w:rPr>
                  </w:pPr>
                  <w:r>
                    <w:rPr>
                      <w:color w:val="auto"/>
                      <w:szCs w:val="21"/>
                      <w:highlight w:val="none"/>
                    </w:rPr>
                    <w:t>《声环境质量标准》（GB3096-2008）的2类声环境功能区要求</w:t>
                  </w:r>
                </w:p>
              </w:tc>
              <w:tc>
                <w:tcPr>
                  <w:tcW w:w="514" w:type="pct"/>
                  <w:shd w:val="clear" w:color="auto" w:fill="auto"/>
                  <w:vAlign w:val="center"/>
                </w:tcPr>
                <w:p w14:paraId="777008A2">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WN</w:t>
                  </w:r>
                </w:p>
              </w:tc>
              <w:tc>
                <w:tcPr>
                  <w:tcW w:w="640" w:type="pct"/>
                  <w:shd w:val="clear" w:color="auto" w:fill="auto"/>
                  <w:vAlign w:val="center"/>
                </w:tcPr>
                <w:p w14:paraId="20081E1F">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115</w:t>
                  </w:r>
                </w:p>
              </w:tc>
            </w:tr>
            <w:tr w14:paraId="40156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0E4A3973">
                  <w:pPr>
                    <w:widowControl/>
                    <w:jc w:val="center"/>
                    <w:rPr>
                      <w:color w:val="auto"/>
                      <w:kern w:val="0"/>
                      <w:szCs w:val="21"/>
                      <w:highlight w:val="none"/>
                    </w:rPr>
                  </w:pPr>
                </w:p>
              </w:tc>
              <w:tc>
                <w:tcPr>
                  <w:tcW w:w="1500" w:type="pct"/>
                  <w:shd w:val="clear" w:color="auto" w:fill="auto"/>
                  <w:vAlign w:val="center"/>
                </w:tcPr>
                <w:p w14:paraId="508AB2F0">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张店区文苑学校</w:t>
                  </w:r>
                </w:p>
              </w:tc>
              <w:tc>
                <w:tcPr>
                  <w:tcW w:w="635" w:type="pct"/>
                  <w:shd w:val="clear" w:color="auto" w:fill="auto"/>
                  <w:vAlign w:val="center"/>
                </w:tcPr>
                <w:p w14:paraId="73FF89EF">
                  <w:pPr>
                    <w:autoSpaceDE w:val="0"/>
                    <w:autoSpaceDN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学生</w:t>
                  </w:r>
                </w:p>
              </w:tc>
              <w:tc>
                <w:tcPr>
                  <w:tcW w:w="1222" w:type="pct"/>
                  <w:vMerge w:val="continue"/>
                  <w:vAlign w:val="center"/>
                </w:tcPr>
                <w:p w14:paraId="2D5B937B">
                  <w:pPr>
                    <w:autoSpaceDE w:val="0"/>
                    <w:autoSpaceDN w:val="0"/>
                    <w:jc w:val="center"/>
                    <w:rPr>
                      <w:color w:val="auto"/>
                      <w:szCs w:val="21"/>
                      <w:highlight w:val="none"/>
                    </w:rPr>
                  </w:pPr>
                </w:p>
              </w:tc>
              <w:tc>
                <w:tcPr>
                  <w:tcW w:w="514" w:type="pct"/>
                  <w:shd w:val="clear" w:color="auto" w:fill="auto"/>
                  <w:vAlign w:val="center"/>
                </w:tcPr>
                <w:p w14:paraId="2D35A0B0">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WN</w:t>
                  </w:r>
                </w:p>
              </w:tc>
              <w:tc>
                <w:tcPr>
                  <w:tcW w:w="640" w:type="pct"/>
                  <w:shd w:val="clear" w:color="auto" w:fill="auto"/>
                  <w:vAlign w:val="center"/>
                </w:tcPr>
                <w:p w14:paraId="7D6252F4">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3</w:t>
                  </w:r>
                </w:p>
              </w:tc>
            </w:tr>
            <w:tr w14:paraId="65E61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0FC65126">
                  <w:pPr>
                    <w:widowControl/>
                    <w:jc w:val="center"/>
                    <w:rPr>
                      <w:color w:val="auto"/>
                      <w:kern w:val="0"/>
                      <w:szCs w:val="21"/>
                      <w:highlight w:val="none"/>
                    </w:rPr>
                  </w:pPr>
                </w:p>
              </w:tc>
              <w:tc>
                <w:tcPr>
                  <w:tcW w:w="1500" w:type="pct"/>
                  <w:shd w:val="clear" w:color="auto" w:fill="auto"/>
                  <w:vAlign w:val="center"/>
                </w:tcPr>
                <w:p w14:paraId="4623D1E8">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电业村</w:t>
                  </w:r>
                </w:p>
              </w:tc>
              <w:tc>
                <w:tcPr>
                  <w:tcW w:w="635" w:type="pct"/>
                  <w:shd w:val="clear" w:color="auto" w:fill="auto"/>
                  <w:vAlign w:val="center"/>
                </w:tcPr>
                <w:p w14:paraId="67388679">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7E8BBDF3">
                  <w:pPr>
                    <w:autoSpaceDE w:val="0"/>
                    <w:autoSpaceDN w:val="0"/>
                    <w:jc w:val="center"/>
                    <w:rPr>
                      <w:color w:val="auto"/>
                      <w:szCs w:val="21"/>
                      <w:highlight w:val="none"/>
                    </w:rPr>
                  </w:pPr>
                </w:p>
              </w:tc>
              <w:tc>
                <w:tcPr>
                  <w:tcW w:w="514" w:type="pct"/>
                  <w:shd w:val="clear" w:color="auto" w:fill="auto"/>
                  <w:vAlign w:val="center"/>
                </w:tcPr>
                <w:p w14:paraId="520305FE">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穿过</w:t>
                  </w:r>
                </w:p>
              </w:tc>
              <w:tc>
                <w:tcPr>
                  <w:tcW w:w="640" w:type="pct"/>
                  <w:shd w:val="clear" w:color="auto" w:fill="auto"/>
                  <w:vAlign w:val="center"/>
                </w:tcPr>
                <w:p w14:paraId="5909BEB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t>
                  </w:r>
                </w:p>
              </w:tc>
            </w:tr>
            <w:tr w14:paraId="2FD731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66F64077">
                  <w:pPr>
                    <w:widowControl/>
                    <w:jc w:val="center"/>
                    <w:rPr>
                      <w:color w:val="auto"/>
                      <w:kern w:val="0"/>
                      <w:szCs w:val="21"/>
                      <w:highlight w:val="none"/>
                    </w:rPr>
                  </w:pPr>
                  <w:r>
                    <w:rPr>
                      <w:color w:val="auto"/>
                      <w:kern w:val="0"/>
                      <w:szCs w:val="21"/>
                      <w:highlight w:val="none"/>
                    </w:rPr>
                    <w:t>地下水环境</w:t>
                  </w:r>
                </w:p>
              </w:tc>
              <w:tc>
                <w:tcPr>
                  <w:tcW w:w="2136" w:type="pct"/>
                  <w:gridSpan w:val="2"/>
                  <w:vAlign w:val="center"/>
                </w:tcPr>
                <w:p w14:paraId="1013FE6F">
                  <w:pPr>
                    <w:widowControl/>
                    <w:jc w:val="center"/>
                    <w:rPr>
                      <w:color w:val="auto"/>
                      <w:kern w:val="0"/>
                      <w:szCs w:val="21"/>
                      <w:highlight w:val="none"/>
                    </w:rPr>
                  </w:pPr>
                  <w:r>
                    <w:rPr>
                      <w:color w:val="auto"/>
                      <w:kern w:val="0"/>
                      <w:szCs w:val="21"/>
                      <w:highlight w:val="none"/>
                    </w:rPr>
                    <w:t>厂界外500米范围内无地下水集中式饮用水源和热水、矿泉水、温泉等特殊地下水资源</w:t>
                  </w:r>
                </w:p>
              </w:tc>
              <w:tc>
                <w:tcPr>
                  <w:tcW w:w="1222" w:type="pct"/>
                  <w:vAlign w:val="center"/>
                </w:tcPr>
                <w:p w14:paraId="6A149CB2">
                  <w:pPr>
                    <w:autoSpaceDE w:val="0"/>
                    <w:autoSpaceDN w:val="0"/>
                    <w:jc w:val="center"/>
                    <w:rPr>
                      <w:color w:val="auto"/>
                      <w:kern w:val="0"/>
                      <w:szCs w:val="21"/>
                      <w:highlight w:val="none"/>
                    </w:rPr>
                  </w:pPr>
                  <w:r>
                    <w:rPr>
                      <w:color w:val="auto"/>
                      <w:szCs w:val="21"/>
                      <w:highlight w:val="none"/>
                    </w:rPr>
                    <w:t>《地下水质量标准》（GB/T14848-2017）Ⅲ类标准</w:t>
                  </w:r>
                </w:p>
              </w:tc>
              <w:tc>
                <w:tcPr>
                  <w:tcW w:w="514" w:type="pct"/>
                  <w:vAlign w:val="center"/>
                </w:tcPr>
                <w:p w14:paraId="33CC5798">
                  <w:pPr>
                    <w:autoSpaceDE w:val="0"/>
                    <w:autoSpaceDN w:val="0"/>
                    <w:jc w:val="center"/>
                    <w:rPr>
                      <w:color w:val="auto"/>
                      <w:kern w:val="0"/>
                      <w:szCs w:val="21"/>
                      <w:highlight w:val="none"/>
                    </w:rPr>
                  </w:pPr>
                  <w:r>
                    <w:rPr>
                      <w:color w:val="auto"/>
                      <w:kern w:val="0"/>
                      <w:szCs w:val="21"/>
                      <w:highlight w:val="none"/>
                    </w:rPr>
                    <w:t>/</w:t>
                  </w:r>
                </w:p>
              </w:tc>
              <w:tc>
                <w:tcPr>
                  <w:tcW w:w="640" w:type="pct"/>
                  <w:vAlign w:val="center"/>
                </w:tcPr>
                <w:p w14:paraId="41493085">
                  <w:pPr>
                    <w:autoSpaceDE w:val="0"/>
                    <w:autoSpaceDN w:val="0"/>
                    <w:jc w:val="center"/>
                    <w:rPr>
                      <w:color w:val="auto"/>
                      <w:kern w:val="0"/>
                      <w:szCs w:val="21"/>
                      <w:highlight w:val="none"/>
                    </w:rPr>
                  </w:pPr>
                  <w:r>
                    <w:rPr>
                      <w:color w:val="auto"/>
                      <w:kern w:val="0"/>
                      <w:szCs w:val="21"/>
                      <w:highlight w:val="none"/>
                    </w:rPr>
                    <w:t>/</w:t>
                  </w:r>
                </w:p>
              </w:tc>
            </w:tr>
            <w:tr w14:paraId="06A25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6D81147D">
                  <w:pPr>
                    <w:jc w:val="center"/>
                    <w:rPr>
                      <w:color w:val="auto"/>
                      <w:kern w:val="0"/>
                      <w:szCs w:val="21"/>
                      <w:highlight w:val="none"/>
                    </w:rPr>
                  </w:pPr>
                  <w:r>
                    <w:rPr>
                      <w:color w:val="auto"/>
                      <w:szCs w:val="21"/>
                      <w:highlight w:val="none"/>
                    </w:rPr>
                    <w:t>地表水</w:t>
                  </w:r>
                </w:p>
              </w:tc>
              <w:tc>
                <w:tcPr>
                  <w:tcW w:w="2136" w:type="pct"/>
                  <w:gridSpan w:val="2"/>
                  <w:vAlign w:val="center"/>
                </w:tcPr>
                <w:p w14:paraId="0BFBE0AC">
                  <w:pPr>
                    <w:jc w:val="center"/>
                    <w:rPr>
                      <w:rFonts w:hint="eastAsia" w:eastAsia="宋体"/>
                      <w:color w:val="auto"/>
                      <w:kern w:val="0"/>
                      <w:szCs w:val="21"/>
                      <w:highlight w:val="none"/>
                      <w:lang w:eastAsia="zh-CN"/>
                    </w:rPr>
                  </w:pPr>
                  <w:r>
                    <w:rPr>
                      <w:rFonts w:hint="eastAsia"/>
                      <w:color w:val="auto"/>
                      <w:kern w:val="0"/>
                      <w:szCs w:val="21"/>
                      <w:highlight w:val="none"/>
                      <w:lang w:eastAsia="zh-CN"/>
                    </w:rPr>
                    <w:t>东猪龙河</w:t>
                  </w:r>
                </w:p>
              </w:tc>
              <w:tc>
                <w:tcPr>
                  <w:tcW w:w="1222" w:type="pct"/>
                  <w:vAlign w:val="center"/>
                </w:tcPr>
                <w:p w14:paraId="58E6D144">
                  <w:pPr>
                    <w:jc w:val="center"/>
                    <w:rPr>
                      <w:color w:val="auto"/>
                      <w:szCs w:val="21"/>
                      <w:highlight w:val="none"/>
                    </w:rPr>
                  </w:pPr>
                  <w:r>
                    <w:rPr>
                      <w:color w:val="auto"/>
                      <w:szCs w:val="21"/>
                      <w:highlight w:val="none"/>
                    </w:rPr>
                    <w:t>《地表水环境质量标准》（GB3838-2002）</w:t>
                  </w:r>
                  <w:r>
                    <w:rPr>
                      <w:color w:val="auto"/>
                      <w:spacing w:val="-2"/>
                      <w:szCs w:val="21"/>
                      <w:highlight w:val="none"/>
                    </w:rPr>
                    <w:t>V</w:t>
                  </w:r>
                  <w:r>
                    <w:rPr>
                      <w:color w:val="auto"/>
                      <w:szCs w:val="21"/>
                      <w:highlight w:val="none"/>
                    </w:rPr>
                    <w:t>类标准</w:t>
                  </w:r>
                </w:p>
              </w:tc>
              <w:tc>
                <w:tcPr>
                  <w:tcW w:w="1154" w:type="pct"/>
                  <w:gridSpan w:val="2"/>
                  <w:vAlign w:val="center"/>
                </w:tcPr>
                <w:p w14:paraId="29F7130B">
                  <w:pPr>
                    <w:jc w:val="center"/>
                    <w:rPr>
                      <w:color w:val="auto"/>
                      <w:kern w:val="0"/>
                      <w:szCs w:val="21"/>
                      <w:highlight w:val="none"/>
                    </w:rPr>
                  </w:pPr>
                  <w:r>
                    <w:rPr>
                      <w:color w:val="auto"/>
                      <w:kern w:val="0"/>
                      <w:szCs w:val="21"/>
                      <w:highlight w:val="none"/>
                    </w:rPr>
                    <w:t>本次施工河道之一</w:t>
                  </w:r>
                </w:p>
              </w:tc>
            </w:tr>
            <w:tr w14:paraId="6F7EA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258F5587">
                  <w:pPr>
                    <w:autoSpaceDE w:val="0"/>
                    <w:autoSpaceDN w:val="0"/>
                    <w:jc w:val="center"/>
                    <w:rPr>
                      <w:color w:val="auto"/>
                      <w:kern w:val="0"/>
                      <w:szCs w:val="21"/>
                      <w:highlight w:val="none"/>
                    </w:rPr>
                  </w:pPr>
                  <w:r>
                    <w:rPr>
                      <w:color w:val="auto"/>
                      <w:kern w:val="0"/>
                      <w:szCs w:val="21"/>
                      <w:highlight w:val="none"/>
                    </w:rPr>
                    <w:t>生态</w:t>
                  </w:r>
                </w:p>
                <w:p w14:paraId="06D0D298">
                  <w:pPr>
                    <w:autoSpaceDE w:val="0"/>
                    <w:autoSpaceDN w:val="0"/>
                    <w:jc w:val="center"/>
                    <w:rPr>
                      <w:color w:val="auto"/>
                      <w:kern w:val="0"/>
                      <w:szCs w:val="21"/>
                      <w:highlight w:val="none"/>
                    </w:rPr>
                  </w:pPr>
                  <w:r>
                    <w:rPr>
                      <w:color w:val="auto"/>
                      <w:kern w:val="0"/>
                      <w:szCs w:val="21"/>
                      <w:highlight w:val="none"/>
                    </w:rPr>
                    <w:t>环境</w:t>
                  </w:r>
                </w:p>
              </w:tc>
              <w:tc>
                <w:tcPr>
                  <w:tcW w:w="4513" w:type="pct"/>
                  <w:gridSpan w:val="5"/>
                  <w:vAlign w:val="center"/>
                </w:tcPr>
                <w:p w14:paraId="142BCDB0">
                  <w:pPr>
                    <w:widowControl/>
                    <w:jc w:val="center"/>
                    <w:rPr>
                      <w:color w:val="auto"/>
                      <w:kern w:val="0"/>
                      <w:szCs w:val="21"/>
                      <w:highlight w:val="none"/>
                    </w:rPr>
                  </w:pPr>
                  <w:r>
                    <w:rPr>
                      <w:color w:val="auto"/>
                      <w:szCs w:val="21"/>
                      <w:highlight w:val="none"/>
                    </w:rPr>
                    <w:t>项目生态评价范围内无受影响的重要物种、生态敏感区以及其他需要保护的物种、种群、生物群落及生态空间等</w:t>
                  </w:r>
                </w:p>
              </w:tc>
            </w:tr>
          </w:tbl>
          <w:p w14:paraId="68390982">
            <w:pPr>
              <w:numPr>
                <w:ilvl w:val="0"/>
                <w:numId w:val="6"/>
              </w:numPr>
              <w:snapToGrid w:val="0"/>
              <w:spacing w:line="360" w:lineRule="auto"/>
              <w:ind w:left="560" w:leftChars="0" w:firstLine="0" w:firstLineChars="0"/>
              <w:rPr>
                <w:rFonts w:hint="eastAsia"/>
                <w:color w:val="auto"/>
                <w:sz w:val="24"/>
              </w:rPr>
            </w:pPr>
            <w:r>
              <w:rPr>
                <w:rFonts w:hint="eastAsia"/>
                <w:color w:val="auto"/>
                <w:sz w:val="24"/>
              </w:rPr>
              <w:t>东猪龙河上游西支</w:t>
            </w:r>
          </w:p>
          <w:p w14:paraId="7ECA030F">
            <w:pPr>
              <w:spacing w:before="120" w:beforeLines="50"/>
              <w:jc w:val="center"/>
              <w:rPr>
                <w:color w:val="auto"/>
                <w:szCs w:val="21"/>
              </w:rPr>
            </w:pPr>
            <w:r>
              <w:rPr>
                <w:b/>
                <w:bCs/>
                <w:color w:val="auto"/>
                <w:szCs w:val="21"/>
              </w:rPr>
              <w:t>表3-</w:t>
            </w:r>
            <w:r>
              <w:rPr>
                <w:rFonts w:hint="eastAsia"/>
                <w:b/>
                <w:bCs/>
                <w:color w:val="auto"/>
                <w:szCs w:val="21"/>
                <w:lang w:val="en-US" w:eastAsia="zh-CN"/>
              </w:rPr>
              <w:t>10</w:t>
            </w:r>
            <w:r>
              <w:rPr>
                <w:b/>
                <w:bCs/>
                <w:color w:val="auto"/>
                <w:szCs w:val="21"/>
              </w:rPr>
              <w:t xml:space="preserve">  经开区内</w:t>
            </w:r>
            <w:r>
              <w:rPr>
                <w:rFonts w:hint="eastAsia"/>
                <w:b/>
                <w:bCs/>
                <w:color w:val="auto"/>
                <w:szCs w:val="21"/>
                <w:lang w:eastAsia="zh-CN"/>
              </w:rPr>
              <w:t>东猪龙河上游西支</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0"/>
              <w:gridCol w:w="2464"/>
              <w:gridCol w:w="1045"/>
              <w:gridCol w:w="2008"/>
              <w:gridCol w:w="844"/>
              <w:gridCol w:w="1061"/>
            </w:tblGrid>
            <w:tr w14:paraId="5ADEBD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1" w:type="pct"/>
                  <w:vAlign w:val="center"/>
                </w:tcPr>
                <w:p w14:paraId="6F2EBB7B">
                  <w:pPr>
                    <w:autoSpaceDE w:val="0"/>
                    <w:autoSpaceDN w:val="0"/>
                    <w:jc w:val="center"/>
                    <w:rPr>
                      <w:color w:val="auto"/>
                      <w:kern w:val="0"/>
                      <w:szCs w:val="21"/>
                      <w:highlight w:val="none"/>
                    </w:rPr>
                  </w:pPr>
                  <w:r>
                    <w:rPr>
                      <w:color w:val="auto"/>
                      <w:kern w:val="0"/>
                      <w:szCs w:val="21"/>
                      <w:highlight w:val="none"/>
                    </w:rPr>
                    <w:t>保护</w:t>
                  </w:r>
                </w:p>
                <w:p w14:paraId="6EDB562A">
                  <w:pPr>
                    <w:autoSpaceDE w:val="0"/>
                    <w:autoSpaceDN w:val="0"/>
                    <w:jc w:val="center"/>
                    <w:rPr>
                      <w:color w:val="auto"/>
                      <w:kern w:val="0"/>
                      <w:szCs w:val="21"/>
                      <w:highlight w:val="none"/>
                    </w:rPr>
                  </w:pPr>
                  <w:r>
                    <w:rPr>
                      <w:color w:val="auto"/>
                      <w:kern w:val="0"/>
                      <w:szCs w:val="21"/>
                      <w:highlight w:val="none"/>
                    </w:rPr>
                    <w:t>类别</w:t>
                  </w:r>
                </w:p>
              </w:tc>
              <w:tc>
                <w:tcPr>
                  <w:tcW w:w="1500" w:type="pct"/>
                  <w:vAlign w:val="center"/>
                </w:tcPr>
                <w:p w14:paraId="6F858C74">
                  <w:pPr>
                    <w:autoSpaceDE w:val="0"/>
                    <w:autoSpaceDN w:val="0"/>
                    <w:jc w:val="center"/>
                    <w:rPr>
                      <w:color w:val="auto"/>
                      <w:kern w:val="0"/>
                      <w:szCs w:val="21"/>
                      <w:highlight w:val="none"/>
                    </w:rPr>
                  </w:pPr>
                  <w:r>
                    <w:rPr>
                      <w:color w:val="auto"/>
                      <w:kern w:val="0"/>
                      <w:szCs w:val="21"/>
                      <w:highlight w:val="none"/>
                    </w:rPr>
                    <w:t>保护对象</w:t>
                  </w:r>
                </w:p>
              </w:tc>
              <w:tc>
                <w:tcPr>
                  <w:tcW w:w="635" w:type="pct"/>
                  <w:vAlign w:val="center"/>
                </w:tcPr>
                <w:p w14:paraId="716A4070">
                  <w:pPr>
                    <w:autoSpaceDE w:val="0"/>
                    <w:autoSpaceDN w:val="0"/>
                    <w:jc w:val="center"/>
                    <w:rPr>
                      <w:color w:val="auto"/>
                      <w:kern w:val="0"/>
                      <w:szCs w:val="21"/>
                      <w:highlight w:val="none"/>
                    </w:rPr>
                  </w:pPr>
                  <w:r>
                    <w:rPr>
                      <w:color w:val="auto"/>
                      <w:kern w:val="0"/>
                      <w:szCs w:val="21"/>
                      <w:highlight w:val="none"/>
                    </w:rPr>
                    <w:t>保护</w:t>
                  </w:r>
                </w:p>
                <w:p w14:paraId="14370419">
                  <w:pPr>
                    <w:autoSpaceDE w:val="0"/>
                    <w:autoSpaceDN w:val="0"/>
                    <w:jc w:val="center"/>
                    <w:rPr>
                      <w:color w:val="auto"/>
                      <w:kern w:val="0"/>
                      <w:szCs w:val="21"/>
                      <w:highlight w:val="none"/>
                    </w:rPr>
                  </w:pPr>
                  <w:r>
                    <w:rPr>
                      <w:color w:val="auto"/>
                      <w:kern w:val="0"/>
                      <w:szCs w:val="21"/>
                      <w:highlight w:val="none"/>
                    </w:rPr>
                    <w:t>内容</w:t>
                  </w:r>
                </w:p>
              </w:tc>
              <w:tc>
                <w:tcPr>
                  <w:tcW w:w="1222" w:type="pct"/>
                  <w:vAlign w:val="center"/>
                </w:tcPr>
                <w:p w14:paraId="1DA4ECDB">
                  <w:pPr>
                    <w:autoSpaceDE w:val="0"/>
                    <w:autoSpaceDN w:val="0"/>
                    <w:jc w:val="center"/>
                    <w:rPr>
                      <w:color w:val="auto"/>
                      <w:kern w:val="0"/>
                      <w:szCs w:val="21"/>
                      <w:highlight w:val="none"/>
                    </w:rPr>
                  </w:pPr>
                  <w:r>
                    <w:rPr>
                      <w:color w:val="auto"/>
                      <w:kern w:val="0"/>
                      <w:szCs w:val="21"/>
                      <w:highlight w:val="none"/>
                    </w:rPr>
                    <w:t>环境功能区</w:t>
                  </w:r>
                </w:p>
              </w:tc>
              <w:tc>
                <w:tcPr>
                  <w:tcW w:w="514" w:type="pct"/>
                  <w:vAlign w:val="center"/>
                </w:tcPr>
                <w:p w14:paraId="5B1F42C2">
                  <w:pPr>
                    <w:autoSpaceDE w:val="0"/>
                    <w:autoSpaceDN w:val="0"/>
                    <w:jc w:val="center"/>
                    <w:rPr>
                      <w:color w:val="auto"/>
                      <w:kern w:val="0"/>
                      <w:szCs w:val="21"/>
                      <w:highlight w:val="none"/>
                    </w:rPr>
                  </w:pPr>
                  <w:r>
                    <w:rPr>
                      <w:color w:val="auto"/>
                      <w:kern w:val="0"/>
                      <w:szCs w:val="21"/>
                      <w:highlight w:val="none"/>
                    </w:rPr>
                    <w:t>相对河道方位</w:t>
                  </w:r>
                </w:p>
              </w:tc>
              <w:tc>
                <w:tcPr>
                  <w:tcW w:w="645" w:type="pct"/>
                  <w:vAlign w:val="center"/>
                </w:tcPr>
                <w:p w14:paraId="5950E4F7">
                  <w:pPr>
                    <w:autoSpaceDE w:val="0"/>
                    <w:autoSpaceDN w:val="0"/>
                    <w:jc w:val="center"/>
                    <w:rPr>
                      <w:color w:val="auto"/>
                      <w:kern w:val="0"/>
                      <w:szCs w:val="21"/>
                      <w:highlight w:val="none"/>
                    </w:rPr>
                  </w:pPr>
                  <w:r>
                    <w:rPr>
                      <w:color w:val="auto"/>
                      <w:kern w:val="0"/>
                      <w:szCs w:val="21"/>
                      <w:highlight w:val="none"/>
                    </w:rPr>
                    <w:t>相对河道</w:t>
                  </w:r>
                </w:p>
                <w:p w14:paraId="0F6CC56E">
                  <w:pPr>
                    <w:autoSpaceDE w:val="0"/>
                    <w:autoSpaceDN w:val="0"/>
                    <w:jc w:val="center"/>
                    <w:rPr>
                      <w:color w:val="auto"/>
                      <w:kern w:val="0"/>
                      <w:szCs w:val="21"/>
                      <w:highlight w:val="none"/>
                    </w:rPr>
                  </w:pPr>
                  <w:r>
                    <w:rPr>
                      <w:color w:val="auto"/>
                      <w:kern w:val="0"/>
                      <w:szCs w:val="21"/>
                      <w:highlight w:val="none"/>
                    </w:rPr>
                    <w:t>距离（m）</w:t>
                  </w:r>
                </w:p>
              </w:tc>
            </w:tr>
            <w:tr w14:paraId="323E72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restart"/>
                  <w:vAlign w:val="center"/>
                </w:tcPr>
                <w:p w14:paraId="2E165F89">
                  <w:pPr>
                    <w:autoSpaceDE w:val="0"/>
                    <w:autoSpaceDN w:val="0"/>
                    <w:jc w:val="center"/>
                    <w:rPr>
                      <w:color w:val="auto"/>
                      <w:kern w:val="0"/>
                      <w:szCs w:val="21"/>
                      <w:highlight w:val="none"/>
                    </w:rPr>
                  </w:pPr>
                  <w:r>
                    <w:rPr>
                      <w:color w:val="auto"/>
                      <w:kern w:val="0"/>
                      <w:szCs w:val="21"/>
                      <w:highlight w:val="none"/>
                    </w:rPr>
                    <w:t>大气</w:t>
                  </w:r>
                </w:p>
                <w:p w14:paraId="2B5BC930">
                  <w:pPr>
                    <w:autoSpaceDE w:val="0"/>
                    <w:autoSpaceDN w:val="0"/>
                    <w:jc w:val="center"/>
                    <w:rPr>
                      <w:color w:val="auto"/>
                      <w:kern w:val="0"/>
                      <w:szCs w:val="21"/>
                      <w:highlight w:val="none"/>
                    </w:rPr>
                  </w:pPr>
                  <w:r>
                    <w:rPr>
                      <w:color w:val="auto"/>
                      <w:kern w:val="0"/>
                      <w:szCs w:val="21"/>
                      <w:highlight w:val="none"/>
                    </w:rPr>
                    <w:t>环境</w:t>
                  </w:r>
                </w:p>
              </w:tc>
              <w:tc>
                <w:tcPr>
                  <w:tcW w:w="1500" w:type="pct"/>
                  <w:vAlign w:val="center"/>
                </w:tcPr>
                <w:p w14:paraId="7B41F5AC">
                  <w:pPr>
                    <w:jc w:val="center"/>
                    <w:rPr>
                      <w:rFonts w:hint="eastAsia" w:eastAsia="宋体"/>
                      <w:color w:val="auto"/>
                      <w:kern w:val="0"/>
                      <w:szCs w:val="21"/>
                      <w:highlight w:val="none"/>
                      <w:lang w:eastAsia="zh-CN"/>
                    </w:rPr>
                  </w:pPr>
                  <w:r>
                    <w:rPr>
                      <w:rFonts w:hint="eastAsia"/>
                      <w:color w:val="auto"/>
                      <w:kern w:val="0"/>
                      <w:szCs w:val="21"/>
                      <w:highlight w:val="none"/>
                      <w:lang w:eastAsia="zh-CN"/>
                    </w:rPr>
                    <w:t>南定教育小区</w:t>
                  </w:r>
                </w:p>
              </w:tc>
              <w:tc>
                <w:tcPr>
                  <w:tcW w:w="635" w:type="pct"/>
                  <w:vAlign w:val="center"/>
                </w:tcPr>
                <w:p w14:paraId="2C7AD361">
                  <w:pPr>
                    <w:autoSpaceDE w:val="0"/>
                    <w:autoSpaceDN w:val="0"/>
                    <w:jc w:val="center"/>
                    <w:rPr>
                      <w:color w:val="auto"/>
                      <w:kern w:val="0"/>
                      <w:szCs w:val="21"/>
                      <w:highlight w:val="none"/>
                    </w:rPr>
                  </w:pPr>
                  <w:r>
                    <w:rPr>
                      <w:color w:val="auto"/>
                      <w:kern w:val="0"/>
                      <w:szCs w:val="21"/>
                      <w:highlight w:val="none"/>
                    </w:rPr>
                    <w:t>居民</w:t>
                  </w:r>
                </w:p>
              </w:tc>
              <w:tc>
                <w:tcPr>
                  <w:tcW w:w="1222" w:type="pct"/>
                  <w:vMerge w:val="restart"/>
                  <w:vAlign w:val="center"/>
                </w:tcPr>
                <w:p w14:paraId="7F0BE882">
                  <w:pPr>
                    <w:autoSpaceDE w:val="0"/>
                    <w:autoSpaceDN w:val="0"/>
                    <w:jc w:val="center"/>
                    <w:rPr>
                      <w:color w:val="auto"/>
                      <w:kern w:val="0"/>
                      <w:szCs w:val="21"/>
                      <w:highlight w:val="none"/>
                    </w:rPr>
                  </w:pPr>
                  <w:r>
                    <w:rPr>
                      <w:bCs/>
                      <w:color w:val="auto"/>
                      <w:szCs w:val="21"/>
                      <w:highlight w:val="none"/>
                    </w:rPr>
                    <w:t>《环境空气质量标准》（GB3095-20</w:t>
                  </w:r>
                  <w:r>
                    <w:rPr>
                      <w:rFonts w:hint="eastAsia"/>
                      <w:bCs/>
                      <w:color w:val="auto"/>
                      <w:szCs w:val="21"/>
                      <w:highlight w:val="none"/>
                      <w:lang w:val="en-US" w:eastAsia="zh-CN"/>
                    </w:rPr>
                    <w:t>26</w:t>
                  </w:r>
                  <w:r>
                    <w:rPr>
                      <w:bCs/>
                      <w:color w:val="auto"/>
                      <w:szCs w:val="21"/>
                      <w:highlight w:val="none"/>
                    </w:rPr>
                    <w:t>）</w:t>
                  </w:r>
                  <w:r>
                    <w:rPr>
                      <w:rFonts w:hint="eastAsia"/>
                      <w:bCs/>
                      <w:color w:val="auto"/>
                      <w:szCs w:val="21"/>
                      <w:highlight w:val="none"/>
                      <w:lang w:eastAsia="zh-CN"/>
                    </w:rPr>
                    <w:t>过渡阶段</w:t>
                  </w:r>
                  <w:r>
                    <w:rPr>
                      <w:bCs/>
                      <w:color w:val="auto"/>
                      <w:szCs w:val="21"/>
                      <w:highlight w:val="none"/>
                    </w:rPr>
                    <w:t>二级标准</w:t>
                  </w:r>
                </w:p>
              </w:tc>
              <w:tc>
                <w:tcPr>
                  <w:tcW w:w="514" w:type="pct"/>
                  <w:vAlign w:val="center"/>
                </w:tcPr>
                <w:p w14:paraId="06E3ACE1">
                  <w:pPr>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N</w:t>
                  </w:r>
                </w:p>
              </w:tc>
              <w:tc>
                <w:tcPr>
                  <w:tcW w:w="645" w:type="pct"/>
                  <w:vAlign w:val="center"/>
                </w:tcPr>
                <w:p w14:paraId="676BEBB5">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469</w:t>
                  </w:r>
                </w:p>
              </w:tc>
            </w:tr>
            <w:tr w14:paraId="44E551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0CA8380">
                  <w:pPr>
                    <w:widowControl/>
                    <w:jc w:val="center"/>
                    <w:rPr>
                      <w:color w:val="auto"/>
                      <w:kern w:val="0"/>
                      <w:szCs w:val="21"/>
                      <w:highlight w:val="none"/>
                    </w:rPr>
                  </w:pPr>
                </w:p>
              </w:tc>
              <w:tc>
                <w:tcPr>
                  <w:tcW w:w="1500" w:type="pct"/>
                  <w:vAlign w:val="center"/>
                </w:tcPr>
                <w:p w14:paraId="142383D8">
                  <w:pPr>
                    <w:jc w:val="center"/>
                    <w:rPr>
                      <w:rFonts w:hint="eastAsia" w:eastAsia="宋体"/>
                      <w:color w:val="auto"/>
                      <w:kern w:val="0"/>
                      <w:szCs w:val="21"/>
                      <w:highlight w:val="none"/>
                      <w:lang w:eastAsia="zh-CN"/>
                    </w:rPr>
                  </w:pPr>
                  <w:r>
                    <w:rPr>
                      <w:rFonts w:hint="eastAsia"/>
                      <w:color w:val="auto"/>
                      <w:kern w:val="0"/>
                      <w:szCs w:val="21"/>
                      <w:highlight w:val="none"/>
                      <w:lang w:eastAsia="zh-CN"/>
                    </w:rPr>
                    <w:t>晴照园小区</w:t>
                  </w:r>
                </w:p>
              </w:tc>
              <w:tc>
                <w:tcPr>
                  <w:tcW w:w="635" w:type="pct"/>
                  <w:vAlign w:val="center"/>
                </w:tcPr>
                <w:p w14:paraId="3185ADBE">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7067154E">
                  <w:pPr>
                    <w:widowControl/>
                    <w:jc w:val="center"/>
                    <w:rPr>
                      <w:color w:val="auto"/>
                      <w:kern w:val="0"/>
                      <w:szCs w:val="21"/>
                      <w:highlight w:val="none"/>
                    </w:rPr>
                  </w:pPr>
                </w:p>
              </w:tc>
              <w:tc>
                <w:tcPr>
                  <w:tcW w:w="514" w:type="pct"/>
                  <w:vAlign w:val="center"/>
                </w:tcPr>
                <w:p w14:paraId="3DA955E2">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N</w:t>
                  </w:r>
                </w:p>
              </w:tc>
              <w:tc>
                <w:tcPr>
                  <w:tcW w:w="645" w:type="pct"/>
                  <w:vAlign w:val="center"/>
                </w:tcPr>
                <w:p w14:paraId="2450A561">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36</w:t>
                  </w:r>
                </w:p>
              </w:tc>
            </w:tr>
            <w:tr w14:paraId="0C063C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C7E38F3">
                  <w:pPr>
                    <w:widowControl/>
                    <w:jc w:val="center"/>
                    <w:rPr>
                      <w:color w:val="auto"/>
                      <w:kern w:val="0"/>
                      <w:szCs w:val="21"/>
                      <w:highlight w:val="none"/>
                    </w:rPr>
                  </w:pPr>
                </w:p>
              </w:tc>
              <w:tc>
                <w:tcPr>
                  <w:tcW w:w="1500" w:type="pct"/>
                  <w:vAlign w:val="center"/>
                </w:tcPr>
                <w:p w14:paraId="015B81F8">
                  <w:pPr>
                    <w:jc w:val="center"/>
                    <w:rPr>
                      <w:rFonts w:hint="eastAsia" w:eastAsia="宋体"/>
                      <w:color w:val="auto"/>
                      <w:kern w:val="0"/>
                      <w:szCs w:val="21"/>
                      <w:highlight w:val="none"/>
                      <w:lang w:eastAsia="zh-CN"/>
                    </w:rPr>
                  </w:pPr>
                  <w:r>
                    <w:rPr>
                      <w:rFonts w:hint="eastAsia"/>
                      <w:color w:val="auto"/>
                      <w:kern w:val="0"/>
                      <w:szCs w:val="21"/>
                      <w:highlight w:val="none"/>
                      <w:lang w:eastAsia="zh-CN"/>
                    </w:rPr>
                    <w:t>晴岚名苑</w:t>
                  </w:r>
                </w:p>
              </w:tc>
              <w:tc>
                <w:tcPr>
                  <w:tcW w:w="635" w:type="pct"/>
                  <w:vAlign w:val="center"/>
                </w:tcPr>
                <w:p w14:paraId="2E95C9B5">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367EA97">
                  <w:pPr>
                    <w:widowControl/>
                    <w:jc w:val="center"/>
                    <w:rPr>
                      <w:color w:val="auto"/>
                      <w:kern w:val="0"/>
                      <w:szCs w:val="21"/>
                      <w:highlight w:val="none"/>
                    </w:rPr>
                  </w:pPr>
                </w:p>
              </w:tc>
              <w:tc>
                <w:tcPr>
                  <w:tcW w:w="514" w:type="pct"/>
                  <w:vAlign w:val="center"/>
                </w:tcPr>
                <w:p w14:paraId="049F6CED">
                  <w:pPr>
                    <w:jc w:val="center"/>
                    <w:rPr>
                      <w:rFonts w:hint="eastAsia" w:eastAsia="宋体"/>
                      <w:color w:val="auto"/>
                      <w:kern w:val="0"/>
                      <w:szCs w:val="21"/>
                      <w:highlight w:val="none"/>
                      <w:lang w:val="en-US" w:eastAsia="zh-CN"/>
                    </w:rPr>
                  </w:pPr>
                  <w:r>
                    <w:rPr>
                      <w:color w:val="auto"/>
                      <w:kern w:val="0"/>
                      <w:szCs w:val="21"/>
                      <w:highlight w:val="none"/>
                    </w:rPr>
                    <w:t>W</w:t>
                  </w:r>
                  <w:r>
                    <w:rPr>
                      <w:rFonts w:hint="eastAsia"/>
                      <w:color w:val="auto"/>
                      <w:kern w:val="0"/>
                      <w:szCs w:val="21"/>
                      <w:highlight w:val="none"/>
                      <w:lang w:val="en-US" w:eastAsia="zh-CN"/>
                    </w:rPr>
                    <w:t>N</w:t>
                  </w:r>
                </w:p>
              </w:tc>
              <w:tc>
                <w:tcPr>
                  <w:tcW w:w="645" w:type="pct"/>
                  <w:vAlign w:val="center"/>
                </w:tcPr>
                <w:p w14:paraId="73227598">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87</w:t>
                  </w:r>
                </w:p>
              </w:tc>
            </w:tr>
            <w:tr w14:paraId="7381C8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664EFD6A">
                  <w:pPr>
                    <w:widowControl/>
                    <w:jc w:val="center"/>
                    <w:rPr>
                      <w:color w:val="auto"/>
                      <w:kern w:val="0"/>
                      <w:szCs w:val="21"/>
                      <w:highlight w:val="none"/>
                    </w:rPr>
                  </w:pPr>
                </w:p>
              </w:tc>
              <w:tc>
                <w:tcPr>
                  <w:tcW w:w="1500" w:type="pct"/>
                  <w:vAlign w:val="center"/>
                </w:tcPr>
                <w:p w14:paraId="7F5CAAD0">
                  <w:pPr>
                    <w:jc w:val="center"/>
                    <w:rPr>
                      <w:rFonts w:hint="eastAsia" w:eastAsia="宋体"/>
                      <w:color w:val="auto"/>
                      <w:kern w:val="0"/>
                      <w:szCs w:val="21"/>
                      <w:highlight w:val="none"/>
                      <w:lang w:eastAsia="zh-CN"/>
                    </w:rPr>
                  </w:pPr>
                  <w:r>
                    <w:rPr>
                      <w:rFonts w:hint="eastAsia"/>
                      <w:color w:val="auto"/>
                      <w:kern w:val="0"/>
                      <w:szCs w:val="21"/>
                      <w:highlight w:val="none"/>
                      <w:lang w:eastAsia="zh-CN"/>
                    </w:rPr>
                    <w:t>冠良御景</w:t>
                  </w:r>
                </w:p>
              </w:tc>
              <w:tc>
                <w:tcPr>
                  <w:tcW w:w="635" w:type="pct"/>
                  <w:vAlign w:val="center"/>
                </w:tcPr>
                <w:p w14:paraId="2111EF91">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82046D9">
                  <w:pPr>
                    <w:widowControl/>
                    <w:jc w:val="center"/>
                    <w:rPr>
                      <w:color w:val="auto"/>
                      <w:kern w:val="0"/>
                      <w:szCs w:val="21"/>
                      <w:highlight w:val="none"/>
                    </w:rPr>
                  </w:pPr>
                </w:p>
              </w:tc>
              <w:tc>
                <w:tcPr>
                  <w:tcW w:w="514" w:type="pct"/>
                  <w:vAlign w:val="center"/>
                </w:tcPr>
                <w:p w14:paraId="194ABD04">
                  <w:pPr>
                    <w:jc w:val="center"/>
                    <w:rPr>
                      <w:rFonts w:hint="eastAsia" w:eastAsia="宋体"/>
                      <w:color w:val="auto"/>
                      <w:kern w:val="0"/>
                      <w:szCs w:val="21"/>
                      <w:highlight w:val="none"/>
                      <w:lang w:val="en-US" w:eastAsia="zh-CN"/>
                    </w:rPr>
                  </w:pPr>
                  <w:r>
                    <w:rPr>
                      <w:color w:val="auto"/>
                      <w:kern w:val="0"/>
                      <w:szCs w:val="21"/>
                      <w:highlight w:val="none"/>
                    </w:rPr>
                    <w:t>W</w:t>
                  </w:r>
                  <w:r>
                    <w:rPr>
                      <w:rFonts w:hint="eastAsia"/>
                      <w:color w:val="auto"/>
                      <w:kern w:val="0"/>
                      <w:szCs w:val="21"/>
                      <w:highlight w:val="none"/>
                      <w:lang w:val="en-US" w:eastAsia="zh-CN"/>
                    </w:rPr>
                    <w:t>N</w:t>
                  </w:r>
                </w:p>
              </w:tc>
              <w:tc>
                <w:tcPr>
                  <w:tcW w:w="645" w:type="pct"/>
                  <w:vAlign w:val="center"/>
                </w:tcPr>
                <w:p w14:paraId="6341EF2F">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275</w:t>
                  </w:r>
                </w:p>
              </w:tc>
            </w:tr>
            <w:tr w14:paraId="73980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55002095">
                  <w:pPr>
                    <w:widowControl/>
                    <w:jc w:val="center"/>
                    <w:rPr>
                      <w:color w:val="auto"/>
                      <w:kern w:val="0"/>
                      <w:szCs w:val="21"/>
                      <w:highlight w:val="none"/>
                    </w:rPr>
                  </w:pPr>
                </w:p>
              </w:tc>
              <w:tc>
                <w:tcPr>
                  <w:tcW w:w="1500" w:type="pct"/>
                  <w:vAlign w:val="center"/>
                </w:tcPr>
                <w:p w14:paraId="00EEC714">
                  <w:pPr>
                    <w:jc w:val="center"/>
                    <w:rPr>
                      <w:rFonts w:hint="eastAsia" w:eastAsia="宋体"/>
                      <w:color w:val="auto"/>
                      <w:kern w:val="0"/>
                      <w:szCs w:val="21"/>
                      <w:highlight w:val="none"/>
                      <w:lang w:eastAsia="zh-CN"/>
                    </w:rPr>
                  </w:pPr>
                  <w:r>
                    <w:rPr>
                      <w:rFonts w:hint="eastAsia"/>
                      <w:color w:val="auto"/>
                      <w:kern w:val="0"/>
                      <w:szCs w:val="21"/>
                      <w:highlight w:val="none"/>
                      <w:lang w:eastAsia="zh-CN"/>
                    </w:rPr>
                    <w:t>北山小区</w:t>
                  </w:r>
                </w:p>
              </w:tc>
              <w:tc>
                <w:tcPr>
                  <w:tcW w:w="635" w:type="pct"/>
                  <w:vAlign w:val="center"/>
                </w:tcPr>
                <w:p w14:paraId="635800A9">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21E4EA7">
                  <w:pPr>
                    <w:widowControl/>
                    <w:jc w:val="center"/>
                    <w:rPr>
                      <w:color w:val="auto"/>
                      <w:kern w:val="0"/>
                      <w:szCs w:val="21"/>
                      <w:highlight w:val="none"/>
                    </w:rPr>
                  </w:pPr>
                </w:p>
              </w:tc>
              <w:tc>
                <w:tcPr>
                  <w:tcW w:w="514" w:type="pct"/>
                  <w:vAlign w:val="center"/>
                </w:tcPr>
                <w:p w14:paraId="1FBC3A41">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45" w:type="pct"/>
                  <w:vAlign w:val="center"/>
                </w:tcPr>
                <w:p w14:paraId="1313A46F">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269</w:t>
                  </w:r>
                </w:p>
              </w:tc>
            </w:tr>
            <w:tr w14:paraId="2A32A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97D8647">
                  <w:pPr>
                    <w:widowControl/>
                    <w:jc w:val="center"/>
                    <w:rPr>
                      <w:color w:val="auto"/>
                      <w:kern w:val="0"/>
                      <w:szCs w:val="21"/>
                      <w:highlight w:val="none"/>
                    </w:rPr>
                  </w:pPr>
                </w:p>
              </w:tc>
              <w:tc>
                <w:tcPr>
                  <w:tcW w:w="1500" w:type="pct"/>
                  <w:vAlign w:val="center"/>
                </w:tcPr>
                <w:p w14:paraId="4F952D6E">
                  <w:pPr>
                    <w:jc w:val="center"/>
                    <w:rPr>
                      <w:rFonts w:hint="eastAsia" w:eastAsia="宋体"/>
                      <w:color w:val="auto"/>
                      <w:kern w:val="0"/>
                      <w:szCs w:val="21"/>
                      <w:highlight w:val="none"/>
                      <w:lang w:eastAsia="zh-CN"/>
                    </w:rPr>
                  </w:pPr>
                  <w:r>
                    <w:rPr>
                      <w:rFonts w:hint="eastAsia"/>
                      <w:color w:val="auto"/>
                      <w:kern w:val="0"/>
                      <w:szCs w:val="21"/>
                      <w:highlight w:val="none"/>
                      <w:lang w:eastAsia="zh-CN"/>
                    </w:rPr>
                    <w:t>山铝体育馆小区</w:t>
                  </w:r>
                </w:p>
              </w:tc>
              <w:tc>
                <w:tcPr>
                  <w:tcW w:w="635" w:type="pct"/>
                  <w:vAlign w:val="center"/>
                </w:tcPr>
                <w:p w14:paraId="28FCB46C">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1A25673">
                  <w:pPr>
                    <w:widowControl/>
                    <w:jc w:val="center"/>
                    <w:rPr>
                      <w:color w:val="auto"/>
                      <w:kern w:val="0"/>
                      <w:szCs w:val="21"/>
                      <w:highlight w:val="none"/>
                    </w:rPr>
                  </w:pPr>
                </w:p>
              </w:tc>
              <w:tc>
                <w:tcPr>
                  <w:tcW w:w="514" w:type="pct"/>
                  <w:vAlign w:val="center"/>
                </w:tcPr>
                <w:p w14:paraId="4BDB2AA1">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45" w:type="pct"/>
                  <w:vAlign w:val="center"/>
                </w:tcPr>
                <w:p w14:paraId="31FF4CD0">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239</w:t>
                  </w:r>
                </w:p>
              </w:tc>
            </w:tr>
            <w:tr w14:paraId="327F4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73ABBAFC">
                  <w:pPr>
                    <w:widowControl/>
                    <w:jc w:val="center"/>
                    <w:rPr>
                      <w:color w:val="auto"/>
                      <w:kern w:val="0"/>
                      <w:szCs w:val="21"/>
                      <w:highlight w:val="none"/>
                    </w:rPr>
                  </w:pPr>
                </w:p>
              </w:tc>
              <w:tc>
                <w:tcPr>
                  <w:tcW w:w="1500" w:type="pct"/>
                  <w:vAlign w:val="center"/>
                </w:tcPr>
                <w:p w14:paraId="1E313F20">
                  <w:pPr>
                    <w:jc w:val="center"/>
                    <w:rPr>
                      <w:rFonts w:hint="eastAsia" w:eastAsia="宋体"/>
                      <w:color w:val="auto"/>
                      <w:kern w:val="0"/>
                      <w:szCs w:val="21"/>
                      <w:highlight w:val="none"/>
                      <w:lang w:eastAsia="zh-CN"/>
                    </w:rPr>
                  </w:pPr>
                  <w:r>
                    <w:rPr>
                      <w:rFonts w:hint="eastAsia"/>
                      <w:color w:val="auto"/>
                      <w:kern w:val="0"/>
                      <w:szCs w:val="21"/>
                      <w:highlight w:val="none"/>
                      <w:lang w:eastAsia="zh-CN"/>
                    </w:rPr>
                    <w:t>西山社区</w:t>
                  </w:r>
                </w:p>
              </w:tc>
              <w:tc>
                <w:tcPr>
                  <w:tcW w:w="635" w:type="pct"/>
                  <w:vAlign w:val="center"/>
                </w:tcPr>
                <w:p w14:paraId="624F5F8D">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1A119584">
                  <w:pPr>
                    <w:widowControl/>
                    <w:jc w:val="center"/>
                    <w:rPr>
                      <w:color w:val="auto"/>
                      <w:kern w:val="0"/>
                      <w:szCs w:val="21"/>
                      <w:highlight w:val="none"/>
                    </w:rPr>
                  </w:pPr>
                </w:p>
              </w:tc>
              <w:tc>
                <w:tcPr>
                  <w:tcW w:w="514" w:type="pct"/>
                  <w:vAlign w:val="center"/>
                </w:tcPr>
                <w:p w14:paraId="2FA1B502">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45" w:type="pct"/>
                  <w:vAlign w:val="center"/>
                </w:tcPr>
                <w:p w14:paraId="69A9CF36">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194</w:t>
                  </w:r>
                </w:p>
              </w:tc>
            </w:tr>
            <w:tr w14:paraId="5FC102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56FBFC41">
                  <w:pPr>
                    <w:widowControl/>
                    <w:jc w:val="center"/>
                    <w:rPr>
                      <w:color w:val="auto"/>
                      <w:kern w:val="0"/>
                      <w:szCs w:val="21"/>
                      <w:highlight w:val="none"/>
                    </w:rPr>
                  </w:pPr>
                </w:p>
              </w:tc>
              <w:tc>
                <w:tcPr>
                  <w:tcW w:w="1500" w:type="pct"/>
                  <w:vAlign w:val="center"/>
                </w:tcPr>
                <w:p w14:paraId="1C093789">
                  <w:pPr>
                    <w:jc w:val="center"/>
                    <w:rPr>
                      <w:rFonts w:hint="eastAsia" w:eastAsia="宋体"/>
                      <w:color w:val="auto"/>
                      <w:kern w:val="0"/>
                      <w:szCs w:val="21"/>
                      <w:highlight w:val="none"/>
                      <w:lang w:eastAsia="zh-CN"/>
                    </w:rPr>
                  </w:pPr>
                  <w:r>
                    <w:rPr>
                      <w:rFonts w:hint="eastAsia"/>
                      <w:color w:val="auto"/>
                      <w:kern w:val="0"/>
                      <w:szCs w:val="21"/>
                      <w:highlight w:val="none"/>
                      <w:lang w:eastAsia="zh-CN"/>
                    </w:rPr>
                    <w:t>花园小区</w:t>
                  </w:r>
                </w:p>
              </w:tc>
              <w:tc>
                <w:tcPr>
                  <w:tcW w:w="635" w:type="pct"/>
                  <w:vAlign w:val="center"/>
                </w:tcPr>
                <w:p w14:paraId="28A44828">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170E1A6">
                  <w:pPr>
                    <w:widowControl/>
                    <w:jc w:val="center"/>
                    <w:rPr>
                      <w:color w:val="auto"/>
                      <w:kern w:val="0"/>
                      <w:szCs w:val="21"/>
                      <w:highlight w:val="none"/>
                    </w:rPr>
                  </w:pPr>
                </w:p>
              </w:tc>
              <w:tc>
                <w:tcPr>
                  <w:tcW w:w="514" w:type="pct"/>
                  <w:vAlign w:val="center"/>
                </w:tcPr>
                <w:p w14:paraId="228D8336">
                  <w:pPr>
                    <w:jc w:val="center"/>
                    <w:rPr>
                      <w:color w:val="auto"/>
                      <w:kern w:val="0"/>
                      <w:szCs w:val="21"/>
                      <w:highlight w:val="none"/>
                    </w:rPr>
                  </w:pPr>
                  <w:r>
                    <w:rPr>
                      <w:rFonts w:hint="eastAsia"/>
                      <w:color w:val="auto"/>
                      <w:kern w:val="0"/>
                      <w:szCs w:val="21"/>
                      <w:highlight w:val="none"/>
                      <w:lang w:val="en-US" w:eastAsia="zh-CN"/>
                    </w:rPr>
                    <w:t>W</w:t>
                  </w:r>
                </w:p>
              </w:tc>
              <w:tc>
                <w:tcPr>
                  <w:tcW w:w="645" w:type="pct"/>
                  <w:vAlign w:val="center"/>
                </w:tcPr>
                <w:p w14:paraId="29EF634B">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190</w:t>
                  </w:r>
                </w:p>
              </w:tc>
            </w:tr>
            <w:tr w14:paraId="50821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0A82E7F9">
                  <w:pPr>
                    <w:widowControl/>
                    <w:jc w:val="center"/>
                    <w:rPr>
                      <w:color w:val="auto"/>
                      <w:kern w:val="0"/>
                      <w:szCs w:val="21"/>
                      <w:highlight w:val="none"/>
                    </w:rPr>
                  </w:pPr>
                </w:p>
              </w:tc>
              <w:tc>
                <w:tcPr>
                  <w:tcW w:w="1500" w:type="pct"/>
                  <w:vAlign w:val="center"/>
                </w:tcPr>
                <w:p w14:paraId="5B09E950">
                  <w:pPr>
                    <w:jc w:val="center"/>
                    <w:rPr>
                      <w:rFonts w:hint="eastAsia" w:eastAsia="宋体"/>
                      <w:color w:val="auto"/>
                      <w:kern w:val="0"/>
                      <w:szCs w:val="21"/>
                      <w:highlight w:val="none"/>
                      <w:lang w:eastAsia="zh-CN"/>
                    </w:rPr>
                  </w:pPr>
                  <w:r>
                    <w:rPr>
                      <w:rFonts w:hint="eastAsia"/>
                      <w:color w:val="auto"/>
                      <w:kern w:val="0"/>
                      <w:szCs w:val="21"/>
                      <w:highlight w:val="none"/>
                      <w:lang w:eastAsia="zh-CN"/>
                    </w:rPr>
                    <w:t>苹果园社区</w:t>
                  </w:r>
                </w:p>
              </w:tc>
              <w:tc>
                <w:tcPr>
                  <w:tcW w:w="635" w:type="pct"/>
                  <w:vAlign w:val="center"/>
                </w:tcPr>
                <w:p w14:paraId="26488233">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6B793BA">
                  <w:pPr>
                    <w:widowControl/>
                    <w:jc w:val="center"/>
                    <w:rPr>
                      <w:color w:val="auto"/>
                      <w:kern w:val="0"/>
                      <w:szCs w:val="21"/>
                      <w:highlight w:val="yellow"/>
                    </w:rPr>
                  </w:pPr>
                </w:p>
              </w:tc>
              <w:tc>
                <w:tcPr>
                  <w:tcW w:w="514" w:type="pct"/>
                  <w:vAlign w:val="center"/>
                </w:tcPr>
                <w:p w14:paraId="0BAB1F10">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WS</w:t>
                  </w:r>
                </w:p>
              </w:tc>
              <w:tc>
                <w:tcPr>
                  <w:tcW w:w="645" w:type="pct"/>
                  <w:vAlign w:val="center"/>
                </w:tcPr>
                <w:p w14:paraId="3ED37025">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314</w:t>
                  </w:r>
                </w:p>
              </w:tc>
            </w:tr>
            <w:tr w14:paraId="790089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9044201">
                  <w:pPr>
                    <w:widowControl/>
                    <w:jc w:val="center"/>
                    <w:rPr>
                      <w:color w:val="auto"/>
                      <w:kern w:val="0"/>
                      <w:szCs w:val="21"/>
                      <w:highlight w:val="none"/>
                    </w:rPr>
                  </w:pPr>
                </w:p>
              </w:tc>
              <w:tc>
                <w:tcPr>
                  <w:tcW w:w="1500" w:type="pct"/>
                  <w:vAlign w:val="center"/>
                </w:tcPr>
                <w:p w14:paraId="2364DEC8">
                  <w:pPr>
                    <w:jc w:val="center"/>
                    <w:rPr>
                      <w:rFonts w:hint="eastAsia" w:eastAsia="宋体"/>
                      <w:color w:val="auto"/>
                      <w:kern w:val="0"/>
                      <w:szCs w:val="21"/>
                      <w:highlight w:val="none"/>
                      <w:lang w:eastAsia="zh-CN"/>
                    </w:rPr>
                  </w:pPr>
                  <w:r>
                    <w:rPr>
                      <w:rFonts w:hint="eastAsia"/>
                      <w:color w:val="auto"/>
                      <w:kern w:val="0"/>
                      <w:szCs w:val="21"/>
                      <w:highlight w:val="none"/>
                      <w:lang w:eastAsia="zh-CN"/>
                    </w:rPr>
                    <w:t>南宿舍社区</w:t>
                  </w:r>
                </w:p>
              </w:tc>
              <w:tc>
                <w:tcPr>
                  <w:tcW w:w="635" w:type="pct"/>
                  <w:vAlign w:val="center"/>
                </w:tcPr>
                <w:p w14:paraId="6FC35DE5">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34F5FFB8">
                  <w:pPr>
                    <w:widowControl/>
                    <w:jc w:val="center"/>
                    <w:rPr>
                      <w:color w:val="auto"/>
                      <w:kern w:val="0"/>
                      <w:szCs w:val="21"/>
                      <w:highlight w:val="yellow"/>
                    </w:rPr>
                  </w:pPr>
                </w:p>
              </w:tc>
              <w:tc>
                <w:tcPr>
                  <w:tcW w:w="514" w:type="pct"/>
                  <w:vAlign w:val="center"/>
                </w:tcPr>
                <w:p w14:paraId="5C60147A">
                  <w:pPr>
                    <w:jc w:val="center"/>
                    <w:rPr>
                      <w:color w:val="auto"/>
                      <w:kern w:val="0"/>
                      <w:szCs w:val="21"/>
                      <w:highlight w:val="none"/>
                    </w:rPr>
                  </w:pPr>
                  <w:r>
                    <w:rPr>
                      <w:color w:val="auto"/>
                      <w:kern w:val="0"/>
                      <w:szCs w:val="21"/>
                      <w:highlight w:val="none"/>
                    </w:rPr>
                    <w:t>S</w:t>
                  </w:r>
                </w:p>
              </w:tc>
              <w:tc>
                <w:tcPr>
                  <w:tcW w:w="645" w:type="pct"/>
                  <w:vAlign w:val="center"/>
                </w:tcPr>
                <w:p w14:paraId="6CFE75F7">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126</w:t>
                  </w:r>
                </w:p>
              </w:tc>
            </w:tr>
            <w:tr w14:paraId="738906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49F4F12">
                  <w:pPr>
                    <w:widowControl/>
                    <w:jc w:val="center"/>
                    <w:rPr>
                      <w:color w:val="auto"/>
                      <w:kern w:val="0"/>
                      <w:szCs w:val="21"/>
                      <w:highlight w:val="none"/>
                    </w:rPr>
                  </w:pPr>
                </w:p>
              </w:tc>
              <w:tc>
                <w:tcPr>
                  <w:tcW w:w="1500" w:type="pct"/>
                  <w:vAlign w:val="center"/>
                </w:tcPr>
                <w:p w14:paraId="0EA93D22">
                  <w:pPr>
                    <w:jc w:val="center"/>
                    <w:rPr>
                      <w:rFonts w:hint="eastAsia" w:eastAsia="宋体"/>
                      <w:color w:val="auto"/>
                      <w:kern w:val="0"/>
                      <w:szCs w:val="21"/>
                      <w:highlight w:val="none"/>
                      <w:lang w:eastAsia="zh-CN"/>
                    </w:rPr>
                  </w:pPr>
                  <w:r>
                    <w:rPr>
                      <w:rFonts w:hint="eastAsia"/>
                      <w:color w:val="auto"/>
                      <w:kern w:val="0"/>
                      <w:szCs w:val="21"/>
                      <w:highlight w:val="none"/>
                      <w:lang w:eastAsia="zh-CN"/>
                    </w:rPr>
                    <w:t>崔军村</w:t>
                  </w:r>
                </w:p>
              </w:tc>
              <w:tc>
                <w:tcPr>
                  <w:tcW w:w="635" w:type="pct"/>
                  <w:vAlign w:val="center"/>
                </w:tcPr>
                <w:p w14:paraId="0D9B01CB">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EA08451">
                  <w:pPr>
                    <w:widowControl/>
                    <w:jc w:val="center"/>
                    <w:rPr>
                      <w:color w:val="auto"/>
                      <w:kern w:val="0"/>
                      <w:szCs w:val="21"/>
                      <w:highlight w:val="none"/>
                    </w:rPr>
                  </w:pPr>
                </w:p>
              </w:tc>
              <w:tc>
                <w:tcPr>
                  <w:tcW w:w="514" w:type="pct"/>
                  <w:vAlign w:val="center"/>
                </w:tcPr>
                <w:p w14:paraId="3F00DA69">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S</w:t>
                  </w:r>
                </w:p>
              </w:tc>
              <w:tc>
                <w:tcPr>
                  <w:tcW w:w="645" w:type="pct"/>
                  <w:vAlign w:val="center"/>
                </w:tcPr>
                <w:p w14:paraId="1EC7D6D2">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162</w:t>
                  </w:r>
                </w:p>
              </w:tc>
            </w:tr>
            <w:tr w14:paraId="0BE90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6ACF8415">
                  <w:pPr>
                    <w:widowControl/>
                    <w:jc w:val="center"/>
                    <w:rPr>
                      <w:color w:val="auto"/>
                      <w:kern w:val="0"/>
                      <w:szCs w:val="21"/>
                      <w:highlight w:val="none"/>
                    </w:rPr>
                  </w:pPr>
                </w:p>
              </w:tc>
              <w:tc>
                <w:tcPr>
                  <w:tcW w:w="1500" w:type="pct"/>
                  <w:vAlign w:val="center"/>
                </w:tcPr>
                <w:p w14:paraId="360B0BBF">
                  <w:pPr>
                    <w:jc w:val="center"/>
                    <w:rPr>
                      <w:rFonts w:hint="eastAsia" w:eastAsia="宋体"/>
                      <w:color w:val="auto"/>
                      <w:kern w:val="0"/>
                      <w:szCs w:val="21"/>
                      <w:highlight w:val="none"/>
                      <w:lang w:eastAsia="zh-CN"/>
                    </w:rPr>
                  </w:pPr>
                  <w:r>
                    <w:rPr>
                      <w:rFonts w:hint="eastAsia"/>
                      <w:color w:val="auto"/>
                      <w:kern w:val="0"/>
                      <w:szCs w:val="21"/>
                      <w:highlight w:val="none"/>
                      <w:lang w:eastAsia="zh-CN"/>
                    </w:rPr>
                    <w:t>南沣村</w:t>
                  </w:r>
                </w:p>
              </w:tc>
              <w:tc>
                <w:tcPr>
                  <w:tcW w:w="635" w:type="pct"/>
                  <w:vAlign w:val="center"/>
                </w:tcPr>
                <w:p w14:paraId="60CE6A70">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69D63289">
                  <w:pPr>
                    <w:widowControl/>
                    <w:jc w:val="center"/>
                    <w:rPr>
                      <w:color w:val="auto"/>
                      <w:kern w:val="0"/>
                      <w:szCs w:val="21"/>
                      <w:highlight w:val="yellow"/>
                    </w:rPr>
                  </w:pPr>
                </w:p>
              </w:tc>
              <w:tc>
                <w:tcPr>
                  <w:tcW w:w="514" w:type="pct"/>
                  <w:vAlign w:val="center"/>
                </w:tcPr>
                <w:p w14:paraId="595DA888">
                  <w:pPr>
                    <w:jc w:val="center"/>
                    <w:rPr>
                      <w:rFonts w:hint="eastAsia" w:eastAsia="宋体"/>
                      <w:color w:val="auto"/>
                      <w:kern w:val="0"/>
                      <w:szCs w:val="21"/>
                      <w:highlight w:val="none"/>
                      <w:lang w:eastAsia="zh-CN"/>
                    </w:rPr>
                  </w:pPr>
                  <w:r>
                    <w:rPr>
                      <w:rFonts w:hint="eastAsia"/>
                      <w:color w:val="auto"/>
                      <w:kern w:val="0"/>
                      <w:szCs w:val="21"/>
                      <w:highlight w:val="none"/>
                      <w:lang w:eastAsia="zh-CN"/>
                    </w:rPr>
                    <w:t>穿过</w:t>
                  </w:r>
                </w:p>
              </w:tc>
              <w:tc>
                <w:tcPr>
                  <w:tcW w:w="645" w:type="pct"/>
                  <w:vAlign w:val="center"/>
                </w:tcPr>
                <w:p w14:paraId="79173F6C">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r>
            <w:tr w14:paraId="58E32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04B7C3FE">
                  <w:pPr>
                    <w:widowControl/>
                    <w:jc w:val="center"/>
                    <w:rPr>
                      <w:color w:val="auto"/>
                      <w:kern w:val="0"/>
                      <w:szCs w:val="21"/>
                      <w:highlight w:val="none"/>
                    </w:rPr>
                  </w:pPr>
                </w:p>
              </w:tc>
              <w:tc>
                <w:tcPr>
                  <w:tcW w:w="1500" w:type="pct"/>
                  <w:vAlign w:val="center"/>
                </w:tcPr>
                <w:p w14:paraId="18E6A95D">
                  <w:pPr>
                    <w:jc w:val="center"/>
                    <w:rPr>
                      <w:rFonts w:hint="eastAsia" w:eastAsia="宋体"/>
                      <w:color w:val="auto"/>
                      <w:kern w:val="0"/>
                      <w:szCs w:val="21"/>
                      <w:highlight w:val="none"/>
                      <w:lang w:eastAsia="zh-CN"/>
                    </w:rPr>
                  </w:pPr>
                  <w:r>
                    <w:rPr>
                      <w:rFonts w:hint="eastAsia"/>
                      <w:color w:val="auto"/>
                      <w:kern w:val="0"/>
                      <w:szCs w:val="21"/>
                      <w:highlight w:val="none"/>
                      <w:lang w:eastAsia="zh-CN"/>
                    </w:rPr>
                    <w:t>龙洋小区</w:t>
                  </w:r>
                </w:p>
              </w:tc>
              <w:tc>
                <w:tcPr>
                  <w:tcW w:w="635" w:type="pct"/>
                  <w:vAlign w:val="center"/>
                </w:tcPr>
                <w:p w14:paraId="63FC1034">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5806764D">
                  <w:pPr>
                    <w:widowControl/>
                    <w:jc w:val="center"/>
                    <w:rPr>
                      <w:color w:val="auto"/>
                      <w:kern w:val="0"/>
                      <w:szCs w:val="21"/>
                      <w:highlight w:val="yellow"/>
                    </w:rPr>
                  </w:pPr>
                </w:p>
              </w:tc>
              <w:tc>
                <w:tcPr>
                  <w:tcW w:w="514" w:type="pct"/>
                  <w:vAlign w:val="center"/>
                </w:tcPr>
                <w:p w14:paraId="0AF558E5">
                  <w:pPr>
                    <w:jc w:val="center"/>
                    <w:rPr>
                      <w:color w:val="auto"/>
                      <w:kern w:val="0"/>
                      <w:szCs w:val="21"/>
                      <w:highlight w:val="none"/>
                    </w:rPr>
                  </w:pPr>
                  <w:r>
                    <w:rPr>
                      <w:color w:val="auto"/>
                      <w:kern w:val="0"/>
                      <w:szCs w:val="21"/>
                      <w:highlight w:val="none"/>
                    </w:rPr>
                    <w:t>N</w:t>
                  </w:r>
                </w:p>
              </w:tc>
              <w:tc>
                <w:tcPr>
                  <w:tcW w:w="645" w:type="pct"/>
                  <w:vAlign w:val="center"/>
                </w:tcPr>
                <w:p w14:paraId="015FF268">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45</w:t>
                  </w:r>
                </w:p>
              </w:tc>
            </w:tr>
            <w:tr w14:paraId="1075D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1EA2831E">
                  <w:pPr>
                    <w:widowControl/>
                    <w:jc w:val="center"/>
                    <w:rPr>
                      <w:color w:val="auto"/>
                      <w:kern w:val="0"/>
                      <w:szCs w:val="21"/>
                      <w:highlight w:val="none"/>
                    </w:rPr>
                  </w:pPr>
                </w:p>
              </w:tc>
              <w:tc>
                <w:tcPr>
                  <w:tcW w:w="1500" w:type="pct"/>
                  <w:vAlign w:val="center"/>
                </w:tcPr>
                <w:p w14:paraId="5B8CE2A0">
                  <w:pPr>
                    <w:jc w:val="center"/>
                    <w:rPr>
                      <w:rFonts w:hint="eastAsia" w:eastAsia="宋体"/>
                      <w:color w:val="auto"/>
                      <w:kern w:val="0"/>
                      <w:szCs w:val="21"/>
                      <w:highlight w:val="none"/>
                      <w:lang w:eastAsia="zh-CN"/>
                    </w:rPr>
                  </w:pPr>
                  <w:r>
                    <w:rPr>
                      <w:rFonts w:hint="eastAsia"/>
                      <w:color w:val="auto"/>
                      <w:kern w:val="0"/>
                      <w:szCs w:val="21"/>
                      <w:highlight w:val="none"/>
                      <w:lang w:eastAsia="zh-CN"/>
                    </w:rPr>
                    <w:t>北沣村</w:t>
                  </w:r>
                </w:p>
              </w:tc>
              <w:tc>
                <w:tcPr>
                  <w:tcW w:w="635" w:type="pct"/>
                  <w:vAlign w:val="center"/>
                </w:tcPr>
                <w:p w14:paraId="46DEEDF7">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715BEE66">
                  <w:pPr>
                    <w:widowControl/>
                    <w:jc w:val="center"/>
                    <w:rPr>
                      <w:color w:val="auto"/>
                      <w:kern w:val="0"/>
                      <w:szCs w:val="21"/>
                      <w:highlight w:val="none"/>
                    </w:rPr>
                  </w:pPr>
                </w:p>
              </w:tc>
              <w:tc>
                <w:tcPr>
                  <w:tcW w:w="514" w:type="pct"/>
                  <w:vAlign w:val="center"/>
                </w:tcPr>
                <w:p w14:paraId="6ED5BECE">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N</w:t>
                  </w:r>
                </w:p>
              </w:tc>
              <w:tc>
                <w:tcPr>
                  <w:tcW w:w="645" w:type="pct"/>
                  <w:vAlign w:val="center"/>
                </w:tcPr>
                <w:p w14:paraId="1905D981">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189</w:t>
                  </w:r>
                </w:p>
              </w:tc>
            </w:tr>
            <w:tr w14:paraId="1DA7A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13AAF070">
                  <w:pPr>
                    <w:widowControl/>
                    <w:jc w:val="center"/>
                    <w:rPr>
                      <w:color w:val="auto"/>
                      <w:kern w:val="0"/>
                      <w:szCs w:val="21"/>
                      <w:highlight w:val="none"/>
                    </w:rPr>
                  </w:pPr>
                </w:p>
              </w:tc>
              <w:tc>
                <w:tcPr>
                  <w:tcW w:w="1500" w:type="pct"/>
                  <w:vAlign w:val="center"/>
                </w:tcPr>
                <w:p w14:paraId="1FD6AF76">
                  <w:pPr>
                    <w:jc w:val="center"/>
                    <w:rPr>
                      <w:rFonts w:hint="eastAsia" w:eastAsia="宋体"/>
                      <w:color w:val="auto"/>
                      <w:kern w:val="0"/>
                      <w:szCs w:val="21"/>
                      <w:highlight w:val="none"/>
                      <w:lang w:eastAsia="zh-CN"/>
                    </w:rPr>
                  </w:pPr>
                  <w:r>
                    <w:rPr>
                      <w:rFonts w:hint="eastAsia"/>
                      <w:color w:val="auto"/>
                      <w:kern w:val="0"/>
                      <w:szCs w:val="21"/>
                      <w:highlight w:val="none"/>
                      <w:lang w:eastAsia="zh-CN"/>
                    </w:rPr>
                    <w:t>寨子村</w:t>
                  </w:r>
                </w:p>
              </w:tc>
              <w:tc>
                <w:tcPr>
                  <w:tcW w:w="635" w:type="pct"/>
                  <w:vAlign w:val="center"/>
                </w:tcPr>
                <w:p w14:paraId="0A16133E">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BECEF0B">
                  <w:pPr>
                    <w:widowControl/>
                    <w:jc w:val="center"/>
                    <w:rPr>
                      <w:color w:val="auto"/>
                      <w:kern w:val="0"/>
                      <w:szCs w:val="21"/>
                      <w:highlight w:val="yellow"/>
                    </w:rPr>
                  </w:pPr>
                </w:p>
              </w:tc>
              <w:tc>
                <w:tcPr>
                  <w:tcW w:w="514" w:type="pct"/>
                  <w:vAlign w:val="center"/>
                </w:tcPr>
                <w:p w14:paraId="1B9B3158">
                  <w:pPr>
                    <w:jc w:val="center"/>
                    <w:rPr>
                      <w:rFonts w:hint="eastAsia" w:eastAsia="宋体"/>
                      <w:color w:val="auto"/>
                      <w:kern w:val="0"/>
                      <w:szCs w:val="21"/>
                      <w:highlight w:val="none"/>
                      <w:lang w:eastAsia="zh-CN"/>
                    </w:rPr>
                  </w:pPr>
                  <w:r>
                    <w:rPr>
                      <w:rFonts w:hint="eastAsia"/>
                      <w:color w:val="auto"/>
                      <w:kern w:val="0"/>
                      <w:szCs w:val="21"/>
                      <w:highlight w:val="none"/>
                      <w:lang w:eastAsia="zh-CN"/>
                    </w:rPr>
                    <w:t>穿过</w:t>
                  </w:r>
                </w:p>
              </w:tc>
              <w:tc>
                <w:tcPr>
                  <w:tcW w:w="645" w:type="pct"/>
                  <w:vAlign w:val="center"/>
                </w:tcPr>
                <w:p w14:paraId="2BC0C739">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r>
            <w:tr w14:paraId="1E591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450EFF25">
                  <w:pPr>
                    <w:widowControl/>
                    <w:jc w:val="center"/>
                    <w:rPr>
                      <w:color w:val="auto"/>
                      <w:kern w:val="0"/>
                      <w:szCs w:val="21"/>
                      <w:highlight w:val="none"/>
                    </w:rPr>
                  </w:pPr>
                </w:p>
              </w:tc>
              <w:tc>
                <w:tcPr>
                  <w:tcW w:w="1500" w:type="pct"/>
                  <w:vAlign w:val="center"/>
                </w:tcPr>
                <w:p w14:paraId="6B5EFB77">
                  <w:pPr>
                    <w:jc w:val="center"/>
                    <w:rPr>
                      <w:rFonts w:hint="eastAsia" w:eastAsia="宋体"/>
                      <w:color w:val="auto"/>
                      <w:kern w:val="0"/>
                      <w:szCs w:val="21"/>
                      <w:highlight w:val="none"/>
                      <w:lang w:eastAsia="zh-CN"/>
                    </w:rPr>
                  </w:pPr>
                  <w:r>
                    <w:rPr>
                      <w:rFonts w:hint="eastAsia"/>
                      <w:color w:val="auto"/>
                      <w:kern w:val="0"/>
                      <w:szCs w:val="21"/>
                      <w:highlight w:val="none"/>
                      <w:lang w:eastAsia="zh-CN"/>
                    </w:rPr>
                    <w:t>矿山社区</w:t>
                  </w:r>
                </w:p>
              </w:tc>
              <w:tc>
                <w:tcPr>
                  <w:tcW w:w="635" w:type="pct"/>
                  <w:vAlign w:val="center"/>
                </w:tcPr>
                <w:p w14:paraId="35E1F9F2">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393E7A2D">
                  <w:pPr>
                    <w:widowControl/>
                    <w:jc w:val="center"/>
                    <w:rPr>
                      <w:color w:val="auto"/>
                      <w:kern w:val="0"/>
                      <w:szCs w:val="21"/>
                      <w:highlight w:val="yellow"/>
                    </w:rPr>
                  </w:pPr>
                </w:p>
              </w:tc>
              <w:tc>
                <w:tcPr>
                  <w:tcW w:w="514" w:type="pct"/>
                  <w:vAlign w:val="center"/>
                </w:tcPr>
                <w:p w14:paraId="2CE1F235">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ES</w:t>
                  </w:r>
                </w:p>
              </w:tc>
              <w:tc>
                <w:tcPr>
                  <w:tcW w:w="645" w:type="pct"/>
                  <w:vAlign w:val="center"/>
                </w:tcPr>
                <w:p w14:paraId="73159745">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147</w:t>
                  </w:r>
                </w:p>
              </w:tc>
            </w:tr>
            <w:tr w14:paraId="490AC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restart"/>
                  <w:vAlign w:val="center"/>
                </w:tcPr>
                <w:p w14:paraId="45044330">
                  <w:pPr>
                    <w:widowControl/>
                    <w:jc w:val="center"/>
                    <w:rPr>
                      <w:color w:val="auto"/>
                      <w:kern w:val="0"/>
                      <w:szCs w:val="21"/>
                      <w:highlight w:val="none"/>
                    </w:rPr>
                  </w:pPr>
                  <w:r>
                    <w:rPr>
                      <w:color w:val="auto"/>
                      <w:kern w:val="0"/>
                      <w:szCs w:val="21"/>
                      <w:highlight w:val="none"/>
                    </w:rPr>
                    <w:t>声环境</w:t>
                  </w:r>
                </w:p>
              </w:tc>
              <w:tc>
                <w:tcPr>
                  <w:tcW w:w="1500" w:type="pct"/>
                  <w:shd w:val="clear" w:color="auto" w:fill="auto"/>
                  <w:vAlign w:val="center"/>
                </w:tcPr>
                <w:p w14:paraId="4F924FD8">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南沣村</w:t>
                  </w:r>
                </w:p>
              </w:tc>
              <w:tc>
                <w:tcPr>
                  <w:tcW w:w="635" w:type="pct"/>
                  <w:shd w:val="clear" w:color="auto" w:fill="auto"/>
                  <w:vAlign w:val="center"/>
                </w:tcPr>
                <w:p w14:paraId="3B0DEF48">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restart"/>
                  <w:vAlign w:val="center"/>
                </w:tcPr>
                <w:p w14:paraId="20A16085">
                  <w:pPr>
                    <w:autoSpaceDE w:val="0"/>
                    <w:autoSpaceDN w:val="0"/>
                    <w:jc w:val="center"/>
                    <w:rPr>
                      <w:color w:val="auto"/>
                      <w:kern w:val="0"/>
                      <w:szCs w:val="21"/>
                      <w:highlight w:val="none"/>
                    </w:rPr>
                  </w:pPr>
                  <w:r>
                    <w:rPr>
                      <w:color w:val="auto"/>
                      <w:szCs w:val="21"/>
                      <w:highlight w:val="none"/>
                    </w:rPr>
                    <w:t>《声环境质量标准》（GB3096-2008）的2类声环境功能区要求</w:t>
                  </w:r>
                </w:p>
              </w:tc>
              <w:tc>
                <w:tcPr>
                  <w:tcW w:w="514" w:type="pct"/>
                  <w:shd w:val="clear" w:color="auto" w:fill="auto"/>
                  <w:vAlign w:val="center"/>
                </w:tcPr>
                <w:p w14:paraId="6A008D1B">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穿过</w:t>
                  </w:r>
                </w:p>
              </w:tc>
              <w:tc>
                <w:tcPr>
                  <w:tcW w:w="645" w:type="pct"/>
                  <w:shd w:val="clear" w:color="auto" w:fill="auto"/>
                  <w:vAlign w:val="center"/>
                </w:tcPr>
                <w:p w14:paraId="323226E4">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t>
                  </w:r>
                </w:p>
              </w:tc>
            </w:tr>
            <w:tr w14:paraId="06592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3DEAAB2F">
                  <w:pPr>
                    <w:widowControl/>
                    <w:jc w:val="center"/>
                    <w:rPr>
                      <w:color w:val="auto"/>
                      <w:kern w:val="0"/>
                      <w:szCs w:val="21"/>
                      <w:highlight w:val="none"/>
                    </w:rPr>
                  </w:pPr>
                </w:p>
              </w:tc>
              <w:tc>
                <w:tcPr>
                  <w:tcW w:w="1500" w:type="pct"/>
                  <w:shd w:val="clear" w:color="auto" w:fill="auto"/>
                  <w:vAlign w:val="center"/>
                </w:tcPr>
                <w:p w14:paraId="6EB5FB2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寨子村</w:t>
                  </w:r>
                </w:p>
              </w:tc>
              <w:tc>
                <w:tcPr>
                  <w:tcW w:w="635" w:type="pct"/>
                  <w:shd w:val="clear" w:color="auto" w:fill="auto"/>
                  <w:vAlign w:val="center"/>
                </w:tcPr>
                <w:p w14:paraId="5670A8CF">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3B08FC78">
                  <w:pPr>
                    <w:autoSpaceDE w:val="0"/>
                    <w:autoSpaceDN w:val="0"/>
                    <w:jc w:val="center"/>
                    <w:rPr>
                      <w:color w:val="auto"/>
                      <w:szCs w:val="21"/>
                      <w:highlight w:val="none"/>
                    </w:rPr>
                  </w:pPr>
                </w:p>
              </w:tc>
              <w:tc>
                <w:tcPr>
                  <w:tcW w:w="514" w:type="pct"/>
                  <w:shd w:val="clear" w:color="auto" w:fill="auto"/>
                  <w:vAlign w:val="center"/>
                </w:tcPr>
                <w:p w14:paraId="62CA5751">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穿过</w:t>
                  </w:r>
                </w:p>
              </w:tc>
              <w:tc>
                <w:tcPr>
                  <w:tcW w:w="645" w:type="pct"/>
                  <w:shd w:val="clear" w:color="auto" w:fill="auto"/>
                  <w:vAlign w:val="center"/>
                </w:tcPr>
                <w:p w14:paraId="0784A27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t>
                  </w:r>
                </w:p>
              </w:tc>
            </w:tr>
            <w:tr w14:paraId="6456F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257E8F66">
                  <w:pPr>
                    <w:widowControl/>
                    <w:jc w:val="center"/>
                    <w:rPr>
                      <w:color w:val="auto"/>
                      <w:kern w:val="0"/>
                      <w:szCs w:val="21"/>
                      <w:highlight w:val="none"/>
                    </w:rPr>
                  </w:pPr>
                </w:p>
              </w:tc>
              <w:tc>
                <w:tcPr>
                  <w:tcW w:w="1500" w:type="pct"/>
                  <w:shd w:val="clear" w:color="auto" w:fill="auto"/>
                  <w:vAlign w:val="center"/>
                </w:tcPr>
                <w:p w14:paraId="034FF082">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晴照园小区</w:t>
                  </w:r>
                </w:p>
              </w:tc>
              <w:tc>
                <w:tcPr>
                  <w:tcW w:w="635" w:type="pct"/>
                  <w:shd w:val="clear" w:color="auto" w:fill="auto"/>
                  <w:vAlign w:val="center"/>
                </w:tcPr>
                <w:p w14:paraId="2CCA6466">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6B7A673C">
                  <w:pPr>
                    <w:autoSpaceDE w:val="0"/>
                    <w:autoSpaceDN w:val="0"/>
                    <w:jc w:val="center"/>
                    <w:rPr>
                      <w:color w:val="auto"/>
                      <w:szCs w:val="21"/>
                      <w:highlight w:val="none"/>
                    </w:rPr>
                  </w:pPr>
                </w:p>
              </w:tc>
              <w:tc>
                <w:tcPr>
                  <w:tcW w:w="514" w:type="pct"/>
                  <w:shd w:val="clear" w:color="auto" w:fill="auto"/>
                  <w:vAlign w:val="center"/>
                </w:tcPr>
                <w:p w14:paraId="51D752E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N</w:t>
                  </w:r>
                </w:p>
              </w:tc>
              <w:tc>
                <w:tcPr>
                  <w:tcW w:w="645" w:type="pct"/>
                  <w:shd w:val="clear" w:color="auto" w:fill="auto"/>
                  <w:vAlign w:val="center"/>
                </w:tcPr>
                <w:p w14:paraId="4C93FCD3">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36</w:t>
                  </w:r>
                </w:p>
              </w:tc>
            </w:tr>
            <w:tr w14:paraId="7B5BF9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7779DCC8">
                  <w:pPr>
                    <w:widowControl/>
                    <w:jc w:val="center"/>
                    <w:rPr>
                      <w:color w:val="auto"/>
                      <w:kern w:val="0"/>
                      <w:szCs w:val="21"/>
                      <w:highlight w:val="yellow"/>
                    </w:rPr>
                  </w:pPr>
                </w:p>
              </w:tc>
              <w:tc>
                <w:tcPr>
                  <w:tcW w:w="1500" w:type="pct"/>
                  <w:shd w:val="clear" w:color="auto" w:fill="auto"/>
                  <w:vAlign w:val="center"/>
                </w:tcPr>
                <w:p w14:paraId="1917D9D9">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龙洋小区</w:t>
                  </w:r>
                </w:p>
              </w:tc>
              <w:tc>
                <w:tcPr>
                  <w:tcW w:w="635" w:type="pct"/>
                  <w:shd w:val="clear" w:color="auto" w:fill="auto"/>
                  <w:vAlign w:val="center"/>
                </w:tcPr>
                <w:p w14:paraId="430D109B">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6742DBAE">
                  <w:pPr>
                    <w:autoSpaceDE w:val="0"/>
                    <w:autoSpaceDN w:val="0"/>
                    <w:jc w:val="center"/>
                    <w:rPr>
                      <w:color w:val="auto"/>
                      <w:szCs w:val="21"/>
                      <w:highlight w:val="yellow"/>
                    </w:rPr>
                  </w:pPr>
                </w:p>
              </w:tc>
              <w:tc>
                <w:tcPr>
                  <w:tcW w:w="514" w:type="pct"/>
                  <w:shd w:val="clear" w:color="auto" w:fill="auto"/>
                  <w:vAlign w:val="center"/>
                </w:tcPr>
                <w:p w14:paraId="0AF28618">
                  <w:pPr>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N</w:t>
                  </w:r>
                </w:p>
              </w:tc>
              <w:tc>
                <w:tcPr>
                  <w:tcW w:w="645" w:type="pct"/>
                  <w:shd w:val="clear" w:color="auto" w:fill="auto"/>
                  <w:vAlign w:val="center"/>
                </w:tcPr>
                <w:p w14:paraId="150EFF11">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45</w:t>
                  </w:r>
                </w:p>
              </w:tc>
            </w:tr>
            <w:tr w14:paraId="0B6FB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Align w:val="center"/>
                </w:tcPr>
                <w:p w14:paraId="4AD25BD2">
                  <w:pPr>
                    <w:widowControl/>
                    <w:jc w:val="center"/>
                    <w:rPr>
                      <w:color w:val="auto"/>
                      <w:kern w:val="0"/>
                      <w:szCs w:val="21"/>
                      <w:highlight w:val="none"/>
                    </w:rPr>
                  </w:pPr>
                  <w:r>
                    <w:rPr>
                      <w:color w:val="auto"/>
                      <w:kern w:val="0"/>
                      <w:szCs w:val="21"/>
                      <w:highlight w:val="none"/>
                    </w:rPr>
                    <w:t>地下水环境</w:t>
                  </w:r>
                </w:p>
              </w:tc>
              <w:tc>
                <w:tcPr>
                  <w:tcW w:w="2136" w:type="pct"/>
                  <w:gridSpan w:val="2"/>
                  <w:vAlign w:val="center"/>
                </w:tcPr>
                <w:p w14:paraId="03196687">
                  <w:pPr>
                    <w:widowControl/>
                    <w:jc w:val="center"/>
                    <w:rPr>
                      <w:color w:val="auto"/>
                      <w:kern w:val="0"/>
                      <w:szCs w:val="21"/>
                      <w:highlight w:val="none"/>
                    </w:rPr>
                  </w:pPr>
                  <w:r>
                    <w:rPr>
                      <w:color w:val="auto"/>
                      <w:kern w:val="0"/>
                      <w:szCs w:val="21"/>
                      <w:highlight w:val="none"/>
                    </w:rPr>
                    <w:t>厂界外500米范围内无地下水集中式饮用水源和热水、矿泉水、温泉等特殊地下水资源</w:t>
                  </w:r>
                </w:p>
              </w:tc>
              <w:tc>
                <w:tcPr>
                  <w:tcW w:w="1222" w:type="pct"/>
                  <w:vAlign w:val="center"/>
                </w:tcPr>
                <w:p w14:paraId="007EF75A">
                  <w:pPr>
                    <w:autoSpaceDE w:val="0"/>
                    <w:autoSpaceDN w:val="0"/>
                    <w:jc w:val="center"/>
                    <w:rPr>
                      <w:color w:val="auto"/>
                      <w:kern w:val="0"/>
                      <w:szCs w:val="21"/>
                      <w:highlight w:val="none"/>
                    </w:rPr>
                  </w:pPr>
                  <w:r>
                    <w:rPr>
                      <w:color w:val="auto"/>
                      <w:szCs w:val="21"/>
                      <w:highlight w:val="none"/>
                    </w:rPr>
                    <w:t>《地下水质量标准》（GB/T14848-2017）Ⅲ类标准</w:t>
                  </w:r>
                </w:p>
              </w:tc>
              <w:tc>
                <w:tcPr>
                  <w:tcW w:w="514" w:type="pct"/>
                  <w:vAlign w:val="center"/>
                </w:tcPr>
                <w:p w14:paraId="21E3F4EB">
                  <w:pPr>
                    <w:autoSpaceDE w:val="0"/>
                    <w:autoSpaceDN w:val="0"/>
                    <w:jc w:val="center"/>
                    <w:rPr>
                      <w:color w:val="auto"/>
                      <w:kern w:val="0"/>
                      <w:szCs w:val="21"/>
                      <w:highlight w:val="none"/>
                    </w:rPr>
                  </w:pPr>
                  <w:r>
                    <w:rPr>
                      <w:color w:val="auto"/>
                      <w:kern w:val="0"/>
                      <w:szCs w:val="21"/>
                      <w:highlight w:val="none"/>
                    </w:rPr>
                    <w:t>/</w:t>
                  </w:r>
                </w:p>
              </w:tc>
              <w:tc>
                <w:tcPr>
                  <w:tcW w:w="645" w:type="pct"/>
                  <w:vAlign w:val="center"/>
                </w:tcPr>
                <w:p w14:paraId="41378ED7">
                  <w:pPr>
                    <w:autoSpaceDE w:val="0"/>
                    <w:autoSpaceDN w:val="0"/>
                    <w:jc w:val="center"/>
                    <w:rPr>
                      <w:color w:val="auto"/>
                      <w:kern w:val="0"/>
                      <w:szCs w:val="21"/>
                      <w:highlight w:val="none"/>
                    </w:rPr>
                  </w:pPr>
                  <w:r>
                    <w:rPr>
                      <w:color w:val="auto"/>
                      <w:kern w:val="0"/>
                      <w:szCs w:val="21"/>
                      <w:highlight w:val="none"/>
                    </w:rPr>
                    <w:t>/</w:t>
                  </w:r>
                </w:p>
              </w:tc>
            </w:tr>
            <w:tr w14:paraId="45C82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Align w:val="center"/>
                </w:tcPr>
                <w:p w14:paraId="5732BD8C">
                  <w:pPr>
                    <w:jc w:val="center"/>
                    <w:rPr>
                      <w:color w:val="auto"/>
                      <w:kern w:val="0"/>
                      <w:szCs w:val="21"/>
                      <w:highlight w:val="none"/>
                    </w:rPr>
                  </w:pPr>
                  <w:r>
                    <w:rPr>
                      <w:color w:val="auto"/>
                      <w:szCs w:val="21"/>
                      <w:highlight w:val="none"/>
                    </w:rPr>
                    <w:t>地表水</w:t>
                  </w:r>
                </w:p>
              </w:tc>
              <w:tc>
                <w:tcPr>
                  <w:tcW w:w="2136" w:type="pct"/>
                  <w:gridSpan w:val="2"/>
                  <w:vAlign w:val="center"/>
                </w:tcPr>
                <w:p w14:paraId="509E86B0">
                  <w:pPr>
                    <w:jc w:val="center"/>
                    <w:rPr>
                      <w:rFonts w:hint="eastAsia" w:eastAsia="宋体"/>
                      <w:color w:val="auto"/>
                      <w:kern w:val="0"/>
                      <w:szCs w:val="21"/>
                      <w:highlight w:val="none"/>
                      <w:lang w:eastAsia="zh-CN"/>
                    </w:rPr>
                  </w:pPr>
                  <w:r>
                    <w:rPr>
                      <w:rFonts w:hint="eastAsia"/>
                      <w:color w:val="auto"/>
                      <w:kern w:val="0"/>
                      <w:szCs w:val="21"/>
                      <w:highlight w:val="none"/>
                      <w:lang w:eastAsia="zh-CN"/>
                    </w:rPr>
                    <w:t>东猪龙河</w:t>
                  </w:r>
                </w:p>
              </w:tc>
              <w:tc>
                <w:tcPr>
                  <w:tcW w:w="1222" w:type="pct"/>
                  <w:vAlign w:val="center"/>
                </w:tcPr>
                <w:p w14:paraId="6CA1FE2D">
                  <w:pPr>
                    <w:jc w:val="center"/>
                    <w:rPr>
                      <w:color w:val="auto"/>
                      <w:szCs w:val="21"/>
                      <w:highlight w:val="none"/>
                    </w:rPr>
                  </w:pPr>
                  <w:r>
                    <w:rPr>
                      <w:color w:val="auto"/>
                      <w:szCs w:val="21"/>
                      <w:highlight w:val="none"/>
                    </w:rPr>
                    <w:t>《地表水环境质量标准》（GB3838-2002）</w:t>
                  </w:r>
                  <w:r>
                    <w:rPr>
                      <w:color w:val="auto"/>
                      <w:spacing w:val="-2"/>
                      <w:szCs w:val="21"/>
                      <w:highlight w:val="none"/>
                    </w:rPr>
                    <w:t>V</w:t>
                  </w:r>
                  <w:r>
                    <w:rPr>
                      <w:color w:val="auto"/>
                      <w:szCs w:val="21"/>
                      <w:highlight w:val="none"/>
                    </w:rPr>
                    <w:t>类标准</w:t>
                  </w:r>
                </w:p>
              </w:tc>
              <w:tc>
                <w:tcPr>
                  <w:tcW w:w="1159" w:type="pct"/>
                  <w:gridSpan w:val="2"/>
                  <w:vAlign w:val="center"/>
                </w:tcPr>
                <w:p w14:paraId="1DA1084C">
                  <w:pPr>
                    <w:jc w:val="center"/>
                    <w:rPr>
                      <w:color w:val="auto"/>
                      <w:kern w:val="0"/>
                      <w:szCs w:val="21"/>
                      <w:highlight w:val="none"/>
                    </w:rPr>
                  </w:pPr>
                  <w:r>
                    <w:rPr>
                      <w:color w:val="auto"/>
                      <w:kern w:val="0"/>
                      <w:szCs w:val="21"/>
                      <w:highlight w:val="none"/>
                    </w:rPr>
                    <w:t>本次施工河道之一</w:t>
                  </w:r>
                </w:p>
              </w:tc>
            </w:tr>
            <w:tr w14:paraId="2C3EE5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Align w:val="center"/>
                </w:tcPr>
                <w:p w14:paraId="78347626">
                  <w:pPr>
                    <w:autoSpaceDE w:val="0"/>
                    <w:autoSpaceDN w:val="0"/>
                    <w:jc w:val="center"/>
                    <w:rPr>
                      <w:color w:val="auto"/>
                      <w:kern w:val="0"/>
                      <w:szCs w:val="21"/>
                      <w:highlight w:val="none"/>
                    </w:rPr>
                  </w:pPr>
                  <w:r>
                    <w:rPr>
                      <w:color w:val="auto"/>
                      <w:kern w:val="0"/>
                      <w:szCs w:val="21"/>
                      <w:highlight w:val="none"/>
                    </w:rPr>
                    <w:t>生态</w:t>
                  </w:r>
                </w:p>
                <w:p w14:paraId="0FA591CF">
                  <w:pPr>
                    <w:autoSpaceDE w:val="0"/>
                    <w:autoSpaceDN w:val="0"/>
                    <w:jc w:val="center"/>
                    <w:rPr>
                      <w:color w:val="auto"/>
                      <w:kern w:val="0"/>
                      <w:szCs w:val="21"/>
                      <w:highlight w:val="none"/>
                    </w:rPr>
                  </w:pPr>
                  <w:r>
                    <w:rPr>
                      <w:color w:val="auto"/>
                      <w:kern w:val="0"/>
                      <w:szCs w:val="21"/>
                      <w:highlight w:val="none"/>
                    </w:rPr>
                    <w:t>环境</w:t>
                  </w:r>
                </w:p>
              </w:tc>
              <w:tc>
                <w:tcPr>
                  <w:tcW w:w="4518" w:type="pct"/>
                  <w:gridSpan w:val="5"/>
                  <w:vAlign w:val="center"/>
                </w:tcPr>
                <w:p w14:paraId="5DD76B5E">
                  <w:pPr>
                    <w:widowControl/>
                    <w:jc w:val="center"/>
                    <w:rPr>
                      <w:color w:val="auto"/>
                      <w:kern w:val="0"/>
                      <w:szCs w:val="21"/>
                      <w:highlight w:val="none"/>
                    </w:rPr>
                  </w:pPr>
                  <w:r>
                    <w:rPr>
                      <w:color w:val="auto"/>
                      <w:szCs w:val="21"/>
                      <w:highlight w:val="none"/>
                    </w:rPr>
                    <w:t>项目生态评价范围内无受影响的重要物种、生态敏感区以及其他需要保护的物种、种群、生物群落及生态空间等</w:t>
                  </w:r>
                </w:p>
              </w:tc>
            </w:tr>
          </w:tbl>
          <w:p w14:paraId="03FE8A66">
            <w:pPr>
              <w:numPr>
                <w:ilvl w:val="0"/>
                <w:numId w:val="7"/>
              </w:numPr>
              <w:snapToGrid w:val="0"/>
              <w:spacing w:line="360" w:lineRule="auto"/>
              <w:ind w:firstLine="480" w:firstLineChars="200"/>
              <w:rPr>
                <w:color w:val="auto"/>
                <w:sz w:val="24"/>
              </w:rPr>
            </w:pPr>
            <w:r>
              <w:rPr>
                <w:color w:val="auto"/>
                <w:sz w:val="24"/>
              </w:rPr>
              <w:t>瓦村沟</w:t>
            </w:r>
            <w:r>
              <w:rPr>
                <w:rFonts w:hint="eastAsia"/>
                <w:color w:val="auto"/>
                <w:sz w:val="24"/>
                <w:lang w:eastAsia="zh-CN"/>
              </w:rPr>
              <w:t>治理范围：</w:t>
            </w:r>
            <w:r>
              <w:rPr>
                <w:rFonts w:hint="eastAsia"/>
                <w:bCs/>
                <w:color w:val="auto"/>
                <w:sz w:val="24"/>
              </w:rPr>
              <w:t>S102至孝妇河汇流处，总长约3.5km</w:t>
            </w:r>
            <w:r>
              <w:rPr>
                <w:rFonts w:hint="eastAsia"/>
                <w:bCs/>
                <w:color w:val="auto"/>
                <w:sz w:val="24"/>
                <w:lang w:eastAsia="zh-CN"/>
              </w:rPr>
              <w:t>。</w:t>
            </w:r>
          </w:p>
          <w:p w14:paraId="0EAFF4D1">
            <w:pPr>
              <w:spacing w:before="120" w:beforeLines="50"/>
              <w:jc w:val="center"/>
              <w:rPr>
                <w:color w:val="auto"/>
                <w:szCs w:val="21"/>
              </w:rPr>
            </w:pPr>
            <w:r>
              <w:rPr>
                <w:b/>
                <w:bCs/>
                <w:color w:val="auto"/>
                <w:szCs w:val="21"/>
              </w:rPr>
              <w:t>表3-</w:t>
            </w:r>
            <w:r>
              <w:rPr>
                <w:rFonts w:hint="eastAsia"/>
                <w:b/>
                <w:bCs/>
                <w:color w:val="auto"/>
                <w:szCs w:val="21"/>
                <w:lang w:val="en-US" w:eastAsia="zh-CN"/>
              </w:rPr>
              <w:t>11</w:t>
            </w:r>
            <w:r>
              <w:rPr>
                <w:b/>
                <w:bCs/>
                <w:color w:val="auto"/>
                <w:szCs w:val="21"/>
              </w:rPr>
              <w:t xml:space="preserve">  经开区内</w:t>
            </w:r>
            <w:r>
              <w:rPr>
                <w:rFonts w:hint="eastAsia"/>
                <w:b/>
                <w:bCs/>
                <w:color w:val="auto"/>
                <w:szCs w:val="21"/>
                <w:lang w:eastAsia="zh-CN"/>
              </w:rPr>
              <w:t>瓦村沟</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03"/>
              <w:gridCol w:w="2464"/>
              <w:gridCol w:w="1045"/>
              <w:gridCol w:w="2008"/>
              <w:gridCol w:w="844"/>
              <w:gridCol w:w="1048"/>
            </w:tblGrid>
            <w:tr w14:paraId="2733C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9" w:type="pct"/>
                  <w:vAlign w:val="center"/>
                </w:tcPr>
                <w:p w14:paraId="22F6DBFB">
                  <w:pPr>
                    <w:autoSpaceDE w:val="0"/>
                    <w:autoSpaceDN w:val="0"/>
                    <w:jc w:val="center"/>
                    <w:rPr>
                      <w:color w:val="auto"/>
                      <w:kern w:val="0"/>
                      <w:szCs w:val="21"/>
                    </w:rPr>
                  </w:pPr>
                  <w:r>
                    <w:rPr>
                      <w:color w:val="auto"/>
                      <w:kern w:val="0"/>
                      <w:szCs w:val="21"/>
                    </w:rPr>
                    <w:t>保护</w:t>
                  </w:r>
                </w:p>
                <w:p w14:paraId="7361FF0D">
                  <w:pPr>
                    <w:autoSpaceDE w:val="0"/>
                    <w:autoSpaceDN w:val="0"/>
                    <w:jc w:val="center"/>
                    <w:rPr>
                      <w:color w:val="auto"/>
                      <w:kern w:val="0"/>
                      <w:szCs w:val="21"/>
                    </w:rPr>
                  </w:pPr>
                  <w:r>
                    <w:rPr>
                      <w:color w:val="auto"/>
                      <w:kern w:val="0"/>
                      <w:szCs w:val="21"/>
                    </w:rPr>
                    <w:t>类别</w:t>
                  </w:r>
                </w:p>
              </w:tc>
              <w:tc>
                <w:tcPr>
                  <w:tcW w:w="1500" w:type="pct"/>
                  <w:vAlign w:val="center"/>
                </w:tcPr>
                <w:p w14:paraId="118291E2">
                  <w:pPr>
                    <w:autoSpaceDE w:val="0"/>
                    <w:autoSpaceDN w:val="0"/>
                    <w:jc w:val="center"/>
                    <w:rPr>
                      <w:color w:val="auto"/>
                      <w:kern w:val="0"/>
                      <w:szCs w:val="21"/>
                    </w:rPr>
                  </w:pPr>
                  <w:r>
                    <w:rPr>
                      <w:color w:val="auto"/>
                      <w:kern w:val="0"/>
                      <w:szCs w:val="21"/>
                    </w:rPr>
                    <w:t>保护对象</w:t>
                  </w:r>
                </w:p>
              </w:tc>
              <w:tc>
                <w:tcPr>
                  <w:tcW w:w="635" w:type="pct"/>
                  <w:vAlign w:val="center"/>
                </w:tcPr>
                <w:p w14:paraId="59233DD4">
                  <w:pPr>
                    <w:autoSpaceDE w:val="0"/>
                    <w:autoSpaceDN w:val="0"/>
                    <w:jc w:val="center"/>
                    <w:rPr>
                      <w:color w:val="auto"/>
                      <w:kern w:val="0"/>
                      <w:szCs w:val="21"/>
                    </w:rPr>
                  </w:pPr>
                  <w:r>
                    <w:rPr>
                      <w:color w:val="auto"/>
                      <w:kern w:val="0"/>
                      <w:szCs w:val="21"/>
                    </w:rPr>
                    <w:t>保护</w:t>
                  </w:r>
                </w:p>
                <w:p w14:paraId="3807C6BB">
                  <w:pPr>
                    <w:autoSpaceDE w:val="0"/>
                    <w:autoSpaceDN w:val="0"/>
                    <w:jc w:val="center"/>
                    <w:rPr>
                      <w:color w:val="auto"/>
                      <w:kern w:val="0"/>
                      <w:szCs w:val="21"/>
                    </w:rPr>
                  </w:pPr>
                  <w:r>
                    <w:rPr>
                      <w:color w:val="auto"/>
                      <w:kern w:val="0"/>
                      <w:szCs w:val="21"/>
                    </w:rPr>
                    <w:t>内容</w:t>
                  </w:r>
                </w:p>
              </w:tc>
              <w:tc>
                <w:tcPr>
                  <w:tcW w:w="1222" w:type="pct"/>
                  <w:vAlign w:val="center"/>
                </w:tcPr>
                <w:p w14:paraId="1D5FD02C">
                  <w:pPr>
                    <w:autoSpaceDE w:val="0"/>
                    <w:autoSpaceDN w:val="0"/>
                    <w:jc w:val="center"/>
                    <w:rPr>
                      <w:color w:val="auto"/>
                      <w:kern w:val="0"/>
                      <w:szCs w:val="21"/>
                    </w:rPr>
                  </w:pPr>
                  <w:r>
                    <w:rPr>
                      <w:color w:val="auto"/>
                      <w:kern w:val="0"/>
                      <w:szCs w:val="21"/>
                    </w:rPr>
                    <w:t>环境功能区</w:t>
                  </w:r>
                </w:p>
              </w:tc>
              <w:tc>
                <w:tcPr>
                  <w:tcW w:w="514" w:type="pct"/>
                  <w:vAlign w:val="center"/>
                </w:tcPr>
                <w:p w14:paraId="7FC1F276">
                  <w:pPr>
                    <w:autoSpaceDE w:val="0"/>
                    <w:autoSpaceDN w:val="0"/>
                    <w:jc w:val="center"/>
                    <w:rPr>
                      <w:color w:val="auto"/>
                      <w:kern w:val="0"/>
                      <w:szCs w:val="21"/>
                    </w:rPr>
                  </w:pPr>
                  <w:r>
                    <w:rPr>
                      <w:color w:val="auto"/>
                      <w:kern w:val="0"/>
                      <w:szCs w:val="21"/>
                    </w:rPr>
                    <w:t>相对河道方位</w:t>
                  </w:r>
                </w:p>
              </w:tc>
              <w:tc>
                <w:tcPr>
                  <w:tcW w:w="637" w:type="pct"/>
                  <w:vAlign w:val="center"/>
                </w:tcPr>
                <w:p w14:paraId="4E7F87D6">
                  <w:pPr>
                    <w:autoSpaceDE w:val="0"/>
                    <w:autoSpaceDN w:val="0"/>
                    <w:jc w:val="center"/>
                    <w:rPr>
                      <w:color w:val="auto"/>
                      <w:kern w:val="0"/>
                      <w:szCs w:val="21"/>
                    </w:rPr>
                  </w:pPr>
                  <w:r>
                    <w:rPr>
                      <w:color w:val="auto"/>
                      <w:kern w:val="0"/>
                      <w:szCs w:val="21"/>
                    </w:rPr>
                    <w:t>相对河道</w:t>
                  </w:r>
                </w:p>
                <w:p w14:paraId="0D8AF709">
                  <w:pPr>
                    <w:autoSpaceDE w:val="0"/>
                    <w:autoSpaceDN w:val="0"/>
                    <w:jc w:val="center"/>
                    <w:rPr>
                      <w:color w:val="auto"/>
                      <w:kern w:val="0"/>
                      <w:szCs w:val="21"/>
                    </w:rPr>
                  </w:pPr>
                  <w:r>
                    <w:rPr>
                      <w:color w:val="auto"/>
                      <w:kern w:val="0"/>
                      <w:szCs w:val="21"/>
                    </w:rPr>
                    <w:t>距离（m）</w:t>
                  </w:r>
                </w:p>
              </w:tc>
            </w:tr>
            <w:tr w14:paraId="604FD5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restart"/>
                  <w:vAlign w:val="center"/>
                </w:tcPr>
                <w:p w14:paraId="07CDA436">
                  <w:pPr>
                    <w:autoSpaceDE w:val="0"/>
                    <w:autoSpaceDN w:val="0"/>
                    <w:jc w:val="center"/>
                    <w:rPr>
                      <w:color w:val="auto"/>
                      <w:kern w:val="0"/>
                      <w:szCs w:val="21"/>
                    </w:rPr>
                  </w:pPr>
                  <w:r>
                    <w:rPr>
                      <w:color w:val="auto"/>
                      <w:kern w:val="0"/>
                      <w:szCs w:val="21"/>
                    </w:rPr>
                    <w:t>大气</w:t>
                  </w:r>
                </w:p>
                <w:p w14:paraId="772155B9">
                  <w:pPr>
                    <w:widowControl/>
                    <w:jc w:val="center"/>
                    <w:rPr>
                      <w:color w:val="auto"/>
                      <w:kern w:val="0"/>
                      <w:szCs w:val="21"/>
                    </w:rPr>
                  </w:pPr>
                  <w:r>
                    <w:rPr>
                      <w:color w:val="auto"/>
                      <w:kern w:val="0"/>
                      <w:szCs w:val="21"/>
                    </w:rPr>
                    <w:t>环境</w:t>
                  </w:r>
                </w:p>
              </w:tc>
              <w:tc>
                <w:tcPr>
                  <w:tcW w:w="1500" w:type="pct"/>
                  <w:vAlign w:val="center"/>
                </w:tcPr>
                <w:p w14:paraId="54E29D8E">
                  <w:pPr>
                    <w:widowControl/>
                    <w:jc w:val="center"/>
                    <w:rPr>
                      <w:color w:val="auto"/>
                      <w:kern w:val="0"/>
                      <w:szCs w:val="21"/>
                    </w:rPr>
                  </w:pPr>
                  <w:r>
                    <w:rPr>
                      <w:color w:val="auto"/>
                      <w:kern w:val="0"/>
                      <w:szCs w:val="21"/>
                    </w:rPr>
                    <w:t>南铺村</w:t>
                  </w:r>
                </w:p>
              </w:tc>
              <w:tc>
                <w:tcPr>
                  <w:tcW w:w="635" w:type="pct"/>
                  <w:vAlign w:val="center"/>
                </w:tcPr>
                <w:p w14:paraId="14C33A76">
                  <w:pPr>
                    <w:widowControl/>
                    <w:jc w:val="center"/>
                    <w:rPr>
                      <w:color w:val="auto"/>
                      <w:kern w:val="0"/>
                      <w:szCs w:val="21"/>
                    </w:rPr>
                  </w:pPr>
                  <w:r>
                    <w:rPr>
                      <w:color w:val="auto"/>
                      <w:kern w:val="0"/>
                      <w:szCs w:val="21"/>
                    </w:rPr>
                    <w:t>居民</w:t>
                  </w:r>
                </w:p>
              </w:tc>
              <w:tc>
                <w:tcPr>
                  <w:tcW w:w="1222" w:type="pct"/>
                  <w:vMerge w:val="restart"/>
                  <w:vAlign w:val="center"/>
                </w:tcPr>
                <w:p w14:paraId="20A68D99">
                  <w:pPr>
                    <w:autoSpaceDE w:val="0"/>
                    <w:autoSpaceDN w:val="0"/>
                    <w:jc w:val="center"/>
                    <w:rPr>
                      <w:color w:val="auto"/>
                      <w:szCs w:val="21"/>
                    </w:rPr>
                  </w:pPr>
                  <w:r>
                    <w:rPr>
                      <w:bCs/>
                      <w:color w:val="auto"/>
                      <w:szCs w:val="21"/>
                    </w:rPr>
                    <w:t>《环境空气质量标准》（GB3095-20</w:t>
                  </w:r>
                  <w:r>
                    <w:rPr>
                      <w:rFonts w:hint="eastAsia"/>
                      <w:bCs/>
                      <w:color w:val="auto"/>
                      <w:szCs w:val="21"/>
                      <w:lang w:val="en-US" w:eastAsia="zh-CN"/>
                    </w:rPr>
                    <w:t>26</w:t>
                  </w:r>
                  <w:r>
                    <w:rPr>
                      <w:bCs/>
                      <w:color w:val="auto"/>
                      <w:szCs w:val="21"/>
                    </w:rPr>
                    <w:t>）</w:t>
                  </w:r>
                  <w:r>
                    <w:rPr>
                      <w:rFonts w:hint="eastAsia"/>
                      <w:bCs/>
                      <w:color w:val="auto"/>
                      <w:szCs w:val="21"/>
                      <w:highlight w:val="none"/>
                      <w:lang w:eastAsia="zh-CN"/>
                    </w:rPr>
                    <w:t>过渡阶段</w:t>
                  </w:r>
                  <w:r>
                    <w:rPr>
                      <w:bCs/>
                      <w:color w:val="auto"/>
                      <w:szCs w:val="21"/>
                    </w:rPr>
                    <w:t>二级标准</w:t>
                  </w:r>
                </w:p>
              </w:tc>
              <w:tc>
                <w:tcPr>
                  <w:tcW w:w="514" w:type="pct"/>
                  <w:vAlign w:val="center"/>
                </w:tcPr>
                <w:p w14:paraId="3092DA0F">
                  <w:pPr>
                    <w:autoSpaceDE w:val="0"/>
                    <w:autoSpaceDN w:val="0"/>
                    <w:jc w:val="center"/>
                    <w:rPr>
                      <w:color w:val="auto"/>
                      <w:kern w:val="0"/>
                      <w:szCs w:val="21"/>
                    </w:rPr>
                  </w:pPr>
                  <w:r>
                    <w:rPr>
                      <w:color w:val="auto"/>
                      <w:kern w:val="0"/>
                      <w:szCs w:val="21"/>
                    </w:rPr>
                    <w:t>W/E</w:t>
                  </w:r>
                </w:p>
              </w:tc>
              <w:tc>
                <w:tcPr>
                  <w:tcW w:w="637" w:type="pct"/>
                  <w:vAlign w:val="center"/>
                </w:tcPr>
                <w:p w14:paraId="0CC44320">
                  <w:pPr>
                    <w:autoSpaceDE w:val="0"/>
                    <w:autoSpaceDN w:val="0"/>
                    <w:jc w:val="center"/>
                    <w:rPr>
                      <w:color w:val="auto"/>
                      <w:kern w:val="0"/>
                      <w:szCs w:val="21"/>
                    </w:rPr>
                  </w:pPr>
                  <w:r>
                    <w:rPr>
                      <w:color w:val="auto"/>
                      <w:kern w:val="0"/>
                      <w:szCs w:val="21"/>
                    </w:rPr>
                    <w:t>穿过村庄</w:t>
                  </w:r>
                </w:p>
              </w:tc>
            </w:tr>
            <w:tr w14:paraId="5ED46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71C435E4">
                  <w:pPr>
                    <w:widowControl/>
                    <w:jc w:val="center"/>
                    <w:rPr>
                      <w:color w:val="auto"/>
                      <w:kern w:val="0"/>
                      <w:szCs w:val="21"/>
                    </w:rPr>
                  </w:pPr>
                </w:p>
              </w:tc>
              <w:tc>
                <w:tcPr>
                  <w:tcW w:w="1500" w:type="pct"/>
                  <w:vAlign w:val="center"/>
                </w:tcPr>
                <w:p w14:paraId="0F545DF2">
                  <w:pPr>
                    <w:widowControl/>
                    <w:jc w:val="center"/>
                    <w:rPr>
                      <w:color w:val="auto"/>
                      <w:kern w:val="0"/>
                      <w:szCs w:val="21"/>
                    </w:rPr>
                  </w:pPr>
                  <w:r>
                    <w:rPr>
                      <w:color w:val="auto"/>
                      <w:kern w:val="0"/>
                      <w:szCs w:val="21"/>
                    </w:rPr>
                    <w:t>梁家庄村</w:t>
                  </w:r>
                </w:p>
              </w:tc>
              <w:tc>
                <w:tcPr>
                  <w:tcW w:w="635" w:type="pct"/>
                  <w:vAlign w:val="center"/>
                </w:tcPr>
                <w:p w14:paraId="32A4D8F8">
                  <w:pPr>
                    <w:widowControl/>
                    <w:jc w:val="center"/>
                    <w:rPr>
                      <w:color w:val="auto"/>
                      <w:kern w:val="0"/>
                      <w:szCs w:val="21"/>
                    </w:rPr>
                  </w:pPr>
                  <w:r>
                    <w:rPr>
                      <w:color w:val="auto"/>
                      <w:kern w:val="0"/>
                      <w:szCs w:val="21"/>
                    </w:rPr>
                    <w:t>居民</w:t>
                  </w:r>
                </w:p>
              </w:tc>
              <w:tc>
                <w:tcPr>
                  <w:tcW w:w="1222" w:type="pct"/>
                  <w:vMerge w:val="continue"/>
                  <w:vAlign w:val="center"/>
                </w:tcPr>
                <w:p w14:paraId="79246394">
                  <w:pPr>
                    <w:autoSpaceDE w:val="0"/>
                    <w:autoSpaceDN w:val="0"/>
                    <w:jc w:val="center"/>
                    <w:rPr>
                      <w:color w:val="auto"/>
                      <w:szCs w:val="21"/>
                    </w:rPr>
                  </w:pPr>
                </w:p>
              </w:tc>
              <w:tc>
                <w:tcPr>
                  <w:tcW w:w="514" w:type="pct"/>
                  <w:vAlign w:val="center"/>
                </w:tcPr>
                <w:p w14:paraId="040D1B88">
                  <w:pPr>
                    <w:autoSpaceDE w:val="0"/>
                    <w:autoSpaceDN w:val="0"/>
                    <w:jc w:val="center"/>
                    <w:rPr>
                      <w:color w:val="auto"/>
                      <w:kern w:val="0"/>
                      <w:szCs w:val="21"/>
                    </w:rPr>
                  </w:pPr>
                  <w:r>
                    <w:rPr>
                      <w:color w:val="auto"/>
                      <w:kern w:val="0"/>
                      <w:szCs w:val="21"/>
                    </w:rPr>
                    <w:t>E</w:t>
                  </w:r>
                </w:p>
              </w:tc>
              <w:tc>
                <w:tcPr>
                  <w:tcW w:w="637" w:type="pct"/>
                  <w:vAlign w:val="center"/>
                </w:tcPr>
                <w:p w14:paraId="05E5E024">
                  <w:pPr>
                    <w:autoSpaceDE w:val="0"/>
                    <w:autoSpaceDN w:val="0"/>
                    <w:jc w:val="center"/>
                    <w:rPr>
                      <w:color w:val="auto"/>
                      <w:kern w:val="0"/>
                      <w:szCs w:val="21"/>
                    </w:rPr>
                  </w:pPr>
                  <w:r>
                    <w:rPr>
                      <w:color w:val="auto"/>
                      <w:kern w:val="0"/>
                      <w:szCs w:val="21"/>
                    </w:rPr>
                    <w:t>80</w:t>
                  </w:r>
                </w:p>
              </w:tc>
            </w:tr>
            <w:tr w14:paraId="7152E3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166FA4CA">
                  <w:pPr>
                    <w:widowControl/>
                    <w:jc w:val="center"/>
                    <w:rPr>
                      <w:color w:val="auto"/>
                      <w:kern w:val="0"/>
                      <w:szCs w:val="21"/>
                    </w:rPr>
                  </w:pPr>
                </w:p>
              </w:tc>
              <w:tc>
                <w:tcPr>
                  <w:tcW w:w="1500" w:type="pct"/>
                  <w:vAlign w:val="center"/>
                </w:tcPr>
                <w:p w14:paraId="541194E0">
                  <w:pPr>
                    <w:widowControl/>
                    <w:jc w:val="center"/>
                    <w:rPr>
                      <w:color w:val="auto"/>
                      <w:kern w:val="0"/>
                      <w:szCs w:val="21"/>
                    </w:rPr>
                  </w:pPr>
                  <w:r>
                    <w:rPr>
                      <w:color w:val="auto"/>
                      <w:kern w:val="0"/>
                      <w:szCs w:val="21"/>
                    </w:rPr>
                    <w:t>宇峰社区</w:t>
                  </w:r>
                </w:p>
              </w:tc>
              <w:tc>
                <w:tcPr>
                  <w:tcW w:w="635" w:type="pct"/>
                  <w:vAlign w:val="center"/>
                </w:tcPr>
                <w:p w14:paraId="418937C2">
                  <w:pPr>
                    <w:widowControl/>
                    <w:jc w:val="center"/>
                    <w:rPr>
                      <w:color w:val="auto"/>
                      <w:kern w:val="0"/>
                      <w:szCs w:val="21"/>
                    </w:rPr>
                  </w:pPr>
                  <w:r>
                    <w:rPr>
                      <w:color w:val="auto"/>
                      <w:kern w:val="0"/>
                      <w:szCs w:val="21"/>
                    </w:rPr>
                    <w:t>居民</w:t>
                  </w:r>
                </w:p>
              </w:tc>
              <w:tc>
                <w:tcPr>
                  <w:tcW w:w="1222" w:type="pct"/>
                  <w:vMerge w:val="continue"/>
                  <w:vAlign w:val="center"/>
                </w:tcPr>
                <w:p w14:paraId="482CD3E9">
                  <w:pPr>
                    <w:autoSpaceDE w:val="0"/>
                    <w:autoSpaceDN w:val="0"/>
                    <w:jc w:val="center"/>
                    <w:rPr>
                      <w:color w:val="auto"/>
                      <w:szCs w:val="21"/>
                    </w:rPr>
                  </w:pPr>
                </w:p>
              </w:tc>
              <w:tc>
                <w:tcPr>
                  <w:tcW w:w="514" w:type="pct"/>
                  <w:vAlign w:val="center"/>
                </w:tcPr>
                <w:p w14:paraId="7ACA6197">
                  <w:pPr>
                    <w:autoSpaceDE w:val="0"/>
                    <w:autoSpaceDN w:val="0"/>
                    <w:jc w:val="center"/>
                    <w:rPr>
                      <w:color w:val="auto"/>
                      <w:kern w:val="0"/>
                      <w:szCs w:val="21"/>
                    </w:rPr>
                  </w:pPr>
                  <w:r>
                    <w:rPr>
                      <w:color w:val="auto"/>
                      <w:kern w:val="0"/>
                      <w:szCs w:val="21"/>
                    </w:rPr>
                    <w:t>S</w:t>
                  </w:r>
                </w:p>
              </w:tc>
              <w:tc>
                <w:tcPr>
                  <w:tcW w:w="637" w:type="pct"/>
                  <w:vAlign w:val="center"/>
                </w:tcPr>
                <w:p w14:paraId="410ED6CA">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648</w:t>
                  </w:r>
                </w:p>
              </w:tc>
            </w:tr>
            <w:tr w14:paraId="41F74B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13FA9A00">
                  <w:pPr>
                    <w:widowControl/>
                    <w:jc w:val="center"/>
                    <w:rPr>
                      <w:color w:val="auto"/>
                      <w:kern w:val="0"/>
                      <w:szCs w:val="21"/>
                    </w:rPr>
                  </w:pPr>
                </w:p>
              </w:tc>
              <w:tc>
                <w:tcPr>
                  <w:tcW w:w="1500" w:type="pct"/>
                  <w:vAlign w:val="center"/>
                </w:tcPr>
                <w:p w14:paraId="0FF2BA29">
                  <w:pPr>
                    <w:widowControl/>
                    <w:jc w:val="center"/>
                    <w:rPr>
                      <w:color w:val="auto"/>
                      <w:kern w:val="0"/>
                      <w:szCs w:val="21"/>
                    </w:rPr>
                  </w:pPr>
                  <w:r>
                    <w:rPr>
                      <w:color w:val="auto"/>
                      <w:kern w:val="0"/>
                      <w:szCs w:val="21"/>
                    </w:rPr>
                    <w:t>张店宇峰学校</w:t>
                  </w:r>
                </w:p>
              </w:tc>
              <w:tc>
                <w:tcPr>
                  <w:tcW w:w="635" w:type="pct"/>
                  <w:vAlign w:val="center"/>
                </w:tcPr>
                <w:p w14:paraId="6DDC674C">
                  <w:pPr>
                    <w:widowControl/>
                    <w:jc w:val="center"/>
                    <w:rPr>
                      <w:color w:val="auto"/>
                      <w:kern w:val="0"/>
                      <w:szCs w:val="21"/>
                    </w:rPr>
                  </w:pPr>
                  <w:r>
                    <w:rPr>
                      <w:color w:val="auto"/>
                      <w:kern w:val="0"/>
                      <w:szCs w:val="21"/>
                    </w:rPr>
                    <w:t>学生</w:t>
                  </w:r>
                </w:p>
              </w:tc>
              <w:tc>
                <w:tcPr>
                  <w:tcW w:w="1222" w:type="pct"/>
                  <w:vMerge w:val="continue"/>
                  <w:vAlign w:val="center"/>
                </w:tcPr>
                <w:p w14:paraId="3B73B57D">
                  <w:pPr>
                    <w:autoSpaceDE w:val="0"/>
                    <w:autoSpaceDN w:val="0"/>
                    <w:jc w:val="center"/>
                    <w:rPr>
                      <w:color w:val="auto"/>
                      <w:szCs w:val="21"/>
                    </w:rPr>
                  </w:pPr>
                </w:p>
              </w:tc>
              <w:tc>
                <w:tcPr>
                  <w:tcW w:w="514" w:type="pct"/>
                  <w:vAlign w:val="center"/>
                </w:tcPr>
                <w:p w14:paraId="61063F05">
                  <w:pPr>
                    <w:autoSpaceDE w:val="0"/>
                    <w:autoSpaceDN w:val="0"/>
                    <w:jc w:val="center"/>
                    <w:rPr>
                      <w:color w:val="auto"/>
                      <w:kern w:val="0"/>
                      <w:szCs w:val="21"/>
                    </w:rPr>
                  </w:pPr>
                  <w:r>
                    <w:rPr>
                      <w:color w:val="auto"/>
                      <w:kern w:val="0"/>
                      <w:szCs w:val="21"/>
                    </w:rPr>
                    <w:t>S</w:t>
                  </w:r>
                </w:p>
              </w:tc>
              <w:tc>
                <w:tcPr>
                  <w:tcW w:w="637" w:type="pct"/>
                  <w:vAlign w:val="center"/>
                </w:tcPr>
                <w:p w14:paraId="47AC8F03">
                  <w:pPr>
                    <w:autoSpaceDE w:val="0"/>
                    <w:autoSpaceDN w:val="0"/>
                    <w:jc w:val="center"/>
                    <w:rPr>
                      <w:color w:val="auto"/>
                      <w:kern w:val="0"/>
                      <w:szCs w:val="21"/>
                    </w:rPr>
                  </w:pPr>
                  <w:r>
                    <w:rPr>
                      <w:color w:val="auto"/>
                      <w:kern w:val="0"/>
                      <w:szCs w:val="21"/>
                    </w:rPr>
                    <w:t>900</w:t>
                  </w:r>
                </w:p>
              </w:tc>
            </w:tr>
            <w:tr w14:paraId="0A02D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4705CBFE">
                  <w:pPr>
                    <w:widowControl/>
                    <w:jc w:val="center"/>
                    <w:rPr>
                      <w:color w:val="auto"/>
                      <w:kern w:val="0"/>
                      <w:szCs w:val="21"/>
                    </w:rPr>
                  </w:pPr>
                </w:p>
              </w:tc>
              <w:tc>
                <w:tcPr>
                  <w:tcW w:w="1500" w:type="pct"/>
                  <w:vAlign w:val="center"/>
                </w:tcPr>
                <w:p w14:paraId="446FAC8F">
                  <w:pPr>
                    <w:widowControl/>
                    <w:jc w:val="center"/>
                    <w:rPr>
                      <w:rFonts w:hint="eastAsia" w:eastAsia="宋体"/>
                      <w:color w:val="auto"/>
                      <w:kern w:val="0"/>
                      <w:szCs w:val="21"/>
                      <w:lang w:eastAsia="zh-CN"/>
                    </w:rPr>
                  </w:pPr>
                  <w:r>
                    <w:rPr>
                      <w:rFonts w:hint="eastAsia"/>
                      <w:color w:val="auto"/>
                      <w:kern w:val="0"/>
                      <w:szCs w:val="21"/>
                      <w:lang w:eastAsia="zh-CN"/>
                    </w:rPr>
                    <w:t>黄家村</w:t>
                  </w:r>
                </w:p>
              </w:tc>
              <w:tc>
                <w:tcPr>
                  <w:tcW w:w="635" w:type="pct"/>
                  <w:vAlign w:val="center"/>
                </w:tcPr>
                <w:p w14:paraId="0B3BC943">
                  <w:pPr>
                    <w:widowControl/>
                    <w:jc w:val="center"/>
                    <w:rPr>
                      <w:color w:val="auto"/>
                      <w:kern w:val="0"/>
                      <w:szCs w:val="21"/>
                    </w:rPr>
                  </w:pPr>
                  <w:r>
                    <w:rPr>
                      <w:color w:val="auto"/>
                      <w:kern w:val="0"/>
                      <w:szCs w:val="21"/>
                    </w:rPr>
                    <w:t>居民</w:t>
                  </w:r>
                </w:p>
              </w:tc>
              <w:tc>
                <w:tcPr>
                  <w:tcW w:w="1222" w:type="pct"/>
                  <w:vMerge w:val="continue"/>
                  <w:vAlign w:val="center"/>
                </w:tcPr>
                <w:p w14:paraId="0FA4C49E">
                  <w:pPr>
                    <w:autoSpaceDE w:val="0"/>
                    <w:autoSpaceDN w:val="0"/>
                    <w:jc w:val="center"/>
                    <w:rPr>
                      <w:color w:val="auto"/>
                      <w:szCs w:val="21"/>
                    </w:rPr>
                  </w:pPr>
                </w:p>
              </w:tc>
              <w:tc>
                <w:tcPr>
                  <w:tcW w:w="514" w:type="pct"/>
                  <w:shd w:val="clear" w:color="auto" w:fill="auto"/>
                  <w:vAlign w:val="center"/>
                </w:tcPr>
                <w:p w14:paraId="3F179A7F">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N</w:t>
                  </w:r>
                </w:p>
              </w:tc>
              <w:tc>
                <w:tcPr>
                  <w:tcW w:w="637" w:type="pct"/>
                  <w:shd w:val="clear" w:color="auto" w:fill="auto"/>
                  <w:vAlign w:val="center"/>
                </w:tcPr>
                <w:p w14:paraId="078EBD5A">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60</w:t>
                  </w:r>
                </w:p>
              </w:tc>
            </w:tr>
            <w:tr w14:paraId="7D23A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restart"/>
                  <w:vAlign w:val="center"/>
                </w:tcPr>
                <w:p w14:paraId="39D4DC4D">
                  <w:pPr>
                    <w:widowControl/>
                    <w:jc w:val="center"/>
                    <w:rPr>
                      <w:color w:val="auto"/>
                      <w:kern w:val="0"/>
                      <w:szCs w:val="21"/>
                    </w:rPr>
                  </w:pPr>
                  <w:r>
                    <w:rPr>
                      <w:color w:val="auto"/>
                      <w:kern w:val="0"/>
                      <w:szCs w:val="21"/>
                    </w:rPr>
                    <w:t>声环境</w:t>
                  </w:r>
                </w:p>
              </w:tc>
              <w:tc>
                <w:tcPr>
                  <w:tcW w:w="1500" w:type="pct"/>
                  <w:vAlign w:val="center"/>
                </w:tcPr>
                <w:p w14:paraId="361435BD">
                  <w:pPr>
                    <w:widowControl/>
                    <w:jc w:val="center"/>
                    <w:rPr>
                      <w:color w:val="auto"/>
                      <w:kern w:val="0"/>
                      <w:szCs w:val="21"/>
                    </w:rPr>
                  </w:pPr>
                  <w:r>
                    <w:rPr>
                      <w:color w:val="auto"/>
                      <w:kern w:val="0"/>
                      <w:szCs w:val="21"/>
                    </w:rPr>
                    <w:t>南铺村</w:t>
                  </w:r>
                </w:p>
              </w:tc>
              <w:tc>
                <w:tcPr>
                  <w:tcW w:w="635" w:type="pct"/>
                  <w:vAlign w:val="center"/>
                </w:tcPr>
                <w:p w14:paraId="405E5D3D">
                  <w:pPr>
                    <w:widowControl/>
                    <w:jc w:val="center"/>
                    <w:rPr>
                      <w:color w:val="auto"/>
                      <w:kern w:val="0"/>
                      <w:szCs w:val="21"/>
                    </w:rPr>
                  </w:pPr>
                  <w:r>
                    <w:rPr>
                      <w:color w:val="auto"/>
                      <w:kern w:val="0"/>
                      <w:szCs w:val="21"/>
                    </w:rPr>
                    <w:t>居民</w:t>
                  </w:r>
                </w:p>
              </w:tc>
              <w:tc>
                <w:tcPr>
                  <w:tcW w:w="1222" w:type="pct"/>
                  <w:vMerge w:val="restart"/>
                  <w:vAlign w:val="center"/>
                </w:tcPr>
                <w:p w14:paraId="7F2BD53B">
                  <w:pPr>
                    <w:autoSpaceDE w:val="0"/>
                    <w:autoSpaceDN w:val="0"/>
                    <w:jc w:val="center"/>
                    <w:rPr>
                      <w:color w:val="auto"/>
                      <w:szCs w:val="21"/>
                    </w:rPr>
                  </w:pPr>
                  <w:r>
                    <w:rPr>
                      <w:color w:val="auto"/>
                      <w:szCs w:val="21"/>
                    </w:rPr>
                    <w:t>《声环境质量标准》（GB3096-2008）的2类声环境功能区要求</w:t>
                  </w:r>
                </w:p>
              </w:tc>
              <w:tc>
                <w:tcPr>
                  <w:tcW w:w="514" w:type="pct"/>
                  <w:vAlign w:val="center"/>
                </w:tcPr>
                <w:p w14:paraId="4FA04419">
                  <w:pPr>
                    <w:autoSpaceDE w:val="0"/>
                    <w:autoSpaceDN w:val="0"/>
                    <w:jc w:val="center"/>
                    <w:rPr>
                      <w:color w:val="auto"/>
                      <w:kern w:val="0"/>
                      <w:szCs w:val="21"/>
                    </w:rPr>
                  </w:pPr>
                  <w:r>
                    <w:rPr>
                      <w:color w:val="auto"/>
                      <w:kern w:val="0"/>
                      <w:szCs w:val="21"/>
                    </w:rPr>
                    <w:t>W/E</w:t>
                  </w:r>
                </w:p>
              </w:tc>
              <w:tc>
                <w:tcPr>
                  <w:tcW w:w="637" w:type="pct"/>
                  <w:vAlign w:val="center"/>
                </w:tcPr>
                <w:p w14:paraId="52616319">
                  <w:pPr>
                    <w:autoSpaceDE w:val="0"/>
                    <w:autoSpaceDN w:val="0"/>
                    <w:jc w:val="center"/>
                    <w:rPr>
                      <w:color w:val="auto"/>
                      <w:kern w:val="0"/>
                      <w:szCs w:val="21"/>
                    </w:rPr>
                  </w:pPr>
                  <w:r>
                    <w:rPr>
                      <w:color w:val="auto"/>
                      <w:kern w:val="0"/>
                      <w:szCs w:val="21"/>
                    </w:rPr>
                    <w:t>穿过村庄</w:t>
                  </w:r>
                </w:p>
              </w:tc>
            </w:tr>
            <w:tr w14:paraId="1C04F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5B829DCE">
                  <w:pPr>
                    <w:widowControl/>
                    <w:jc w:val="center"/>
                    <w:rPr>
                      <w:color w:val="auto"/>
                      <w:kern w:val="0"/>
                      <w:szCs w:val="21"/>
                    </w:rPr>
                  </w:pPr>
                </w:p>
              </w:tc>
              <w:tc>
                <w:tcPr>
                  <w:tcW w:w="1500" w:type="pct"/>
                  <w:vAlign w:val="center"/>
                </w:tcPr>
                <w:p w14:paraId="3CECD84E">
                  <w:pPr>
                    <w:widowControl/>
                    <w:jc w:val="center"/>
                    <w:rPr>
                      <w:color w:val="auto"/>
                      <w:kern w:val="0"/>
                      <w:szCs w:val="21"/>
                    </w:rPr>
                  </w:pPr>
                  <w:r>
                    <w:rPr>
                      <w:color w:val="auto"/>
                      <w:kern w:val="0"/>
                      <w:szCs w:val="21"/>
                    </w:rPr>
                    <w:t>梁家庄村</w:t>
                  </w:r>
                </w:p>
              </w:tc>
              <w:tc>
                <w:tcPr>
                  <w:tcW w:w="635" w:type="pct"/>
                  <w:vAlign w:val="center"/>
                </w:tcPr>
                <w:p w14:paraId="6532F476">
                  <w:pPr>
                    <w:widowControl/>
                    <w:jc w:val="center"/>
                    <w:rPr>
                      <w:color w:val="auto"/>
                      <w:kern w:val="0"/>
                      <w:szCs w:val="21"/>
                    </w:rPr>
                  </w:pPr>
                  <w:r>
                    <w:rPr>
                      <w:color w:val="auto"/>
                      <w:kern w:val="0"/>
                      <w:szCs w:val="21"/>
                    </w:rPr>
                    <w:t>居民</w:t>
                  </w:r>
                </w:p>
              </w:tc>
              <w:tc>
                <w:tcPr>
                  <w:tcW w:w="1222" w:type="pct"/>
                  <w:vMerge w:val="continue"/>
                  <w:vAlign w:val="center"/>
                </w:tcPr>
                <w:p w14:paraId="6ED941AF">
                  <w:pPr>
                    <w:autoSpaceDE w:val="0"/>
                    <w:autoSpaceDN w:val="0"/>
                    <w:jc w:val="center"/>
                    <w:rPr>
                      <w:color w:val="auto"/>
                      <w:szCs w:val="21"/>
                    </w:rPr>
                  </w:pPr>
                </w:p>
              </w:tc>
              <w:tc>
                <w:tcPr>
                  <w:tcW w:w="514" w:type="pct"/>
                  <w:vAlign w:val="center"/>
                </w:tcPr>
                <w:p w14:paraId="1FB9C938">
                  <w:pPr>
                    <w:autoSpaceDE w:val="0"/>
                    <w:autoSpaceDN w:val="0"/>
                    <w:jc w:val="center"/>
                    <w:rPr>
                      <w:color w:val="auto"/>
                      <w:kern w:val="0"/>
                      <w:szCs w:val="21"/>
                    </w:rPr>
                  </w:pPr>
                  <w:r>
                    <w:rPr>
                      <w:color w:val="auto"/>
                      <w:kern w:val="0"/>
                      <w:szCs w:val="21"/>
                    </w:rPr>
                    <w:t>E</w:t>
                  </w:r>
                </w:p>
              </w:tc>
              <w:tc>
                <w:tcPr>
                  <w:tcW w:w="637" w:type="pct"/>
                  <w:vAlign w:val="center"/>
                </w:tcPr>
                <w:p w14:paraId="35691986">
                  <w:pPr>
                    <w:autoSpaceDE w:val="0"/>
                    <w:autoSpaceDN w:val="0"/>
                    <w:jc w:val="center"/>
                    <w:rPr>
                      <w:color w:val="auto"/>
                      <w:kern w:val="0"/>
                      <w:szCs w:val="21"/>
                    </w:rPr>
                  </w:pPr>
                  <w:r>
                    <w:rPr>
                      <w:color w:val="auto"/>
                      <w:kern w:val="0"/>
                      <w:szCs w:val="21"/>
                    </w:rPr>
                    <w:t>80</w:t>
                  </w:r>
                </w:p>
              </w:tc>
            </w:tr>
            <w:tr w14:paraId="788475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06370492">
                  <w:pPr>
                    <w:widowControl/>
                    <w:jc w:val="center"/>
                    <w:rPr>
                      <w:color w:val="auto"/>
                      <w:kern w:val="0"/>
                      <w:szCs w:val="21"/>
                    </w:rPr>
                  </w:pPr>
                </w:p>
              </w:tc>
              <w:tc>
                <w:tcPr>
                  <w:tcW w:w="1500" w:type="pct"/>
                  <w:vAlign w:val="center"/>
                </w:tcPr>
                <w:p w14:paraId="07B712C9">
                  <w:pPr>
                    <w:widowControl/>
                    <w:jc w:val="center"/>
                    <w:rPr>
                      <w:color w:val="auto"/>
                      <w:kern w:val="0"/>
                      <w:szCs w:val="21"/>
                    </w:rPr>
                  </w:pPr>
                  <w:r>
                    <w:rPr>
                      <w:color w:val="auto"/>
                      <w:kern w:val="0"/>
                      <w:szCs w:val="21"/>
                    </w:rPr>
                    <w:t>黄家村</w:t>
                  </w:r>
                </w:p>
              </w:tc>
              <w:tc>
                <w:tcPr>
                  <w:tcW w:w="635" w:type="pct"/>
                  <w:vAlign w:val="center"/>
                </w:tcPr>
                <w:p w14:paraId="15584FE9">
                  <w:pPr>
                    <w:widowControl/>
                    <w:jc w:val="center"/>
                    <w:rPr>
                      <w:color w:val="auto"/>
                      <w:kern w:val="0"/>
                      <w:szCs w:val="21"/>
                    </w:rPr>
                  </w:pPr>
                  <w:r>
                    <w:rPr>
                      <w:color w:val="auto"/>
                      <w:kern w:val="0"/>
                      <w:szCs w:val="21"/>
                    </w:rPr>
                    <w:t>居民</w:t>
                  </w:r>
                </w:p>
              </w:tc>
              <w:tc>
                <w:tcPr>
                  <w:tcW w:w="1222" w:type="pct"/>
                  <w:vMerge w:val="continue"/>
                  <w:vAlign w:val="center"/>
                </w:tcPr>
                <w:p w14:paraId="77FE5B88">
                  <w:pPr>
                    <w:autoSpaceDE w:val="0"/>
                    <w:autoSpaceDN w:val="0"/>
                    <w:jc w:val="center"/>
                    <w:rPr>
                      <w:color w:val="auto"/>
                      <w:szCs w:val="21"/>
                    </w:rPr>
                  </w:pPr>
                </w:p>
              </w:tc>
              <w:tc>
                <w:tcPr>
                  <w:tcW w:w="514" w:type="pct"/>
                  <w:vAlign w:val="center"/>
                </w:tcPr>
                <w:p w14:paraId="740A71F4">
                  <w:pPr>
                    <w:autoSpaceDE w:val="0"/>
                    <w:autoSpaceDN w:val="0"/>
                    <w:jc w:val="center"/>
                    <w:rPr>
                      <w:color w:val="auto"/>
                      <w:kern w:val="0"/>
                      <w:szCs w:val="21"/>
                    </w:rPr>
                  </w:pPr>
                  <w:r>
                    <w:rPr>
                      <w:color w:val="auto"/>
                      <w:kern w:val="0"/>
                      <w:szCs w:val="21"/>
                    </w:rPr>
                    <w:t>N</w:t>
                  </w:r>
                </w:p>
              </w:tc>
              <w:tc>
                <w:tcPr>
                  <w:tcW w:w="637" w:type="pct"/>
                  <w:vAlign w:val="center"/>
                </w:tcPr>
                <w:p w14:paraId="4FC2A017">
                  <w:pPr>
                    <w:autoSpaceDE w:val="0"/>
                    <w:autoSpaceDN w:val="0"/>
                    <w:jc w:val="center"/>
                    <w:rPr>
                      <w:color w:val="auto"/>
                      <w:kern w:val="0"/>
                      <w:szCs w:val="21"/>
                    </w:rPr>
                  </w:pPr>
                  <w:r>
                    <w:rPr>
                      <w:color w:val="auto"/>
                      <w:kern w:val="0"/>
                      <w:szCs w:val="21"/>
                    </w:rPr>
                    <w:t>60</w:t>
                  </w:r>
                </w:p>
              </w:tc>
            </w:tr>
            <w:tr w14:paraId="1B149F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Align w:val="center"/>
                </w:tcPr>
                <w:p w14:paraId="0C963C10">
                  <w:pPr>
                    <w:widowControl/>
                    <w:jc w:val="center"/>
                    <w:rPr>
                      <w:color w:val="auto"/>
                      <w:kern w:val="0"/>
                      <w:szCs w:val="21"/>
                    </w:rPr>
                  </w:pPr>
                  <w:r>
                    <w:rPr>
                      <w:color w:val="auto"/>
                      <w:kern w:val="0"/>
                      <w:szCs w:val="21"/>
                    </w:rPr>
                    <w:t>地下水环境</w:t>
                  </w:r>
                </w:p>
              </w:tc>
              <w:tc>
                <w:tcPr>
                  <w:tcW w:w="2136" w:type="pct"/>
                  <w:gridSpan w:val="2"/>
                  <w:vAlign w:val="center"/>
                </w:tcPr>
                <w:p w14:paraId="7A8AE0CA">
                  <w:pPr>
                    <w:widowControl/>
                    <w:jc w:val="center"/>
                    <w:rPr>
                      <w:color w:val="auto"/>
                      <w:kern w:val="0"/>
                      <w:szCs w:val="21"/>
                    </w:rPr>
                  </w:pPr>
                  <w:r>
                    <w:rPr>
                      <w:color w:val="auto"/>
                      <w:kern w:val="0"/>
                      <w:szCs w:val="21"/>
                    </w:rPr>
                    <w:t>厂界外500米范围内无地下水集中式饮用水源和热水、矿泉水、温泉等特殊地下水资源</w:t>
                  </w:r>
                </w:p>
              </w:tc>
              <w:tc>
                <w:tcPr>
                  <w:tcW w:w="1222" w:type="pct"/>
                  <w:vAlign w:val="center"/>
                </w:tcPr>
                <w:p w14:paraId="3CDEA151">
                  <w:pPr>
                    <w:autoSpaceDE w:val="0"/>
                    <w:autoSpaceDN w:val="0"/>
                    <w:jc w:val="center"/>
                    <w:rPr>
                      <w:color w:val="auto"/>
                      <w:kern w:val="0"/>
                      <w:szCs w:val="21"/>
                    </w:rPr>
                  </w:pPr>
                  <w:r>
                    <w:rPr>
                      <w:color w:val="auto"/>
                      <w:szCs w:val="21"/>
                    </w:rPr>
                    <w:t>《地下水质量标准》（GB/T14848-2017）Ⅲ类标准</w:t>
                  </w:r>
                </w:p>
              </w:tc>
              <w:tc>
                <w:tcPr>
                  <w:tcW w:w="514" w:type="pct"/>
                  <w:vAlign w:val="center"/>
                </w:tcPr>
                <w:p w14:paraId="43DF64B0">
                  <w:pPr>
                    <w:autoSpaceDE w:val="0"/>
                    <w:autoSpaceDN w:val="0"/>
                    <w:jc w:val="center"/>
                    <w:rPr>
                      <w:color w:val="auto"/>
                      <w:kern w:val="0"/>
                      <w:szCs w:val="21"/>
                    </w:rPr>
                  </w:pPr>
                  <w:r>
                    <w:rPr>
                      <w:color w:val="auto"/>
                      <w:kern w:val="0"/>
                      <w:szCs w:val="21"/>
                    </w:rPr>
                    <w:t>/</w:t>
                  </w:r>
                </w:p>
              </w:tc>
              <w:tc>
                <w:tcPr>
                  <w:tcW w:w="637" w:type="pct"/>
                  <w:vAlign w:val="center"/>
                </w:tcPr>
                <w:p w14:paraId="6C26799E">
                  <w:pPr>
                    <w:autoSpaceDE w:val="0"/>
                    <w:autoSpaceDN w:val="0"/>
                    <w:jc w:val="center"/>
                    <w:rPr>
                      <w:color w:val="auto"/>
                      <w:kern w:val="0"/>
                      <w:szCs w:val="21"/>
                    </w:rPr>
                  </w:pPr>
                  <w:r>
                    <w:rPr>
                      <w:color w:val="auto"/>
                      <w:kern w:val="0"/>
                      <w:szCs w:val="21"/>
                    </w:rPr>
                    <w:t>/</w:t>
                  </w:r>
                </w:p>
              </w:tc>
            </w:tr>
            <w:tr w14:paraId="7EB64A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restart"/>
                  <w:vAlign w:val="center"/>
                </w:tcPr>
                <w:p w14:paraId="0141849C">
                  <w:pPr>
                    <w:jc w:val="center"/>
                    <w:rPr>
                      <w:color w:val="auto"/>
                      <w:kern w:val="0"/>
                      <w:szCs w:val="21"/>
                    </w:rPr>
                  </w:pPr>
                  <w:r>
                    <w:rPr>
                      <w:color w:val="auto"/>
                      <w:szCs w:val="21"/>
                    </w:rPr>
                    <w:t>地表水</w:t>
                  </w:r>
                </w:p>
              </w:tc>
              <w:tc>
                <w:tcPr>
                  <w:tcW w:w="2136" w:type="pct"/>
                  <w:gridSpan w:val="2"/>
                  <w:vAlign w:val="center"/>
                </w:tcPr>
                <w:p w14:paraId="498911D0">
                  <w:pPr>
                    <w:jc w:val="center"/>
                    <w:rPr>
                      <w:color w:val="auto"/>
                      <w:kern w:val="0"/>
                      <w:szCs w:val="21"/>
                    </w:rPr>
                  </w:pPr>
                  <w:r>
                    <w:rPr>
                      <w:color w:val="auto"/>
                      <w:kern w:val="0"/>
                      <w:szCs w:val="21"/>
                    </w:rPr>
                    <w:t>瓦村沟</w:t>
                  </w:r>
                </w:p>
              </w:tc>
              <w:tc>
                <w:tcPr>
                  <w:tcW w:w="1222" w:type="pct"/>
                  <w:vAlign w:val="center"/>
                </w:tcPr>
                <w:p w14:paraId="2A7D3AC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bCs/>
                      <w:color w:val="auto"/>
                      <w:sz w:val="21"/>
                      <w:szCs w:val="21"/>
                    </w:rPr>
                    <w:t>V</w:t>
                  </w:r>
                  <w:r>
                    <w:rPr>
                      <w:rFonts w:hint="default" w:ascii="Times New Roman" w:hAnsi="Times New Roman" w:eastAsia="宋体" w:cs="Times New Roman"/>
                      <w:bCs/>
                      <w:color w:val="auto"/>
                      <w:sz w:val="21"/>
                      <w:szCs w:val="21"/>
                      <w:lang w:val="zh-CN"/>
                    </w:rPr>
                    <w:t>类</w:t>
                  </w:r>
                  <w:r>
                    <w:rPr>
                      <w:rFonts w:hint="default" w:ascii="Times New Roman" w:hAnsi="Times New Roman" w:eastAsia="宋体" w:cs="Times New Roman"/>
                      <w:color w:val="auto"/>
                      <w:sz w:val="21"/>
                      <w:szCs w:val="21"/>
                    </w:rPr>
                    <w:t>标准</w:t>
                  </w:r>
                </w:p>
              </w:tc>
              <w:tc>
                <w:tcPr>
                  <w:tcW w:w="1151" w:type="pct"/>
                  <w:gridSpan w:val="2"/>
                  <w:vAlign w:val="center"/>
                </w:tcPr>
                <w:p w14:paraId="21456812">
                  <w:pPr>
                    <w:jc w:val="center"/>
                    <w:rPr>
                      <w:color w:val="auto"/>
                      <w:kern w:val="0"/>
                      <w:szCs w:val="21"/>
                    </w:rPr>
                  </w:pPr>
                  <w:r>
                    <w:rPr>
                      <w:color w:val="auto"/>
                      <w:kern w:val="0"/>
                      <w:szCs w:val="21"/>
                    </w:rPr>
                    <w:t>本次施工河道之一</w:t>
                  </w:r>
                </w:p>
              </w:tc>
            </w:tr>
            <w:tr w14:paraId="14D1E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Merge w:val="continue"/>
                  <w:vAlign w:val="center"/>
                </w:tcPr>
                <w:p w14:paraId="325D0F98">
                  <w:pPr>
                    <w:jc w:val="center"/>
                    <w:rPr>
                      <w:color w:val="auto"/>
                      <w:szCs w:val="21"/>
                    </w:rPr>
                  </w:pPr>
                </w:p>
              </w:tc>
              <w:tc>
                <w:tcPr>
                  <w:tcW w:w="2136" w:type="pct"/>
                  <w:gridSpan w:val="2"/>
                  <w:vAlign w:val="center"/>
                </w:tcPr>
                <w:p w14:paraId="372C0E37">
                  <w:pPr>
                    <w:jc w:val="center"/>
                    <w:rPr>
                      <w:color w:val="auto"/>
                      <w:kern w:val="0"/>
                      <w:szCs w:val="21"/>
                    </w:rPr>
                  </w:pPr>
                  <w:r>
                    <w:rPr>
                      <w:color w:val="auto"/>
                      <w:kern w:val="0"/>
                      <w:szCs w:val="21"/>
                    </w:rPr>
                    <w:t>孝妇河</w:t>
                  </w:r>
                </w:p>
              </w:tc>
              <w:tc>
                <w:tcPr>
                  <w:tcW w:w="1222" w:type="pct"/>
                  <w:vAlign w:val="center"/>
                </w:tcPr>
                <w:p w14:paraId="302A1F3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《地表水环境质量标准》（GB3838-2002）V类标准</w:t>
                  </w:r>
                </w:p>
              </w:tc>
              <w:tc>
                <w:tcPr>
                  <w:tcW w:w="1151" w:type="pct"/>
                  <w:gridSpan w:val="2"/>
                  <w:vAlign w:val="center"/>
                </w:tcPr>
                <w:p w14:paraId="5AFC1C2E">
                  <w:pPr>
                    <w:jc w:val="center"/>
                    <w:rPr>
                      <w:color w:val="auto"/>
                      <w:kern w:val="0"/>
                      <w:szCs w:val="21"/>
                    </w:rPr>
                  </w:pPr>
                  <w:r>
                    <w:rPr>
                      <w:color w:val="auto"/>
                      <w:kern w:val="0"/>
                      <w:szCs w:val="21"/>
                    </w:rPr>
                    <w:t>瓦村沟汇入孝妇河</w:t>
                  </w:r>
                </w:p>
              </w:tc>
            </w:tr>
            <w:tr w14:paraId="0A77C3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9" w:type="pct"/>
                  <w:vAlign w:val="center"/>
                </w:tcPr>
                <w:p w14:paraId="53C11929">
                  <w:pPr>
                    <w:autoSpaceDE w:val="0"/>
                    <w:autoSpaceDN w:val="0"/>
                    <w:jc w:val="center"/>
                    <w:rPr>
                      <w:color w:val="auto"/>
                      <w:kern w:val="0"/>
                      <w:szCs w:val="21"/>
                    </w:rPr>
                  </w:pPr>
                  <w:r>
                    <w:rPr>
                      <w:color w:val="auto"/>
                      <w:kern w:val="0"/>
                      <w:szCs w:val="21"/>
                    </w:rPr>
                    <w:t>生态</w:t>
                  </w:r>
                </w:p>
                <w:p w14:paraId="31EF2831">
                  <w:pPr>
                    <w:autoSpaceDE w:val="0"/>
                    <w:autoSpaceDN w:val="0"/>
                    <w:jc w:val="center"/>
                    <w:rPr>
                      <w:color w:val="auto"/>
                      <w:kern w:val="0"/>
                      <w:szCs w:val="21"/>
                    </w:rPr>
                  </w:pPr>
                  <w:r>
                    <w:rPr>
                      <w:color w:val="auto"/>
                      <w:kern w:val="0"/>
                      <w:szCs w:val="21"/>
                    </w:rPr>
                    <w:t>环境</w:t>
                  </w:r>
                </w:p>
              </w:tc>
              <w:tc>
                <w:tcPr>
                  <w:tcW w:w="4510" w:type="pct"/>
                  <w:gridSpan w:val="5"/>
                  <w:vAlign w:val="center"/>
                </w:tcPr>
                <w:p w14:paraId="3EE5A1AA">
                  <w:pPr>
                    <w:widowControl/>
                    <w:jc w:val="center"/>
                    <w:rPr>
                      <w:color w:val="auto"/>
                      <w:kern w:val="0"/>
                      <w:szCs w:val="21"/>
                    </w:rPr>
                  </w:pPr>
                  <w:r>
                    <w:rPr>
                      <w:color w:val="auto"/>
                      <w:szCs w:val="21"/>
                    </w:rPr>
                    <w:t>项目生态评价范围内无</w:t>
                  </w:r>
                  <w:r>
                    <w:rPr>
                      <w:color w:val="auto"/>
                      <w:kern w:val="0"/>
                      <w:szCs w:val="21"/>
                      <w:lang w:bidi="ar"/>
                    </w:rPr>
                    <w:t>受影响的重要物种、生态敏感区以及其他需要保护的物种、种群、生物群落及生态空间等</w:t>
                  </w:r>
                </w:p>
              </w:tc>
            </w:tr>
          </w:tbl>
          <w:p w14:paraId="2F9905A1">
            <w:pPr>
              <w:numPr>
                <w:ilvl w:val="0"/>
                <w:numId w:val="7"/>
              </w:numPr>
              <w:snapToGrid w:val="0"/>
              <w:spacing w:line="360" w:lineRule="auto"/>
              <w:ind w:firstLine="480" w:firstLineChars="200"/>
              <w:rPr>
                <w:color w:val="auto"/>
                <w:sz w:val="24"/>
              </w:rPr>
            </w:pPr>
            <w:r>
              <w:rPr>
                <w:color w:val="auto"/>
                <w:sz w:val="24"/>
              </w:rPr>
              <w:t>暖水河</w:t>
            </w:r>
            <w:r>
              <w:rPr>
                <w:rFonts w:hint="eastAsia"/>
                <w:color w:val="auto"/>
                <w:sz w:val="24"/>
                <w:lang w:eastAsia="zh-CN"/>
              </w:rPr>
              <w:t>治理范围：省道</w:t>
            </w:r>
            <w:r>
              <w:rPr>
                <w:rFonts w:hint="eastAsia"/>
                <w:color w:val="auto"/>
                <w:sz w:val="24"/>
                <w:lang w:val="en-US" w:eastAsia="zh-CN"/>
              </w:rPr>
              <w:t>102段至漫泗河段，总长3.31km。</w:t>
            </w:r>
          </w:p>
          <w:p w14:paraId="1C79BAEC">
            <w:pPr>
              <w:spacing w:before="120" w:beforeLines="50"/>
              <w:jc w:val="center"/>
              <w:rPr>
                <w:color w:val="auto"/>
                <w:szCs w:val="21"/>
              </w:rPr>
            </w:pPr>
            <w:r>
              <w:rPr>
                <w:b/>
                <w:bCs/>
                <w:color w:val="auto"/>
                <w:szCs w:val="21"/>
              </w:rPr>
              <w:t>表3-</w:t>
            </w:r>
            <w:r>
              <w:rPr>
                <w:rFonts w:hint="eastAsia"/>
                <w:b/>
                <w:bCs/>
                <w:color w:val="auto"/>
                <w:szCs w:val="21"/>
                <w:lang w:val="en-US" w:eastAsia="zh-CN"/>
              </w:rPr>
              <w:t>12</w:t>
            </w:r>
            <w:r>
              <w:rPr>
                <w:b/>
                <w:bCs/>
                <w:color w:val="auto"/>
                <w:szCs w:val="21"/>
              </w:rPr>
              <w:t xml:space="preserve">  经开区内暖水河工程主要环境保护目标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89"/>
              <w:gridCol w:w="2464"/>
              <w:gridCol w:w="1045"/>
              <w:gridCol w:w="2008"/>
              <w:gridCol w:w="843"/>
              <w:gridCol w:w="1063"/>
            </w:tblGrid>
            <w:tr w14:paraId="638B47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1" w:type="pct"/>
                  <w:vAlign w:val="center"/>
                </w:tcPr>
                <w:p w14:paraId="0504A384">
                  <w:pPr>
                    <w:autoSpaceDE w:val="0"/>
                    <w:autoSpaceDN w:val="0"/>
                    <w:jc w:val="center"/>
                    <w:rPr>
                      <w:color w:val="auto"/>
                      <w:kern w:val="0"/>
                      <w:szCs w:val="21"/>
                    </w:rPr>
                  </w:pPr>
                  <w:r>
                    <w:rPr>
                      <w:color w:val="auto"/>
                      <w:kern w:val="0"/>
                      <w:szCs w:val="21"/>
                    </w:rPr>
                    <w:t>保护</w:t>
                  </w:r>
                </w:p>
                <w:p w14:paraId="1E019FC6">
                  <w:pPr>
                    <w:autoSpaceDE w:val="0"/>
                    <w:autoSpaceDN w:val="0"/>
                    <w:jc w:val="center"/>
                    <w:rPr>
                      <w:color w:val="auto"/>
                      <w:kern w:val="0"/>
                      <w:szCs w:val="21"/>
                    </w:rPr>
                  </w:pPr>
                  <w:r>
                    <w:rPr>
                      <w:color w:val="auto"/>
                      <w:kern w:val="0"/>
                      <w:szCs w:val="21"/>
                    </w:rPr>
                    <w:t>类别</w:t>
                  </w:r>
                </w:p>
              </w:tc>
              <w:tc>
                <w:tcPr>
                  <w:tcW w:w="1500" w:type="pct"/>
                  <w:vAlign w:val="center"/>
                </w:tcPr>
                <w:p w14:paraId="3F5B37D6">
                  <w:pPr>
                    <w:autoSpaceDE w:val="0"/>
                    <w:autoSpaceDN w:val="0"/>
                    <w:jc w:val="center"/>
                    <w:rPr>
                      <w:color w:val="auto"/>
                      <w:kern w:val="0"/>
                      <w:szCs w:val="21"/>
                    </w:rPr>
                  </w:pPr>
                  <w:r>
                    <w:rPr>
                      <w:color w:val="auto"/>
                      <w:kern w:val="0"/>
                      <w:szCs w:val="21"/>
                    </w:rPr>
                    <w:t>保护对象</w:t>
                  </w:r>
                </w:p>
              </w:tc>
              <w:tc>
                <w:tcPr>
                  <w:tcW w:w="636" w:type="pct"/>
                  <w:vAlign w:val="center"/>
                </w:tcPr>
                <w:p w14:paraId="2979DC78">
                  <w:pPr>
                    <w:autoSpaceDE w:val="0"/>
                    <w:autoSpaceDN w:val="0"/>
                    <w:jc w:val="center"/>
                    <w:rPr>
                      <w:color w:val="auto"/>
                      <w:kern w:val="0"/>
                      <w:szCs w:val="21"/>
                    </w:rPr>
                  </w:pPr>
                  <w:r>
                    <w:rPr>
                      <w:color w:val="auto"/>
                      <w:kern w:val="0"/>
                      <w:szCs w:val="21"/>
                    </w:rPr>
                    <w:t>保护</w:t>
                  </w:r>
                </w:p>
                <w:p w14:paraId="430BA543">
                  <w:pPr>
                    <w:autoSpaceDE w:val="0"/>
                    <w:autoSpaceDN w:val="0"/>
                    <w:jc w:val="center"/>
                    <w:rPr>
                      <w:color w:val="auto"/>
                      <w:kern w:val="0"/>
                      <w:szCs w:val="21"/>
                    </w:rPr>
                  </w:pPr>
                  <w:r>
                    <w:rPr>
                      <w:color w:val="auto"/>
                      <w:kern w:val="0"/>
                      <w:szCs w:val="21"/>
                    </w:rPr>
                    <w:t>内容</w:t>
                  </w:r>
                </w:p>
              </w:tc>
              <w:tc>
                <w:tcPr>
                  <w:tcW w:w="1222" w:type="pct"/>
                  <w:vAlign w:val="center"/>
                </w:tcPr>
                <w:p w14:paraId="30CFC1A0">
                  <w:pPr>
                    <w:autoSpaceDE w:val="0"/>
                    <w:autoSpaceDN w:val="0"/>
                    <w:jc w:val="center"/>
                    <w:rPr>
                      <w:color w:val="auto"/>
                      <w:kern w:val="0"/>
                      <w:szCs w:val="21"/>
                    </w:rPr>
                  </w:pPr>
                  <w:r>
                    <w:rPr>
                      <w:color w:val="auto"/>
                      <w:kern w:val="0"/>
                      <w:szCs w:val="21"/>
                    </w:rPr>
                    <w:t>环境功能区</w:t>
                  </w:r>
                </w:p>
              </w:tc>
              <w:tc>
                <w:tcPr>
                  <w:tcW w:w="513" w:type="pct"/>
                  <w:vAlign w:val="center"/>
                </w:tcPr>
                <w:p w14:paraId="2D43D923">
                  <w:pPr>
                    <w:autoSpaceDE w:val="0"/>
                    <w:autoSpaceDN w:val="0"/>
                    <w:jc w:val="center"/>
                    <w:rPr>
                      <w:color w:val="auto"/>
                      <w:kern w:val="0"/>
                      <w:szCs w:val="21"/>
                    </w:rPr>
                  </w:pPr>
                  <w:r>
                    <w:rPr>
                      <w:color w:val="auto"/>
                      <w:kern w:val="0"/>
                      <w:szCs w:val="21"/>
                    </w:rPr>
                    <w:t>相对河道方位</w:t>
                  </w:r>
                </w:p>
              </w:tc>
              <w:tc>
                <w:tcPr>
                  <w:tcW w:w="645" w:type="pct"/>
                  <w:vAlign w:val="center"/>
                </w:tcPr>
                <w:p w14:paraId="1EEDEE88">
                  <w:pPr>
                    <w:autoSpaceDE w:val="0"/>
                    <w:autoSpaceDN w:val="0"/>
                    <w:jc w:val="center"/>
                    <w:rPr>
                      <w:color w:val="auto"/>
                      <w:kern w:val="0"/>
                      <w:szCs w:val="21"/>
                    </w:rPr>
                  </w:pPr>
                  <w:r>
                    <w:rPr>
                      <w:color w:val="auto"/>
                      <w:kern w:val="0"/>
                      <w:szCs w:val="21"/>
                    </w:rPr>
                    <w:t>相对河道</w:t>
                  </w:r>
                </w:p>
                <w:p w14:paraId="28E49094">
                  <w:pPr>
                    <w:autoSpaceDE w:val="0"/>
                    <w:autoSpaceDN w:val="0"/>
                    <w:jc w:val="center"/>
                    <w:rPr>
                      <w:color w:val="auto"/>
                      <w:kern w:val="0"/>
                      <w:szCs w:val="21"/>
                    </w:rPr>
                  </w:pPr>
                  <w:r>
                    <w:rPr>
                      <w:color w:val="auto"/>
                      <w:kern w:val="0"/>
                      <w:szCs w:val="21"/>
                    </w:rPr>
                    <w:t>距离（m）</w:t>
                  </w:r>
                </w:p>
              </w:tc>
            </w:tr>
            <w:tr w14:paraId="773BA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restart"/>
                  <w:vAlign w:val="center"/>
                </w:tcPr>
                <w:p w14:paraId="7153E202">
                  <w:pPr>
                    <w:autoSpaceDE w:val="0"/>
                    <w:autoSpaceDN w:val="0"/>
                    <w:jc w:val="center"/>
                    <w:rPr>
                      <w:color w:val="auto"/>
                      <w:kern w:val="0"/>
                      <w:szCs w:val="21"/>
                    </w:rPr>
                  </w:pPr>
                  <w:r>
                    <w:rPr>
                      <w:color w:val="auto"/>
                      <w:kern w:val="0"/>
                      <w:szCs w:val="21"/>
                    </w:rPr>
                    <w:t>大气</w:t>
                  </w:r>
                </w:p>
                <w:p w14:paraId="3A12516D">
                  <w:pPr>
                    <w:widowControl/>
                    <w:jc w:val="center"/>
                    <w:rPr>
                      <w:color w:val="auto"/>
                      <w:kern w:val="0"/>
                      <w:szCs w:val="21"/>
                    </w:rPr>
                  </w:pPr>
                  <w:r>
                    <w:rPr>
                      <w:color w:val="auto"/>
                      <w:kern w:val="0"/>
                      <w:szCs w:val="21"/>
                    </w:rPr>
                    <w:t>环境</w:t>
                  </w:r>
                </w:p>
              </w:tc>
              <w:tc>
                <w:tcPr>
                  <w:tcW w:w="1500" w:type="pct"/>
                  <w:vAlign w:val="center"/>
                </w:tcPr>
                <w:p w14:paraId="6BCA8F3F">
                  <w:pPr>
                    <w:widowControl/>
                    <w:jc w:val="center"/>
                    <w:rPr>
                      <w:color w:val="auto"/>
                      <w:kern w:val="0"/>
                      <w:szCs w:val="21"/>
                    </w:rPr>
                  </w:pPr>
                  <w:r>
                    <w:rPr>
                      <w:color w:val="auto"/>
                      <w:kern w:val="0"/>
                      <w:szCs w:val="21"/>
                    </w:rPr>
                    <w:t>暖水河村</w:t>
                  </w:r>
                </w:p>
              </w:tc>
              <w:tc>
                <w:tcPr>
                  <w:tcW w:w="636" w:type="pct"/>
                  <w:vAlign w:val="center"/>
                </w:tcPr>
                <w:p w14:paraId="54E65D1F">
                  <w:pPr>
                    <w:widowControl/>
                    <w:jc w:val="center"/>
                    <w:rPr>
                      <w:color w:val="auto"/>
                      <w:kern w:val="0"/>
                      <w:szCs w:val="21"/>
                    </w:rPr>
                  </w:pPr>
                  <w:r>
                    <w:rPr>
                      <w:color w:val="auto"/>
                      <w:kern w:val="0"/>
                      <w:szCs w:val="21"/>
                    </w:rPr>
                    <w:t>居民</w:t>
                  </w:r>
                </w:p>
              </w:tc>
              <w:tc>
                <w:tcPr>
                  <w:tcW w:w="1222" w:type="pct"/>
                  <w:vMerge w:val="restart"/>
                  <w:vAlign w:val="center"/>
                </w:tcPr>
                <w:p w14:paraId="248F4435">
                  <w:pPr>
                    <w:autoSpaceDE w:val="0"/>
                    <w:autoSpaceDN w:val="0"/>
                    <w:jc w:val="center"/>
                    <w:rPr>
                      <w:color w:val="auto"/>
                      <w:szCs w:val="21"/>
                    </w:rPr>
                  </w:pPr>
                  <w:r>
                    <w:rPr>
                      <w:bCs/>
                      <w:color w:val="auto"/>
                      <w:szCs w:val="21"/>
                    </w:rPr>
                    <w:t>《环境空气质量标准》（GB3095-20</w:t>
                  </w:r>
                  <w:r>
                    <w:rPr>
                      <w:rFonts w:hint="eastAsia"/>
                      <w:bCs/>
                      <w:color w:val="auto"/>
                      <w:szCs w:val="21"/>
                      <w:lang w:val="en-US" w:eastAsia="zh-CN"/>
                    </w:rPr>
                    <w:t>26</w:t>
                  </w:r>
                  <w:r>
                    <w:rPr>
                      <w:bCs/>
                      <w:color w:val="auto"/>
                      <w:szCs w:val="21"/>
                    </w:rPr>
                    <w:t>）</w:t>
                  </w:r>
                  <w:r>
                    <w:rPr>
                      <w:rFonts w:hint="eastAsia"/>
                      <w:bCs/>
                      <w:color w:val="auto"/>
                      <w:szCs w:val="21"/>
                      <w:highlight w:val="none"/>
                      <w:lang w:eastAsia="zh-CN"/>
                    </w:rPr>
                    <w:t>过渡阶段</w:t>
                  </w:r>
                  <w:r>
                    <w:rPr>
                      <w:bCs/>
                      <w:color w:val="auto"/>
                      <w:szCs w:val="21"/>
                    </w:rPr>
                    <w:t>二级标准</w:t>
                  </w:r>
                </w:p>
              </w:tc>
              <w:tc>
                <w:tcPr>
                  <w:tcW w:w="513" w:type="pct"/>
                  <w:vAlign w:val="center"/>
                </w:tcPr>
                <w:p w14:paraId="273865D8">
                  <w:pPr>
                    <w:autoSpaceDE w:val="0"/>
                    <w:autoSpaceDN w:val="0"/>
                    <w:jc w:val="center"/>
                    <w:rPr>
                      <w:color w:val="auto"/>
                      <w:kern w:val="0"/>
                      <w:szCs w:val="21"/>
                    </w:rPr>
                  </w:pPr>
                  <w:r>
                    <w:rPr>
                      <w:color w:val="auto"/>
                      <w:kern w:val="0"/>
                      <w:szCs w:val="21"/>
                    </w:rPr>
                    <w:t>E</w:t>
                  </w:r>
                </w:p>
              </w:tc>
              <w:tc>
                <w:tcPr>
                  <w:tcW w:w="645" w:type="pct"/>
                  <w:vAlign w:val="center"/>
                </w:tcPr>
                <w:p w14:paraId="39A7D8F9">
                  <w:pPr>
                    <w:autoSpaceDE w:val="0"/>
                    <w:autoSpaceDN w:val="0"/>
                    <w:jc w:val="center"/>
                    <w:rPr>
                      <w:color w:val="auto"/>
                      <w:kern w:val="0"/>
                      <w:szCs w:val="21"/>
                    </w:rPr>
                  </w:pPr>
                  <w:r>
                    <w:rPr>
                      <w:color w:val="auto"/>
                      <w:kern w:val="0"/>
                      <w:szCs w:val="21"/>
                    </w:rPr>
                    <w:t>10</w:t>
                  </w:r>
                </w:p>
              </w:tc>
            </w:tr>
            <w:tr w14:paraId="1440BA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46E4E2BD">
                  <w:pPr>
                    <w:widowControl/>
                    <w:jc w:val="center"/>
                    <w:rPr>
                      <w:color w:val="auto"/>
                      <w:kern w:val="0"/>
                      <w:szCs w:val="21"/>
                    </w:rPr>
                  </w:pPr>
                </w:p>
              </w:tc>
              <w:tc>
                <w:tcPr>
                  <w:tcW w:w="1500" w:type="pct"/>
                  <w:vAlign w:val="center"/>
                </w:tcPr>
                <w:p w14:paraId="55DB3604">
                  <w:pPr>
                    <w:widowControl/>
                    <w:jc w:val="center"/>
                    <w:rPr>
                      <w:color w:val="auto"/>
                      <w:kern w:val="0"/>
                      <w:szCs w:val="21"/>
                    </w:rPr>
                  </w:pPr>
                  <w:r>
                    <w:rPr>
                      <w:color w:val="auto"/>
                      <w:kern w:val="0"/>
                      <w:szCs w:val="21"/>
                    </w:rPr>
                    <w:t>瓦村</w:t>
                  </w:r>
                </w:p>
              </w:tc>
              <w:tc>
                <w:tcPr>
                  <w:tcW w:w="636" w:type="pct"/>
                  <w:vAlign w:val="center"/>
                </w:tcPr>
                <w:p w14:paraId="55B40A9F">
                  <w:pPr>
                    <w:widowControl/>
                    <w:jc w:val="center"/>
                    <w:rPr>
                      <w:color w:val="auto"/>
                      <w:kern w:val="0"/>
                      <w:szCs w:val="21"/>
                    </w:rPr>
                  </w:pPr>
                  <w:r>
                    <w:rPr>
                      <w:color w:val="auto"/>
                      <w:kern w:val="0"/>
                      <w:szCs w:val="21"/>
                    </w:rPr>
                    <w:t>居民</w:t>
                  </w:r>
                </w:p>
              </w:tc>
              <w:tc>
                <w:tcPr>
                  <w:tcW w:w="1222" w:type="pct"/>
                  <w:vMerge w:val="continue"/>
                  <w:vAlign w:val="center"/>
                </w:tcPr>
                <w:p w14:paraId="7708676D">
                  <w:pPr>
                    <w:autoSpaceDE w:val="0"/>
                    <w:autoSpaceDN w:val="0"/>
                    <w:jc w:val="center"/>
                    <w:rPr>
                      <w:color w:val="auto"/>
                      <w:szCs w:val="21"/>
                    </w:rPr>
                  </w:pPr>
                </w:p>
              </w:tc>
              <w:tc>
                <w:tcPr>
                  <w:tcW w:w="513" w:type="pct"/>
                  <w:vAlign w:val="center"/>
                </w:tcPr>
                <w:p w14:paraId="1874AF7F">
                  <w:pPr>
                    <w:autoSpaceDE w:val="0"/>
                    <w:autoSpaceDN w:val="0"/>
                    <w:jc w:val="center"/>
                    <w:rPr>
                      <w:color w:val="auto"/>
                      <w:kern w:val="0"/>
                      <w:szCs w:val="21"/>
                    </w:rPr>
                  </w:pPr>
                  <w:r>
                    <w:rPr>
                      <w:color w:val="auto"/>
                      <w:kern w:val="0"/>
                      <w:szCs w:val="21"/>
                    </w:rPr>
                    <w:t>E</w:t>
                  </w:r>
                </w:p>
              </w:tc>
              <w:tc>
                <w:tcPr>
                  <w:tcW w:w="645" w:type="pct"/>
                  <w:vAlign w:val="center"/>
                </w:tcPr>
                <w:p w14:paraId="4F7D4805">
                  <w:pPr>
                    <w:autoSpaceDE w:val="0"/>
                    <w:autoSpaceDN w:val="0"/>
                    <w:jc w:val="center"/>
                    <w:rPr>
                      <w:color w:val="auto"/>
                      <w:kern w:val="0"/>
                      <w:szCs w:val="21"/>
                    </w:rPr>
                  </w:pPr>
                  <w:r>
                    <w:rPr>
                      <w:color w:val="auto"/>
                      <w:kern w:val="0"/>
                      <w:szCs w:val="21"/>
                    </w:rPr>
                    <w:t>5</w:t>
                  </w:r>
                </w:p>
              </w:tc>
            </w:tr>
            <w:tr w14:paraId="214627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122FC8C5">
                  <w:pPr>
                    <w:widowControl/>
                    <w:jc w:val="center"/>
                    <w:rPr>
                      <w:color w:val="auto"/>
                      <w:kern w:val="0"/>
                      <w:szCs w:val="21"/>
                    </w:rPr>
                  </w:pPr>
                </w:p>
              </w:tc>
              <w:tc>
                <w:tcPr>
                  <w:tcW w:w="1500" w:type="pct"/>
                  <w:shd w:val="clear" w:color="auto" w:fill="auto"/>
                  <w:vAlign w:val="center"/>
                </w:tcPr>
                <w:p w14:paraId="4E35DAD3">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梁家庄村</w:t>
                  </w:r>
                </w:p>
              </w:tc>
              <w:tc>
                <w:tcPr>
                  <w:tcW w:w="636" w:type="pct"/>
                  <w:shd w:val="clear" w:color="auto" w:fill="auto"/>
                  <w:vAlign w:val="center"/>
                </w:tcPr>
                <w:p w14:paraId="03189F68">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62A80895">
                  <w:pPr>
                    <w:autoSpaceDE w:val="0"/>
                    <w:autoSpaceDN w:val="0"/>
                    <w:jc w:val="center"/>
                    <w:rPr>
                      <w:color w:val="auto"/>
                      <w:szCs w:val="21"/>
                    </w:rPr>
                  </w:pPr>
                </w:p>
              </w:tc>
              <w:tc>
                <w:tcPr>
                  <w:tcW w:w="513" w:type="pct"/>
                  <w:shd w:val="clear" w:color="auto" w:fill="auto"/>
                  <w:vAlign w:val="center"/>
                </w:tcPr>
                <w:p w14:paraId="635E37FC">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W</w:t>
                  </w:r>
                </w:p>
              </w:tc>
              <w:tc>
                <w:tcPr>
                  <w:tcW w:w="645" w:type="pct"/>
                  <w:shd w:val="clear" w:color="auto" w:fill="auto"/>
                  <w:vAlign w:val="center"/>
                </w:tcPr>
                <w:p w14:paraId="3096B90E">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穿过村庄</w:t>
                  </w:r>
                </w:p>
              </w:tc>
            </w:tr>
            <w:tr w14:paraId="02F962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1B5CA1F0">
                  <w:pPr>
                    <w:widowControl/>
                    <w:jc w:val="center"/>
                    <w:rPr>
                      <w:color w:val="auto"/>
                      <w:kern w:val="0"/>
                      <w:szCs w:val="21"/>
                    </w:rPr>
                  </w:pPr>
                </w:p>
              </w:tc>
              <w:tc>
                <w:tcPr>
                  <w:tcW w:w="1500" w:type="pct"/>
                  <w:shd w:val="clear" w:color="auto" w:fill="auto"/>
                  <w:vAlign w:val="center"/>
                </w:tcPr>
                <w:p w14:paraId="4BBD25F1">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小董村</w:t>
                  </w:r>
                </w:p>
              </w:tc>
              <w:tc>
                <w:tcPr>
                  <w:tcW w:w="636" w:type="pct"/>
                  <w:shd w:val="clear" w:color="auto" w:fill="auto"/>
                  <w:vAlign w:val="center"/>
                </w:tcPr>
                <w:p w14:paraId="32655968">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7523AFDD">
                  <w:pPr>
                    <w:autoSpaceDE w:val="0"/>
                    <w:autoSpaceDN w:val="0"/>
                    <w:jc w:val="center"/>
                    <w:rPr>
                      <w:color w:val="auto"/>
                      <w:szCs w:val="21"/>
                    </w:rPr>
                  </w:pPr>
                </w:p>
              </w:tc>
              <w:tc>
                <w:tcPr>
                  <w:tcW w:w="513" w:type="pct"/>
                  <w:shd w:val="clear" w:color="auto" w:fill="auto"/>
                  <w:vAlign w:val="center"/>
                </w:tcPr>
                <w:p w14:paraId="751E9D41">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W</w:t>
                  </w:r>
                </w:p>
              </w:tc>
              <w:tc>
                <w:tcPr>
                  <w:tcW w:w="645" w:type="pct"/>
                  <w:shd w:val="clear" w:color="auto" w:fill="auto"/>
                  <w:vAlign w:val="center"/>
                </w:tcPr>
                <w:p w14:paraId="3283BD13">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185</w:t>
                  </w:r>
                </w:p>
              </w:tc>
            </w:tr>
            <w:tr w14:paraId="2F196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34440E0F">
                  <w:pPr>
                    <w:widowControl/>
                    <w:jc w:val="center"/>
                    <w:rPr>
                      <w:color w:val="auto"/>
                      <w:kern w:val="0"/>
                      <w:szCs w:val="21"/>
                    </w:rPr>
                  </w:pPr>
                </w:p>
              </w:tc>
              <w:tc>
                <w:tcPr>
                  <w:tcW w:w="1500" w:type="pct"/>
                  <w:shd w:val="clear" w:color="auto" w:fill="auto"/>
                  <w:vAlign w:val="center"/>
                </w:tcPr>
                <w:p w14:paraId="31DC1537">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漫泗河村</w:t>
                  </w:r>
                </w:p>
              </w:tc>
              <w:tc>
                <w:tcPr>
                  <w:tcW w:w="636" w:type="pct"/>
                  <w:shd w:val="clear" w:color="auto" w:fill="auto"/>
                  <w:vAlign w:val="center"/>
                </w:tcPr>
                <w:p w14:paraId="6326BF90">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608FD652">
                  <w:pPr>
                    <w:autoSpaceDE w:val="0"/>
                    <w:autoSpaceDN w:val="0"/>
                    <w:jc w:val="center"/>
                    <w:rPr>
                      <w:color w:val="auto"/>
                      <w:szCs w:val="21"/>
                    </w:rPr>
                  </w:pPr>
                </w:p>
              </w:tc>
              <w:tc>
                <w:tcPr>
                  <w:tcW w:w="513" w:type="pct"/>
                  <w:shd w:val="clear" w:color="auto" w:fill="auto"/>
                  <w:vAlign w:val="center"/>
                </w:tcPr>
                <w:p w14:paraId="091DEDEC">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E</w:t>
                  </w:r>
                </w:p>
              </w:tc>
              <w:tc>
                <w:tcPr>
                  <w:tcW w:w="645" w:type="pct"/>
                  <w:shd w:val="clear" w:color="auto" w:fill="auto"/>
                  <w:vAlign w:val="center"/>
                </w:tcPr>
                <w:p w14:paraId="5C3D19F3">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450</w:t>
                  </w:r>
                </w:p>
              </w:tc>
            </w:tr>
            <w:tr w14:paraId="26143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7C9ECCFF">
                  <w:pPr>
                    <w:widowControl/>
                    <w:jc w:val="center"/>
                    <w:rPr>
                      <w:color w:val="auto"/>
                      <w:kern w:val="0"/>
                      <w:szCs w:val="21"/>
                    </w:rPr>
                  </w:pPr>
                </w:p>
              </w:tc>
              <w:tc>
                <w:tcPr>
                  <w:tcW w:w="1500" w:type="pct"/>
                  <w:vAlign w:val="center"/>
                </w:tcPr>
                <w:p w14:paraId="732B42A7">
                  <w:pPr>
                    <w:widowControl/>
                    <w:jc w:val="center"/>
                    <w:rPr>
                      <w:rFonts w:hint="eastAsia" w:eastAsia="宋体"/>
                      <w:color w:val="auto"/>
                      <w:kern w:val="0"/>
                      <w:szCs w:val="21"/>
                      <w:lang w:eastAsia="zh-CN"/>
                    </w:rPr>
                  </w:pPr>
                  <w:r>
                    <w:rPr>
                      <w:rFonts w:hint="eastAsia"/>
                      <w:color w:val="auto"/>
                      <w:kern w:val="0"/>
                      <w:szCs w:val="21"/>
                      <w:lang w:eastAsia="zh-CN"/>
                    </w:rPr>
                    <w:t>前南定村</w:t>
                  </w:r>
                </w:p>
              </w:tc>
              <w:tc>
                <w:tcPr>
                  <w:tcW w:w="636" w:type="pct"/>
                  <w:vAlign w:val="center"/>
                </w:tcPr>
                <w:p w14:paraId="5DA8EFC9">
                  <w:pPr>
                    <w:widowControl/>
                    <w:jc w:val="center"/>
                    <w:rPr>
                      <w:rFonts w:hint="eastAsia" w:eastAsia="宋体"/>
                      <w:color w:val="auto"/>
                      <w:kern w:val="0"/>
                      <w:szCs w:val="21"/>
                      <w:lang w:eastAsia="zh-CN"/>
                    </w:rPr>
                  </w:pPr>
                  <w:r>
                    <w:rPr>
                      <w:rFonts w:hint="eastAsia"/>
                      <w:color w:val="auto"/>
                      <w:kern w:val="0"/>
                      <w:szCs w:val="21"/>
                      <w:lang w:eastAsia="zh-CN"/>
                    </w:rPr>
                    <w:t>居民</w:t>
                  </w:r>
                </w:p>
              </w:tc>
              <w:tc>
                <w:tcPr>
                  <w:tcW w:w="1222" w:type="pct"/>
                  <w:vMerge w:val="continue"/>
                  <w:vAlign w:val="center"/>
                </w:tcPr>
                <w:p w14:paraId="3503DA3F">
                  <w:pPr>
                    <w:autoSpaceDE w:val="0"/>
                    <w:autoSpaceDN w:val="0"/>
                    <w:jc w:val="center"/>
                    <w:rPr>
                      <w:color w:val="auto"/>
                      <w:szCs w:val="21"/>
                    </w:rPr>
                  </w:pPr>
                </w:p>
              </w:tc>
              <w:tc>
                <w:tcPr>
                  <w:tcW w:w="513" w:type="pct"/>
                  <w:vAlign w:val="center"/>
                </w:tcPr>
                <w:p w14:paraId="6FD86FC3">
                  <w:pPr>
                    <w:autoSpaceDE w:val="0"/>
                    <w:autoSpaceDN w:val="0"/>
                    <w:jc w:val="center"/>
                    <w:rPr>
                      <w:rFonts w:hint="eastAsia" w:eastAsia="宋体"/>
                      <w:color w:val="auto"/>
                      <w:kern w:val="0"/>
                      <w:szCs w:val="21"/>
                      <w:lang w:val="en-US" w:eastAsia="zh-CN"/>
                    </w:rPr>
                  </w:pPr>
                  <w:r>
                    <w:rPr>
                      <w:rFonts w:hint="eastAsia"/>
                      <w:color w:val="auto"/>
                      <w:kern w:val="0"/>
                      <w:szCs w:val="21"/>
                      <w:lang w:val="en-US" w:eastAsia="zh-CN"/>
                    </w:rPr>
                    <w:t>N</w:t>
                  </w:r>
                </w:p>
              </w:tc>
              <w:tc>
                <w:tcPr>
                  <w:tcW w:w="645" w:type="pct"/>
                  <w:vAlign w:val="center"/>
                </w:tcPr>
                <w:p w14:paraId="5D44739D">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252</w:t>
                  </w:r>
                </w:p>
              </w:tc>
            </w:tr>
            <w:tr w14:paraId="2B38D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restart"/>
                  <w:vAlign w:val="center"/>
                </w:tcPr>
                <w:p w14:paraId="3BE016FF">
                  <w:pPr>
                    <w:widowControl/>
                    <w:jc w:val="center"/>
                    <w:rPr>
                      <w:color w:val="auto"/>
                      <w:kern w:val="0"/>
                      <w:szCs w:val="21"/>
                    </w:rPr>
                  </w:pPr>
                  <w:r>
                    <w:rPr>
                      <w:color w:val="auto"/>
                      <w:kern w:val="0"/>
                      <w:szCs w:val="21"/>
                    </w:rPr>
                    <w:t>声环境</w:t>
                  </w:r>
                </w:p>
              </w:tc>
              <w:tc>
                <w:tcPr>
                  <w:tcW w:w="1500" w:type="pct"/>
                  <w:vAlign w:val="center"/>
                </w:tcPr>
                <w:p w14:paraId="1EDF0676">
                  <w:pPr>
                    <w:widowControl/>
                    <w:jc w:val="center"/>
                    <w:rPr>
                      <w:color w:val="auto"/>
                      <w:kern w:val="0"/>
                      <w:szCs w:val="21"/>
                    </w:rPr>
                  </w:pPr>
                  <w:r>
                    <w:rPr>
                      <w:color w:val="auto"/>
                      <w:kern w:val="0"/>
                      <w:szCs w:val="21"/>
                    </w:rPr>
                    <w:t>暖水河村</w:t>
                  </w:r>
                </w:p>
              </w:tc>
              <w:tc>
                <w:tcPr>
                  <w:tcW w:w="636" w:type="pct"/>
                  <w:vAlign w:val="center"/>
                </w:tcPr>
                <w:p w14:paraId="6D079DD4">
                  <w:pPr>
                    <w:widowControl/>
                    <w:jc w:val="center"/>
                    <w:rPr>
                      <w:color w:val="auto"/>
                      <w:kern w:val="0"/>
                      <w:szCs w:val="21"/>
                    </w:rPr>
                  </w:pPr>
                  <w:r>
                    <w:rPr>
                      <w:color w:val="auto"/>
                      <w:kern w:val="0"/>
                      <w:szCs w:val="21"/>
                    </w:rPr>
                    <w:t>居民</w:t>
                  </w:r>
                </w:p>
              </w:tc>
              <w:tc>
                <w:tcPr>
                  <w:tcW w:w="1222" w:type="pct"/>
                  <w:vMerge w:val="restart"/>
                  <w:vAlign w:val="center"/>
                </w:tcPr>
                <w:p w14:paraId="583EBA5C">
                  <w:pPr>
                    <w:autoSpaceDE w:val="0"/>
                    <w:autoSpaceDN w:val="0"/>
                    <w:jc w:val="center"/>
                    <w:rPr>
                      <w:color w:val="auto"/>
                      <w:szCs w:val="21"/>
                    </w:rPr>
                  </w:pPr>
                  <w:r>
                    <w:rPr>
                      <w:color w:val="auto"/>
                      <w:szCs w:val="21"/>
                    </w:rPr>
                    <w:t>《声环境质量标准》（GB3096-2008）的2类声环境功能区要求</w:t>
                  </w:r>
                </w:p>
              </w:tc>
              <w:tc>
                <w:tcPr>
                  <w:tcW w:w="513" w:type="pct"/>
                  <w:vAlign w:val="center"/>
                </w:tcPr>
                <w:p w14:paraId="79804E6F">
                  <w:pPr>
                    <w:autoSpaceDE w:val="0"/>
                    <w:autoSpaceDN w:val="0"/>
                    <w:jc w:val="center"/>
                    <w:rPr>
                      <w:color w:val="auto"/>
                      <w:kern w:val="0"/>
                      <w:szCs w:val="21"/>
                    </w:rPr>
                  </w:pPr>
                  <w:r>
                    <w:rPr>
                      <w:color w:val="auto"/>
                      <w:kern w:val="0"/>
                      <w:szCs w:val="21"/>
                    </w:rPr>
                    <w:t>E</w:t>
                  </w:r>
                </w:p>
              </w:tc>
              <w:tc>
                <w:tcPr>
                  <w:tcW w:w="645" w:type="pct"/>
                  <w:vAlign w:val="center"/>
                </w:tcPr>
                <w:p w14:paraId="4A4DF18F">
                  <w:pPr>
                    <w:autoSpaceDE w:val="0"/>
                    <w:autoSpaceDN w:val="0"/>
                    <w:jc w:val="center"/>
                    <w:rPr>
                      <w:color w:val="auto"/>
                      <w:kern w:val="0"/>
                      <w:szCs w:val="21"/>
                    </w:rPr>
                  </w:pPr>
                  <w:r>
                    <w:rPr>
                      <w:color w:val="auto"/>
                      <w:kern w:val="0"/>
                      <w:szCs w:val="21"/>
                    </w:rPr>
                    <w:t>10</w:t>
                  </w:r>
                </w:p>
              </w:tc>
            </w:tr>
            <w:tr w14:paraId="6F14D7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3DB2A1C8">
                  <w:pPr>
                    <w:widowControl/>
                    <w:jc w:val="center"/>
                    <w:rPr>
                      <w:color w:val="auto"/>
                      <w:kern w:val="0"/>
                      <w:szCs w:val="21"/>
                    </w:rPr>
                  </w:pPr>
                </w:p>
              </w:tc>
              <w:tc>
                <w:tcPr>
                  <w:tcW w:w="1500" w:type="pct"/>
                  <w:vAlign w:val="center"/>
                </w:tcPr>
                <w:p w14:paraId="08F53F2A">
                  <w:pPr>
                    <w:widowControl/>
                    <w:jc w:val="center"/>
                    <w:rPr>
                      <w:color w:val="auto"/>
                      <w:kern w:val="0"/>
                      <w:szCs w:val="21"/>
                    </w:rPr>
                  </w:pPr>
                  <w:r>
                    <w:rPr>
                      <w:color w:val="auto"/>
                      <w:kern w:val="0"/>
                      <w:szCs w:val="21"/>
                    </w:rPr>
                    <w:t>瓦村</w:t>
                  </w:r>
                </w:p>
              </w:tc>
              <w:tc>
                <w:tcPr>
                  <w:tcW w:w="636" w:type="pct"/>
                  <w:vAlign w:val="center"/>
                </w:tcPr>
                <w:p w14:paraId="4384E900">
                  <w:pPr>
                    <w:widowControl/>
                    <w:jc w:val="center"/>
                    <w:rPr>
                      <w:color w:val="auto"/>
                      <w:kern w:val="0"/>
                      <w:szCs w:val="21"/>
                    </w:rPr>
                  </w:pPr>
                  <w:r>
                    <w:rPr>
                      <w:color w:val="auto"/>
                      <w:kern w:val="0"/>
                      <w:szCs w:val="21"/>
                    </w:rPr>
                    <w:t>居民</w:t>
                  </w:r>
                </w:p>
              </w:tc>
              <w:tc>
                <w:tcPr>
                  <w:tcW w:w="1222" w:type="pct"/>
                  <w:vMerge w:val="continue"/>
                  <w:vAlign w:val="center"/>
                </w:tcPr>
                <w:p w14:paraId="5CEB8E6C">
                  <w:pPr>
                    <w:autoSpaceDE w:val="0"/>
                    <w:autoSpaceDN w:val="0"/>
                    <w:jc w:val="center"/>
                    <w:rPr>
                      <w:color w:val="auto"/>
                      <w:szCs w:val="21"/>
                    </w:rPr>
                  </w:pPr>
                </w:p>
              </w:tc>
              <w:tc>
                <w:tcPr>
                  <w:tcW w:w="513" w:type="pct"/>
                  <w:vAlign w:val="center"/>
                </w:tcPr>
                <w:p w14:paraId="53C3B4E0">
                  <w:pPr>
                    <w:autoSpaceDE w:val="0"/>
                    <w:autoSpaceDN w:val="0"/>
                    <w:jc w:val="center"/>
                    <w:rPr>
                      <w:color w:val="auto"/>
                      <w:kern w:val="0"/>
                      <w:szCs w:val="21"/>
                    </w:rPr>
                  </w:pPr>
                  <w:r>
                    <w:rPr>
                      <w:color w:val="auto"/>
                      <w:kern w:val="0"/>
                      <w:szCs w:val="21"/>
                    </w:rPr>
                    <w:t>E</w:t>
                  </w:r>
                </w:p>
              </w:tc>
              <w:tc>
                <w:tcPr>
                  <w:tcW w:w="645" w:type="pct"/>
                  <w:vAlign w:val="center"/>
                </w:tcPr>
                <w:p w14:paraId="15FEE7F1">
                  <w:pPr>
                    <w:autoSpaceDE w:val="0"/>
                    <w:autoSpaceDN w:val="0"/>
                    <w:jc w:val="center"/>
                    <w:rPr>
                      <w:color w:val="auto"/>
                      <w:kern w:val="0"/>
                      <w:szCs w:val="21"/>
                    </w:rPr>
                  </w:pPr>
                  <w:r>
                    <w:rPr>
                      <w:color w:val="auto"/>
                      <w:kern w:val="0"/>
                      <w:szCs w:val="21"/>
                    </w:rPr>
                    <w:t>5</w:t>
                  </w:r>
                </w:p>
              </w:tc>
            </w:tr>
            <w:tr w14:paraId="096E88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36B897F3">
                  <w:pPr>
                    <w:widowControl/>
                    <w:jc w:val="center"/>
                    <w:rPr>
                      <w:color w:val="auto"/>
                      <w:kern w:val="0"/>
                      <w:szCs w:val="21"/>
                    </w:rPr>
                  </w:pPr>
                </w:p>
              </w:tc>
              <w:tc>
                <w:tcPr>
                  <w:tcW w:w="1500" w:type="pct"/>
                  <w:shd w:val="clear" w:color="auto" w:fill="auto"/>
                  <w:vAlign w:val="center"/>
                </w:tcPr>
                <w:p w14:paraId="533FFB7A">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小董村</w:t>
                  </w:r>
                </w:p>
              </w:tc>
              <w:tc>
                <w:tcPr>
                  <w:tcW w:w="636" w:type="pct"/>
                  <w:shd w:val="clear" w:color="auto" w:fill="auto"/>
                  <w:vAlign w:val="center"/>
                </w:tcPr>
                <w:p w14:paraId="10D3255E">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081306A9">
                  <w:pPr>
                    <w:autoSpaceDE w:val="0"/>
                    <w:autoSpaceDN w:val="0"/>
                    <w:jc w:val="center"/>
                    <w:rPr>
                      <w:color w:val="auto"/>
                      <w:szCs w:val="21"/>
                    </w:rPr>
                  </w:pPr>
                </w:p>
              </w:tc>
              <w:tc>
                <w:tcPr>
                  <w:tcW w:w="513" w:type="pct"/>
                  <w:shd w:val="clear" w:color="auto" w:fill="auto"/>
                  <w:vAlign w:val="center"/>
                </w:tcPr>
                <w:p w14:paraId="385AC73D">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W</w:t>
                  </w:r>
                </w:p>
              </w:tc>
              <w:tc>
                <w:tcPr>
                  <w:tcW w:w="645" w:type="pct"/>
                  <w:shd w:val="clear" w:color="auto" w:fill="auto"/>
                  <w:vAlign w:val="center"/>
                </w:tcPr>
                <w:p w14:paraId="6939D716">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185</w:t>
                  </w:r>
                </w:p>
              </w:tc>
            </w:tr>
            <w:tr w14:paraId="2C055A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33" w:hRule="atLeast"/>
                <w:jc w:val="center"/>
              </w:trPr>
              <w:tc>
                <w:tcPr>
                  <w:tcW w:w="481" w:type="pct"/>
                  <w:vMerge w:val="continue"/>
                  <w:vAlign w:val="center"/>
                </w:tcPr>
                <w:p w14:paraId="54FF489D">
                  <w:pPr>
                    <w:widowControl/>
                    <w:jc w:val="center"/>
                    <w:rPr>
                      <w:color w:val="auto"/>
                      <w:kern w:val="0"/>
                      <w:szCs w:val="21"/>
                    </w:rPr>
                  </w:pPr>
                </w:p>
              </w:tc>
              <w:tc>
                <w:tcPr>
                  <w:tcW w:w="1500" w:type="pct"/>
                  <w:vAlign w:val="center"/>
                </w:tcPr>
                <w:p w14:paraId="74BEA2A9">
                  <w:pPr>
                    <w:widowControl/>
                    <w:jc w:val="center"/>
                    <w:rPr>
                      <w:color w:val="auto"/>
                      <w:kern w:val="0"/>
                      <w:szCs w:val="21"/>
                    </w:rPr>
                  </w:pPr>
                  <w:r>
                    <w:rPr>
                      <w:color w:val="auto"/>
                      <w:kern w:val="0"/>
                      <w:szCs w:val="21"/>
                    </w:rPr>
                    <w:t>梁家庄村</w:t>
                  </w:r>
                </w:p>
              </w:tc>
              <w:tc>
                <w:tcPr>
                  <w:tcW w:w="636" w:type="pct"/>
                  <w:vAlign w:val="center"/>
                </w:tcPr>
                <w:p w14:paraId="50731B3D">
                  <w:pPr>
                    <w:widowControl/>
                    <w:jc w:val="center"/>
                    <w:rPr>
                      <w:color w:val="auto"/>
                      <w:kern w:val="0"/>
                      <w:szCs w:val="21"/>
                    </w:rPr>
                  </w:pPr>
                  <w:r>
                    <w:rPr>
                      <w:color w:val="auto"/>
                      <w:kern w:val="0"/>
                      <w:szCs w:val="21"/>
                    </w:rPr>
                    <w:t>居民</w:t>
                  </w:r>
                </w:p>
              </w:tc>
              <w:tc>
                <w:tcPr>
                  <w:tcW w:w="1222" w:type="pct"/>
                  <w:vMerge w:val="continue"/>
                  <w:vAlign w:val="center"/>
                </w:tcPr>
                <w:p w14:paraId="6AE8D816">
                  <w:pPr>
                    <w:autoSpaceDE w:val="0"/>
                    <w:autoSpaceDN w:val="0"/>
                    <w:jc w:val="center"/>
                    <w:rPr>
                      <w:color w:val="auto"/>
                      <w:szCs w:val="21"/>
                    </w:rPr>
                  </w:pPr>
                </w:p>
              </w:tc>
              <w:tc>
                <w:tcPr>
                  <w:tcW w:w="513" w:type="pct"/>
                  <w:vAlign w:val="center"/>
                </w:tcPr>
                <w:p w14:paraId="01B6B789">
                  <w:pPr>
                    <w:autoSpaceDE w:val="0"/>
                    <w:autoSpaceDN w:val="0"/>
                    <w:jc w:val="center"/>
                    <w:rPr>
                      <w:color w:val="auto"/>
                      <w:kern w:val="0"/>
                      <w:szCs w:val="21"/>
                    </w:rPr>
                  </w:pPr>
                  <w:r>
                    <w:rPr>
                      <w:color w:val="auto"/>
                      <w:kern w:val="0"/>
                      <w:szCs w:val="21"/>
                    </w:rPr>
                    <w:t>W</w:t>
                  </w:r>
                </w:p>
              </w:tc>
              <w:tc>
                <w:tcPr>
                  <w:tcW w:w="645" w:type="pct"/>
                  <w:vAlign w:val="center"/>
                </w:tcPr>
                <w:p w14:paraId="59ABB9D7">
                  <w:pPr>
                    <w:autoSpaceDE w:val="0"/>
                    <w:autoSpaceDN w:val="0"/>
                    <w:jc w:val="center"/>
                    <w:rPr>
                      <w:color w:val="auto"/>
                      <w:kern w:val="0"/>
                      <w:szCs w:val="21"/>
                    </w:rPr>
                  </w:pPr>
                  <w:r>
                    <w:rPr>
                      <w:color w:val="auto"/>
                      <w:kern w:val="0"/>
                      <w:szCs w:val="21"/>
                    </w:rPr>
                    <w:t>穿过村庄</w:t>
                  </w:r>
                </w:p>
              </w:tc>
            </w:tr>
            <w:tr w14:paraId="54280B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Align w:val="center"/>
                </w:tcPr>
                <w:p w14:paraId="0F80D041">
                  <w:pPr>
                    <w:widowControl/>
                    <w:jc w:val="center"/>
                    <w:rPr>
                      <w:color w:val="auto"/>
                      <w:kern w:val="0"/>
                      <w:szCs w:val="21"/>
                    </w:rPr>
                  </w:pPr>
                  <w:r>
                    <w:rPr>
                      <w:color w:val="auto"/>
                      <w:kern w:val="0"/>
                      <w:szCs w:val="21"/>
                    </w:rPr>
                    <w:t>地下水环境</w:t>
                  </w:r>
                </w:p>
              </w:tc>
              <w:tc>
                <w:tcPr>
                  <w:tcW w:w="2136" w:type="pct"/>
                  <w:gridSpan w:val="2"/>
                  <w:vAlign w:val="center"/>
                </w:tcPr>
                <w:p w14:paraId="5BC217F1">
                  <w:pPr>
                    <w:widowControl/>
                    <w:jc w:val="center"/>
                    <w:rPr>
                      <w:color w:val="auto"/>
                      <w:kern w:val="0"/>
                      <w:szCs w:val="21"/>
                    </w:rPr>
                  </w:pPr>
                  <w:r>
                    <w:rPr>
                      <w:color w:val="auto"/>
                      <w:kern w:val="0"/>
                      <w:szCs w:val="21"/>
                    </w:rPr>
                    <w:t>厂界外500米范围内无地下水集中式饮用水源和热水、矿泉水、温泉等特殊地下水资源</w:t>
                  </w:r>
                </w:p>
              </w:tc>
              <w:tc>
                <w:tcPr>
                  <w:tcW w:w="1222" w:type="pct"/>
                  <w:vAlign w:val="center"/>
                </w:tcPr>
                <w:p w14:paraId="401D5995">
                  <w:pPr>
                    <w:autoSpaceDE w:val="0"/>
                    <w:autoSpaceDN w:val="0"/>
                    <w:jc w:val="center"/>
                    <w:rPr>
                      <w:color w:val="auto"/>
                      <w:kern w:val="0"/>
                      <w:szCs w:val="21"/>
                    </w:rPr>
                  </w:pPr>
                  <w:r>
                    <w:rPr>
                      <w:color w:val="auto"/>
                      <w:szCs w:val="21"/>
                    </w:rPr>
                    <w:t>《地下水质量标准》（GB/T14848-2017）Ⅲ类标准</w:t>
                  </w:r>
                </w:p>
              </w:tc>
              <w:tc>
                <w:tcPr>
                  <w:tcW w:w="513" w:type="pct"/>
                  <w:vAlign w:val="center"/>
                </w:tcPr>
                <w:p w14:paraId="41028B96">
                  <w:pPr>
                    <w:autoSpaceDE w:val="0"/>
                    <w:autoSpaceDN w:val="0"/>
                    <w:jc w:val="center"/>
                    <w:rPr>
                      <w:color w:val="auto"/>
                      <w:kern w:val="0"/>
                      <w:szCs w:val="21"/>
                    </w:rPr>
                  </w:pPr>
                  <w:r>
                    <w:rPr>
                      <w:color w:val="auto"/>
                      <w:kern w:val="0"/>
                      <w:szCs w:val="21"/>
                    </w:rPr>
                    <w:t>/</w:t>
                  </w:r>
                </w:p>
              </w:tc>
              <w:tc>
                <w:tcPr>
                  <w:tcW w:w="645" w:type="pct"/>
                  <w:vAlign w:val="center"/>
                </w:tcPr>
                <w:p w14:paraId="19B1C6E5">
                  <w:pPr>
                    <w:autoSpaceDE w:val="0"/>
                    <w:autoSpaceDN w:val="0"/>
                    <w:jc w:val="center"/>
                    <w:rPr>
                      <w:color w:val="auto"/>
                      <w:kern w:val="0"/>
                      <w:szCs w:val="21"/>
                    </w:rPr>
                  </w:pPr>
                  <w:r>
                    <w:rPr>
                      <w:color w:val="auto"/>
                      <w:kern w:val="0"/>
                      <w:szCs w:val="21"/>
                    </w:rPr>
                    <w:t>/</w:t>
                  </w:r>
                </w:p>
              </w:tc>
            </w:tr>
            <w:tr w14:paraId="619A2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restart"/>
                  <w:vAlign w:val="center"/>
                </w:tcPr>
                <w:p w14:paraId="1F3B91C4">
                  <w:pPr>
                    <w:jc w:val="center"/>
                    <w:rPr>
                      <w:color w:val="auto"/>
                      <w:kern w:val="0"/>
                      <w:szCs w:val="21"/>
                    </w:rPr>
                  </w:pPr>
                  <w:r>
                    <w:rPr>
                      <w:color w:val="auto"/>
                      <w:szCs w:val="21"/>
                    </w:rPr>
                    <w:t>地表水</w:t>
                  </w:r>
                </w:p>
              </w:tc>
              <w:tc>
                <w:tcPr>
                  <w:tcW w:w="2136" w:type="pct"/>
                  <w:gridSpan w:val="2"/>
                  <w:vAlign w:val="center"/>
                </w:tcPr>
                <w:p w14:paraId="4B53C29A">
                  <w:pPr>
                    <w:jc w:val="center"/>
                    <w:rPr>
                      <w:color w:val="auto"/>
                      <w:kern w:val="0"/>
                      <w:szCs w:val="21"/>
                    </w:rPr>
                  </w:pPr>
                  <w:r>
                    <w:rPr>
                      <w:color w:val="auto"/>
                      <w:kern w:val="0"/>
                      <w:szCs w:val="21"/>
                    </w:rPr>
                    <w:t>暖水河</w:t>
                  </w:r>
                </w:p>
              </w:tc>
              <w:tc>
                <w:tcPr>
                  <w:tcW w:w="1222" w:type="pct"/>
                  <w:vMerge w:val="restart"/>
                  <w:vAlign w:val="center"/>
                </w:tcPr>
                <w:p w14:paraId="675D62D6">
                  <w:pPr>
                    <w:jc w:val="center"/>
                    <w:rPr>
                      <w:color w:val="auto"/>
                      <w:szCs w:val="21"/>
                    </w:rPr>
                  </w:pPr>
                  <w:r>
                    <w:rPr>
                      <w:color w:val="auto"/>
                      <w:szCs w:val="21"/>
                    </w:rPr>
                    <w:t>《地表水环境质量标准》</w:t>
                  </w:r>
                  <w:r>
                    <w:rPr>
                      <w:color w:val="auto"/>
                      <w:sz w:val="21"/>
                      <w:szCs w:val="21"/>
                    </w:rPr>
                    <w:t>（GB3838-2002）</w:t>
                  </w:r>
                  <w:r>
                    <w:rPr>
                      <w:bCs/>
                      <w:color w:val="auto"/>
                      <w:sz w:val="21"/>
                      <w:szCs w:val="21"/>
                    </w:rPr>
                    <w:t>V</w:t>
                  </w:r>
                  <w:r>
                    <w:rPr>
                      <w:bCs/>
                      <w:color w:val="auto"/>
                      <w:sz w:val="21"/>
                      <w:szCs w:val="21"/>
                      <w:lang w:val="zh-CN"/>
                    </w:rPr>
                    <w:t>类</w:t>
                  </w:r>
                  <w:r>
                    <w:rPr>
                      <w:color w:val="auto"/>
                      <w:sz w:val="21"/>
                      <w:szCs w:val="21"/>
                    </w:rPr>
                    <w:t>标</w:t>
                  </w:r>
                  <w:r>
                    <w:rPr>
                      <w:color w:val="auto"/>
                      <w:szCs w:val="21"/>
                    </w:rPr>
                    <w:t>准</w:t>
                  </w:r>
                </w:p>
              </w:tc>
              <w:tc>
                <w:tcPr>
                  <w:tcW w:w="1159" w:type="pct"/>
                  <w:gridSpan w:val="2"/>
                  <w:vAlign w:val="center"/>
                </w:tcPr>
                <w:p w14:paraId="04A5A43B">
                  <w:pPr>
                    <w:jc w:val="center"/>
                    <w:rPr>
                      <w:color w:val="auto"/>
                      <w:kern w:val="0"/>
                      <w:szCs w:val="21"/>
                    </w:rPr>
                  </w:pPr>
                  <w:r>
                    <w:rPr>
                      <w:color w:val="auto"/>
                      <w:kern w:val="0"/>
                      <w:szCs w:val="21"/>
                    </w:rPr>
                    <w:t>本次施工河道之一</w:t>
                  </w:r>
                </w:p>
              </w:tc>
            </w:tr>
            <w:tr w14:paraId="515C8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Merge w:val="continue"/>
                  <w:vAlign w:val="center"/>
                </w:tcPr>
                <w:p w14:paraId="71139D24">
                  <w:pPr>
                    <w:jc w:val="center"/>
                    <w:rPr>
                      <w:color w:val="auto"/>
                      <w:szCs w:val="21"/>
                    </w:rPr>
                  </w:pPr>
                </w:p>
              </w:tc>
              <w:tc>
                <w:tcPr>
                  <w:tcW w:w="2136" w:type="pct"/>
                  <w:gridSpan w:val="2"/>
                  <w:vAlign w:val="center"/>
                </w:tcPr>
                <w:p w14:paraId="18806272">
                  <w:pPr>
                    <w:jc w:val="center"/>
                    <w:rPr>
                      <w:color w:val="auto"/>
                      <w:kern w:val="0"/>
                      <w:szCs w:val="21"/>
                    </w:rPr>
                  </w:pPr>
                  <w:r>
                    <w:rPr>
                      <w:color w:val="auto"/>
                      <w:kern w:val="0"/>
                      <w:szCs w:val="21"/>
                    </w:rPr>
                    <w:t>漫泗河</w:t>
                  </w:r>
                </w:p>
              </w:tc>
              <w:tc>
                <w:tcPr>
                  <w:tcW w:w="1222" w:type="pct"/>
                  <w:vMerge w:val="continue"/>
                  <w:vAlign w:val="center"/>
                </w:tcPr>
                <w:p w14:paraId="104D6657">
                  <w:pPr>
                    <w:jc w:val="center"/>
                    <w:rPr>
                      <w:color w:val="auto"/>
                      <w:szCs w:val="21"/>
                    </w:rPr>
                  </w:pPr>
                </w:p>
              </w:tc>
              <w:tc>
                <w:tcPr>
                  <w:tcW w:w="1159" w:type="pct"/>
                  <w:gridSpan w:val="2"/>
                  <w:vAlign w:val="center"/>
                </w:tcPr>
                <w:p w14:paraId="045BD08E">
                  <w:pPr>
                    <w:jc w:val="center"/>
                    <w:rPr>
                      <w:color w:val="auto"/>
                      <w:kern w:val="0"/>
                      <w:szCs w:val="21"/>
                    </w:rPr>
                  </w:pPr>
                  <w:r>
                    <w:rPr>
                      <w:color w:val="auto"/>
                      <w:kern w:val="0"/>
                      <w:szCs w:val="21"/>
                    </w:rPr>
                    <w:t>暖水河汇入漫泗河</w:t>
                  </w:r>
                </w:p>
              </w:tc>
            </w:tr>
            <w:tr w14:paraId="51E977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1" w:type="pct"/>
                  <w:vAlign w:val="center"/>
                </w:tcPr>
                <w:p w14:paraId="6694B361">
                  <w:pPr>
                    <w:autoSpaceDE w:val="0"/>
                    <w:autoSpaceDN w:val="0"/>
                    <w:jc w:val="center"/>
                    <w:rPr>
                      <w:color w:val="auto"/>
                      <w:kern w:val="0"/>
                      <w:szCs w:val="21"/>
                    </w:rPr>
                  </w:pPr>
                  <w:r>
                    <w:rPr>
                      <w:color w:val="auto"/>
                      <w:kern w:val="0"/>
                      <w:szCs w:val="21"/>
                    </w:rPr>
                    <w:t>生态</w:t>
                  </w:r>
                </w:p>
                <w:p w14:paraId="71B279CF">
                  <w:pPr>
                    <w:autoSpaceDE w:val="0"/>
                    <w:autoSpaceDN w:val="0"/>
                    <w:jc w:val="center"/>
                    <w:rPr>
                      <w:color w:val="auto"/>
                      <w:kern w:val="0"/>
                      <w:szCs w:val="21"/>
                    </w:rPr>
                  </w:pPr>
                  <w:r>
                    <w:rPr>
                      <w:color w:val="auto"/>
                      <w:kern w:val="0"/>
                      <w:szCs w:val="21"/>
                    </w:rPr>
                    <w:t>环境</w:t>
                  </w:r>
                </w:p>
              </w:tc>
              <w:tc>
                <w:tcPr>
                  <w:tcW w:w="4518" w:type="pct"/>
                  <w:gridSpan w:val="5"/>
                  <w:vAlign w:val="center"/>
                </w:tcPr>
                <w:p w14:paraId="66F7F7C7">
                  <w:pPr>
                    <w:widowControl/>
                    <w:jc w:val="center"/>
                    <w:rPr>
                      <w:color w:val="auto"/>
                      <w:kern w:val="0"/>
                      <w:szCs w:val="21"/>
                    </w:rPr>
                  </w:pPr>
                  <w:r>
                    <w:rPr>
                      <w:color w:val="auto"/>
                      <w:szCs w:val="21"/>
                    </w:rPr>
                    <w:t>项目生态评价范围内无</w:t>
                  </w:r>
                  <w:r>
                    <w:rPr>
                      <w:color w:val="auto"/>
                      <w:kern w:val="0"/>
                      <w:szCs w:val="21"/>
                      <w:lang w:bidi="ar"/>
                    </w:rPr>
                    <w:t>受影响的重要物种、生态敏感区以及其他需要保护的物种、种群、生物群落及生态空间等</w:t>
                  </w:r>
                </w:p>
              </w:tc>
            </w:tr>
          </w:tbl>
          <w:p w14:paraId="049EB893">
            <w:pPr>
              <w:numPr>
                <w:ilvl w:val="0"/>
                <w:numId w:val="7"/>
              </w:numPr>
              <w:snapToGrid w:val="0"/>
              <w:spacing w:line="360" w:lineRule="auto"/>
              <w:ind w:firstLine="480" w:firstLineChars="200"/>
              <w:rPr>
                <w:color w:val="auto"/>
                <w:sz w:val="24"/>
              </w:rPr>
            </w:pPr>
            <w:r>
              <w:rPr>
                <w:color w:val="auto"/>
                <w:sz w:val="24"/>
              </w:rPr>
              <w:t>焕然河</w:t>
            </w:r>
            <w:r>
              <w:rPr>
                <w:rFonts w:hint="eastAsia"/>
                <w:color w:val="auto"/>
                <w:sz w:val="24"/>
                <w:lang w:eastAsia="zh-CN"/>
              </w:rPr>
              <w:t>治理范围为全线。</w:t>
            </w:r>
          </w:p>
          <w:p w14:paraId="581BA084">
            <w:pPr>
              <w:spacing w:before="120" w:beforeLines="50"/>
              <w:jc w:val="center"/>
              <w:rPr>
                <w:color w:val="auto"/>
                <w:szCs w:val="21"/>
              </w:rPr>
            </w:pPr>
            <w:r>
              <w:rPr>
                <w:b/>
                <w:bCs/>
                <w:color w:val="auto"/>
                <w:szCs w:val="21"/>
              </w:rPr>
              <w:t>表3-</w:t>
            </w:r>
            <w:r>
              <w:rPr>
                <w:rFonts w:hint="eastAsia"/>
                <w:b/>
                <w:bCs/>
                <w:color w:val="auto"/>
                <w:szCs w:val="21"/>
                <w:lang w:val="en-US" w:eastAsia="zh-CN"/>
              </w:rPr>
              <w:t>13</w:t>
            </w:r>
            <w:r>
              <w:rPr>
                <w:b/>
                <w:bCs/>
                <w:color w:val="auto"/>
                <w:szCs w:val="21"/>
              </w:rPr>
              <w:t xml:space="preserve">  经开区内焕然河工程主要环境保护目标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06"/>
              <w:gridCol w:w="2464"/>
              <w:gridCol w:w="1045"/>
              <w:gridCol w:w="2008"/>
              <w:gridCol w:w="846"/>
              <w:gridCol w:w="1043"/>
            </w:tblGrid>
            <w:tr w14:paraId="177A43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91" w:type="pct"/>
                  <w:vAlign w:val="center"/>
                </w:tcPr>
                <w:p w14:paraId="36E9BBE0">
                  <w:pPr>
                    <w:autoSpaceDE w:val="0"/>
                    <w:autoSpaceDN w:val="0"/>
                    <w:jc w:val="center"/>
                    <w:rPr>
                      <w:color w:val="auto"/>
                      <w:kern w:val="0"/>
                      <w:szCs w:val="21"/>
                    </w:rPr>
                  </w:pPr>
                  <w:r>
                    <w:rPr>
                      <w:color w:val="auto"/>
                      <w:kern w:val="0"/>
                      <w:szCs w:val="21"/>
                    </w:rPr>
                    <w:t>保护</w:t>
                  </w:r>
                </w:p>
                <w:p w14:paraId="3FD944A3">
                  <w:pPr>
                    <w:autoSpaceDE w:val="0"/>
                    <w:autoSpaceDN w:val="0"/>
                    <w:jc w:val="center"/>
                    <w:rPr>
                      <w:color w:val="auto"/>
                      <w:kern w:val="0"/>
                      <w:szCs w:val="21"/>
                    </w:rPr>
                  </w:pPr>
                  <w:r>
                    <w:rPr>
                      <w:color w:val="auto"/>
                      <w:kern w:val="0"/>
                      <w:szCs w:val="21"/>
                    </w:rPr>
                    <w:t>类别</w:t>
                  </w:r>
                </w:p>
              </w:tc>
              <w:tc>
                <w:tcPr>
                  <w:tcW w:w="1500" w:type="pct"/>
                  <w:vAlign w:val="center"/>
                </w:tcPr>
                <w:p w14:paraId="0D2AE6E7">
                  <w:pPr>
                    <w:autoSpaceDE w:val="0"/>
                    <w:autoSpaceDN w:val="0"/>
                    <w:jc w:val="center"/>
                    <w:rPr>
                      <w:color w:val="auto"/>
                      <w:kern w:val="0"/>
                      <w:szCs w:val="21"/>
                    </w:rPr>
                  </w:pPr>
                  <w:r>
                    <w:rPr>
                      <w:color w:val="auto"/>
                      <w:kern w:val="0"/>
                      <w:szCs w:val="21"/>
                    </w:rPr>
                    <w:t>保护对象</w:t>
                  </w:r>
                </w:p>
              </w:tc>
              <w:tc>
                <w:tcPr>
                  <w:tcW w:w="636" w:type="pct"/>
                  <w:vAlign w:val="center"/>
                </w:tcPr>
                <w:p w14:paraId="41E8DC8C">
                  <w:pPr>
                    <w:autoSpaceDE w:val="0"/>
                    <w:autoSpaceDN w:val="0"/>
                    <w:jc w:val="center"/>
                    <w:rPr>
                      <w:color w:val="auto"/>
                      <w:kern w:val="0"/>
                      <w:szCs w:val="21"/>
                    </w:rPr>
                  </w:pPr>
                  <w:r>
                    <w:rPr>
                      <w:color w:val="auto"/>
                      <w:kern w:val="0"/>
                      <w:szCs w:val="21"/>
                    </w:rPr>
                    <w:t>保护</w:t>
                  </w:r>
                </w:p>
                <w:p w14:paraId="1D61BC48">
                  <w:pPr>
                    <w:autoSpaceDE w:val="0"/>
                    <w:autoSpaceDN w:val="0"/>
                    <w:jc w:val="center"/>
                    <w:rPr>
                      <w:color w:val="auto"/>
                      <w:kern w:val="0"/>
                      <w:szCs w:val="21"/>
                    </w:rPr>
                  </w:pPr>
                  <w:r>
                    <w:rPr>
                      <w:color w:val="auto"/>
                      <w:kern w:val="0"/>
                      <w:szCs w:val="21"/>
                    </w:rPr>
                    <w:t>内容</w:t>
                  </w:r>
                </w:p>
              </w:tc>
              <w:tc>
                <w:tcPr>
                  <w:tcW w:w="1222" w:type="pct"/>
                  <w:vAlign w:val="center"/>
                </w:tcPr>
                <w:p w14:paraId="4980CC54">
                  <w:pPr>
                    <w:autoSpaceDE w:val="0"/>
                    <w:autoSpaceDN w:val="0"/>
                    <w:jc w:val="center"/>
                    <w:rPr>
                      <w:color w:val="auto"/>
                      <w:kern w:val="0"/>
                      <w:szCs w:val="21"/>
                    </w:rPr>
                  </w:pPr>
                  <w:r>
                    <w:rPr>
                      <w:color w:val="auto"/>
                      <w:kern w:val="0"/>
                      <w:szCs w:val="21"/>
                    </w:rPr>
                    <w:t>环境功能区</w:t>
                  </w:r>
                </w:p>
              </w:tc>
              <w:tc>
                <w:tcPr>
                  <w:tcW w:w="515" w:type="pct"/>
                  <w:vAlign w:val="center"/>
                </w:tcPr>
                <w:p w14:paraId="6D2B98DE">
                  <w:pPr>
                    <w:autoSpaceDE w:val="0"/>
                    <w:autoSpaceDN w:val="0"/>
                    <w:jc w:val="center"/>
                    <w:rPr>
                      <w:color w:val="auto"/>
                      <w:kern w:val="0"/>
                      <w:szCs w:val="21"/>
                    </w:rPr>
                  </w:pPr>
                  <w:r>
                    <w:rPr>
                      <w:color w:val="auto"/>
                      <w:kern w:val="0"/>
                      <w:szCs w:val="21"/>
                    </w:rPr>
                    <w:t>相对河道方位</w:t>
                  </w:r>
                </w:p>
              </w:tc>
              <w:tc>
                <w:tcPr>
                  <w:tcW w:w="633" w:type="pct"/>
                  <w:vAlign w:val="center"/>
                </w:tcPr>
                <w:p w14:paraId="3C945B22">
                  <w:pPr>
                    <w:autoSpaceDE w:val="0"/>
                    <w:autoSpaceDN w:val="0"/>
                    <w:jc w:val="center"/>
                    <w:rPr>
                      <w:color w:val="auto"/>
                      <w:kern w:val="0"/>
                      <w:szCs w:val="21"/>
                    </w:rPr>
                  </w:pPr>
                  <w:r>
                    <w:rPr>
                      <w:color w:val="auto"/>
                      <w:kern w:val="0"/>
                      <w:szCs w:val="21"/>
                    </w:rPr>
                    <w:t>相对河道</w:t>
                  </w:r>
                </w:p>
                <w:p w14:paraId="22790324">
                  <w:pPr>
                    <w:autoSpaceDE w:val="0"/>
                    <w:autoSpaceDN w:val="0"/>
                    <w:jc w:val="center"/>
                    <w:rPr>
                      <w:color w:val="auto"/>
                      <w:kern w:val="0"/>
                      <w:szCs w:val="21"/>
                    </w:rPr>
                  </w:pPr>
                  <w:r>
                    <w:rPr>
                      <w:color w:val="auto"/>
                      <w:kern w:val="0"/>
                      <w:szCs w:val="21"/>
                    </w:rPr>
                    <w:t>距离（m）</w:t>
                  </w:r>
                </w:p>
              </w:tc>
            </w:tr>
            <w:tr w14:paraId="5B16C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restart"/>
                  <w:vAlign w:val="center"/>
                </w:tcPr>
                <w:p w14:paraId="486D6A81">
                  <w:pPr>
                    <w:autoSpaceDE w:val="0"/>
                    <w:autoSpaceDN w:val="0"/>
                    <w:jc w:val="center"/>
                    <w:rPr>
                      <w:color w:val="auto"/>
                      <w:kern w:val="0"/>
                      <w:szCs w:val="21"/>
                    </w:rPr>
                  </w:pPr>
                  <w:r>
                    <w:rPr>
                      <w:color w:val="auto"/>
                      <w:kern w:val="0"/>
                      <w:szCs w:val="21"/>
                    </w:rPr>
                    <w:t>大气</w:t>
                  </w:r>
                </w:p>
                <w:p w14:paraId="289BAED5">
                  <w:pPr>
                    <w:widowControl/>
                    <w:jc w:val="center"/>
                    <w:rPr>
                      <w:color w:val="auto"/>
                      <w:kern w:val="0"/>
                      <w:szCs w:val="21"/>
                    </w:rPr>
                  </w:pPr>
                  <w:r>
                    <w:rPr>
                      <w:color w:val="auto"/>
                      <w:kern w:val="0"/>
                      <w:szCs w:val="21"/>
                    </w:rPr>
                    <w:t>环境</w:t>
                  </w:r>
                </w:p>
              </w:tc>
              <w:tc>
                <w:tcPr>
                  <w:tcW w:w="1500" w:type="pct"/>
                  <w:vAlign w:val="center"/>
                </w:tcPr>
                <w:p w14:paraId="778EDE4B">
                  <w:pPr>
                    <w:widowControl/>
                    <w:jc w:val="center"/>
                    <w:rPr>
                      <w:color w:val="auto"/>
                      <w:kern w:val="0"/>
                      <w:szCs w:val="21"/>
                    </w:rPr>
                  </w:pPr>
                  <w:r>
                    <w:rPr>
                      <w:color w:val="auto"/>
                      <w:kern w:val="0"/>
                      <w:szCs w:val="21"/>
                    </w:rPr>
                    <w:t>西河村</w:t>
                  </w:r>
                </w:p>
              </w:tc>
              <w:tc>
                <w:tcPr>
                  <w:tcW w:w="636" w:type="pct"/>
                  <w:vAlign w:val="center"/>
                </w:tcPr>
                <w:p w14:paraId="3EF2D6F0">
                  <w:pPr>
                    <w:widowControl/>
                    <w:jc w:val="center"/>
                    <w:rPr>
                      <w:color w:val="auto"/>
                      <w:kern w:val="0"/>
                      <w:szCs w:val="21"/>
                    </w:rPr>
                  </w:pPr>
                  <w:r>
                    <w:rPr>
                      <w:color w:val="auto"/>
                      <w:kern w:val="0"/>
                      <w:szCs w:val="21"/>
                    </w:rPr>
                    <w:t>居民</w:t>
                  </w:r>
                </w:p>
              </w:tc>
              <w:tc>
                <w:tcPr>
                  <w:tcW w:w="1222" w:type="pct"/>
                  <w:vMerge w:val="restart"/>
                  <w:vAlign w:val="center"/>
                </w:tcPr>
                <w:p w14:paraId="052C7A0D">
                  <w:pPr>
                    <w:autoSpaceDE w:val="0"/>
                    <w:autoSpaceDN w:val="0"/>
                    <w:jc w:val="center"/>
                    <w:rPr>
                      <w:color w:val="auto"/>
                      <w:szCs w:val="21"/>
                    </w:rPr>
                  </w:pPr>
                  <w:r>
                    <w:rPr>
                      <w:bCs/>
                      <w:color w:val="auto"/>
                      <w:szCs w:val="21"/>
                    </w:rPr>
                    <w:t>《环境空气质量标准》（GB3095-20</w:t>
                  </w:r>
                  <w:r>
                    <w:rPr>
                      <w:rFonts w:hint="eastAsia"/>
                      <w:bCs/>
                      <w:color w:val="auto"/>
                      <w:szCs w:val="21"/>
                      <w:lang w:val="en-US" w:eastAsia="zh-CN"/>
                    </w:rPr>
                    <w:t>26</w:t>
                  </w:r>
                  <w:r>
                    <w:rPr>
                      <w:bCs/>
                      <w:color w:val="auto"/>
                      <w:szCs w:val="21"/>
                    </w:rPr>
                    <w:t>）</w:t>
                  </w:r>
                  <w:r>
                    <w:rPr>
                      <w:rFonts w:hint="eastAsia"/>
                      <w:bCs/>
                      <w:color w:val="auto"/>
                      <w:szCs w:val="21"/>
                      <w:highlight w:val="none"/>
                      <w:lang w:eastAsia="zh-CN"/>
                    </w:rPr>
                    <w:t>过渡阶段</w:t>
                  </w:r>
                  <w:r>
                    <w:rPr>
                      <w:bCs/>
                      <w:color w:val="auto"/>
                      <w:szCs w:val="21"/>
                    </w:rPr>
                    <w:t>二级标准</w:t>
                  </w:r>
                </w:p>
              </w:tc>
              <w:tc>
                <w:tcPr>
                  <w:tcW w:w="515" w:type="pct"/>
                  <w:vAlign w:val="center"/>
                </w:tcPr>
                <w:p w14:paraId="1652F56E">
                  <w:pPr>
                    <w:autoSpaceDE w:val="0"/>
                    <w:autoSpaceDN w:val="0"/>
                    <w:jc w:val="center"/>
                    <w:rPr>
                      <w:color w:val="auto"/>
                      <w:kern w:val="0"/>
                      <w:szCs w:val="21"/>
                    </w:rPr>
                  </w:pPr>
                  <w:r>
                    <w:rPr>
                      <w:color w:val="auto"/>
                      <w:kern w:val="0"/>
                      <w:szCs w:val="21"/>
                    </w:rPr>
                    <w:t>E</w:t>
                  </w:r>
                </w:p>
              </w:tc>
              <w:tc>
                <w:tcPr>
                  <w:tcW w:w="633" w:type="pct"/>
                  <w:vAlign w:val="center"/>
                </w:tcPr>
                <w:p w14:paraId="079E32FD">
                  <w:pPr>
                    <w:autoSpaceDE w:val="0"/>
                    <w:autoSpaceDN w:val="0"/>
                    <w:jc w:val="center"/>
                    <w:rPr>
                      <w:color w:val="auto"/>
                      <w:kern w:val="0"/>
                      <w:szCs w:val="21"/>
                    </w:rPr>
                  </w:pPr>
                  <w:r>
                    <w:rPr>
                      <w:color w:val="auto"/>
                      <w:kern w:val="0"/>
                      <w:szCs w:val="21"/>
                    </w:rPr>
                    <w:t>185</w:t>
                  </w:r>
                </w:p>
              </w:tc>
            </w:tr>
            <w:tr w14:paraId="54AC3F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continue"/>
                  <w:vAlign w:val="center"/>
                </w:tcPr>
                <w:p w14:paraId="13B55519">
                  <w:pPr>
                    <w:widowControl/>
                    <w:jc w:val="center"/>
                    <w:rPr>
                      <w:color w:val="auto"/>
                      <w:kern w:val="0"/>
                      <w:szCs w:val="21"/>
                    </w:rPr>
                  </w:pPr>
                </w:p>
              </w:tc>
              <w:tc>
                <w:tcPr>
                  <w:tcW w:w="1500" w:type="pct"/>
                  <w:vAlign w:val="center"/>
                </w:tcPr>
                <w:p w14:paraId="2E8E54AF">
                  <w:pPr>
                    <w:widowControl/>
                    <w:jc w:val="center"/>
                    <w:rPr>
                      <w:rFonts w:hint="eastAsia" w:eastAsia="宋体"/>
                      <w:color w:val="auto"/>
                      <w:kern w:val="0"/>
                      <w:szCs w:val="21"/>
                      <w:lang w:eastAsia="zh-CN"/>
                    </w:rPr>
                  </w:pPr>
                  <w:r>
                    <w:rPr>
                      <w:color w:val="auto"/>
                      <w:kern w:val="0"/>
                      <w:szCs w:val="21"/>
                    </w:rPr>
                    <w:t>官三</w:t>
                  </w:r>
                  <w:r>
                    <w:rPr>
                      <w:rFonts w:hint="eastAsia"/>
                      <w:color w:val="auto"/>
                      <w:kern w:val="0"/>
                      <w:szCs w:val="21"/>
                      <w:lang w:eastAsia="zh-CN"/>
                    </w:rPr>
                    <w:t>村</w:t>
                  </w:r>
                </w:p>
              </w:tc>
              <w:tc>
                <w:tcPr>
                  <w:tcW w:w="636" w:type="pct"/>
                  <w:vAlign w:val="center"/>
                </w:tcPr>
                <w:p w14:paraId="255384AF">
                  <w:pPr>
                    <w:widowControl/>
                    <w:jc w:val="center"/>
                    <w:rPr>
                      <w:color w:val="auto"/>
                      <w:kern w:val="0"/>
                      <w:szCs w:val="21"/>
                    </w:rPr>
                  </w:pPr>
                  <w:r>
                    <w:rPr>
                      <w:color w:val="auto"/>
                      <w:kern w:val="0"/>
                      <w:szCs w:val="21"/>
                    </w:rPr>
                    <w:t>居民</w:t>
                  </w:r>
                </w:p>
              </w:tc>
              <w:tc>
                <w:tcPr>
                  <w:tcW w:w="1222" w:type="pct"/>
                  <w:vMerge w:val="continue"/>
                  <w:vAlign w:val="center"/>
                </w:tcPr>
                <w:p w14:paraId="1015EF84">
                  <w:pPr>
                    <w:autoSpaceDE w:val="0"/>
                    <w:autoSpaceDN w:val="0"/>
                    <w:jc w:val="center"/>
                    <w:rPr>
                      <w:color w:val="auto"/>
                      <w:szCs w:val="21"/>
                    </w:rPr>
                  </w:pPr>
                </w:p>
              </w:tc>
              <w:tc>
                <w:tcPr>
                  <w:tcW w:w="515" w:type="pct"/>
                  <w:vAlign w:val="center"/>
                </w:tcPr>
                <w:p w14:paraId="34924870">
                  <w:pPr>
                    <w:autoSpaceDE w:val="0"/>
                    <w:autoSpaceDN w:val="0"/>
                    <w:jc w:val="center"/>
                    <w:rPr>
                      <w:color w:val="auto"/>
                      <w:kern w:val="0"/>
                      <w:szCs w:val="21"/>
                    </w:rPr>
                  </w:pPr>
                  <w:r>
                    <w:rPr>
                      <w:color w:val="auto"/>
                      <w:kern w:val="0"/>
                      <w:szCs w:val="21"/>
                    </w:rPr>
                    <w:t>W</w:t>
                  </w:r>
                </w:p>
              </w:tc>
              <w:tc>
                <w:tcPr>
                  <w:tcW w:w="633" w:type="pct"/>
                  <w:vAlign w:val="center"/>
                </w:tcPr>
                <w:p w14:paraId="6AF1ADFA">
                  <w:pPr>
                    <w:autoSpaceDE w:val="0"/>
                    <w:autoSpaceDN w:val="0"/>
                    <w:jc w:val="center"/>
                    <w:rPr>
                      <w:color w:val="auto"/>
                      <w:kern w:val="0"/>
                      <w:szCs w:val="21"/>
                    </w:rPr>
                  </w:pPr>
                  <w:r>
                    <w:rPr>
                      <w:color w:val="auto"/>
                      <w:kern w:val="0"/>
                      <w:szCs w:val="21"/>
                    </w:rPr>
                    <w:t>20</w:t>
                  </w:r>
                </w:p>
              </w:tc>
            </w:tr>
            <w:tr w14:paraId="2DBECA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continue"/>
                  <w:vAlign w:val="center"/>
                </w:tcPr>
                <w:p w14:paraId="6F1FA39A">
                  <w:pPr>
                    <w:widowControl/>
                    <w:jc w:val="center"/>
                    <w:rPr>
                      <w:color w:val="auto"/>
                      <w:kern w:val="0"/>
                      <w:szCs w:val="21"/>
                    </w:rPr>
                  </w:pPr>
                </w:p>
              </w:tc>
              <w:tc>
                <w:tcPr>
                  <w:tcW w:w="1500" w:type="pct"/>
                  <w:vAlign w:val="center"/>
                </w:tcPr>
                <w:p w14:paraId="2BD42ADB">
                  <w:pPr>
                    <w:widowControl/>
                    <w:jc w:val="center"/>
                    <w:rPr>
                      <w:color w:val="auto"/>
                      <w:kern w:val="0"/>
                      <w:szCs w:val="21"/>
                    </w:rPr>
                  </w:pPr>
                  <w:r>
                    <w:rPr>
                      <w:color w:val="auto"/>
                      <w:kern w:val="0"/>
                      <w:szCs w:val="21"/>
                    </w:rPr>
                    <w:t>赵家村</w:t>
                  </w:r>
                </w:p>
              </w:tc>
              <w:tc>
                <w:tcPr>
                  <w:tcW w:w="636" w:type="pct"/>
                  <w:vAlign w:val="center"/>
                </w:tcPr>
                <w:p w14:paraId="057CDA38">
                  <w:pPr>
                    <w:widowControl/>
                    <w:jc w:val="center"/>
                    <w:rPr>
                      <w:color w:val="auto"/>
                      <w:kern w:val="0"/>
                      <w:szCs w:val="21"/>
                    </w:rPr>
                  </w:pPr>
                  <w:r>
                    <w:rPr>
                      <w:color w:val="auto"/>
                      <w:kern w:val="0"/>
                      <w:szCs w:val="21"/>
                    </w:rPr>
                    <w:t>居民</w:t>
                  </w:r>
                </w:p>
              </w:tc>
              <w:tc>
                <w:tcPr>
                  <w:tcW w:w="1222" w:type="pct"/>
                  <w:vMerge w:val="continue"/>
                  <w:vAlign w:val="center"/>
                </w:tcPr>
                <w:p w14:paraId="21CC54D6">
                  <w:pPr>
                    <w:autoSpaceDE w:val="0"/>
                    <w:autoSpaceDN w:val="0"/>
                    <w:jc w:val="center"/>
                    <w:rPr>
                      <w:color w:val="auto"/>
                      <w:szCs w:val="21"/>
                    </w:rPr>
                  </w:pPr>
                </w:p>
              </w:tc>
              <w:tc>
                <w:tcPr>
                  <w:tcW w:w="515" w:type="pct"/>
                  <w:vAlign w:val="center"/>
                </w:tcPr>
                <w:p w14:paraId="36DF5BF3">
                  <w:pPr>
                    <w:autoSpaceDE w:val="0"/>
                    <w:autoSpaceDN w:val="0"/>
                    <w:jc w:val="center"/>
                    <w:rPr>
                      <w:color w:val="auto"/>
                      <w:kern w:val="0"/>
                      <w:szCs w:val="21"/>
                    </w:rPr>
                  </w:pPr>
                  <w:r>
                    <w:rPr>
                      <w:color w:val="auto"/>
                      <w:kern w:val="0"/>
                      <w:szCs w:val="21"/>
                    </w:rPr>
                    <w:t>E</w:t>
                  </w:r>
                </w:p>
              </w:tc>
              <w:tc>
                <w:tcPr>
                  <w:tcW w:w="633" w:type="pct"/>
                  <w:vAlign w:val="center"/>
                </w:tcPr>
                <w:p w14:paraId="31D75AAF">
                  <w:pPr>
                    <w:autoSpaceDE w:val="0"/>
                    <w:autoSpaceDN w:val="0"/>
                    <w:jc w:val="center"/>
                    <w:rPr>
                      <w:color w:val="auto"/>
                      <w:kern w:val="0"/>
                      <w:szCs w:val="21"/>
                    </w:rPr>
                  </w:pPr>
                  <w:r>
                    <w:rPr>
                      <w:color w:val="auto"/>
                      <w:kern w:val="0"/>
                      <w:szCs w:val="21"/>
                    </w:rPr>
                    <w:t>220</w:t>
                  </w:r>
                </w:p>
              </w:tc>
            </w:tr>
            <w:tr w14:paraId="18AC0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continue"/>
                  <w:vAlign w:val="center"/>
                </w:tcPr>
                <w:p w14:paraId="0B6BBC64">
                  <w:pPr>
                    <w:widowControl/>
                    <w:jc w:val="center"/>
                    <w:rPr>
                      <w:color w:val="auto"/>
                      <w:kern w:val="0"/>
                      <w:szCs w:val="21"/>
                    </w:rPr>
                  </w:pPr>
                </w:p>
              </w:tc>
              <w:tc>
                <w:tcPr>
                  <w:tcW w:w="1500" w:type="pct"/>
                  <w:vAlign w:val="center"/>
                </w:tcPr>
                <w:p w14:paraId="3F26EFAA">
                  <w:pPr>
                    <w:widowControl/>
                    <w:jc w:val="center"/>
                    <w:rPr>
                      <w:color w:val="auto"/>
                      <w:kern w:val="0"/>
                      <w:szCs w:val="21"/>
                    </w:rPr>
                  </w:pPr>
                  <w:r>
                    <w:rPr>
                      <w:rFonts w:hint="eastAsia"/>
                      <w:color w:val="auto"/>
                      <w:kern w:val="0"/>
                      <w:szCs w:val="21"/>
                      <w:lang w:eastAsia="zh-CN"/>
                    </w:rPr>
                    <w:t>姜</w:t>
                  </w:r>
                  <w:r>
                    <w:rPr>
                      <w:color w:val="auto"/>
                      <w:kern w:val="0"/>
                      <w:szCs w:val="21"/>
                    </w:rPr>
                    <w:t>家村</w:t>
                  </w:r>
                </w:p>
              </w:tc>
              <w:tc>
                <w:tcPr>
                  <w:tcW w:w="636" w:type="pct"/>
                  <w:vAlign w:val="center"/>
                </w:tcPr>
                <w:p w14:paraId="53C53475">
                  <w:pPr>
                    <w:widowControl/>
                    <w:jc w:val="center"/>
                    <w:rPr>
                      <w:color w:val="auto"/>
                      <w:kern w:val="0"/>
                      <w:szCs w:val="21"/>
                    </w:rPr>
                  </w:pPr>
                  <w:r>
                    <w:rPr>
                      <w:color w:val="auto"/>
                      <w:kern w:val="0"/>
                      <w:szCs w:val="21"/>
                    </w:rPr>
                    <w:t>居民</w:t>
                  </w:r>
                </w:p>
              </w:tc>
              <w:tc>
                <w:tcPr>
                  <w:tcW w:w="1222" w:type="pct"/>
                  <w:vMerge w:val="continue"/>
                  <w:vAlign w:val="center"/>
                </w:tcPr>
                <w:p w14:paraId="4F7A5554">
                  <w:pPr>
                    <w:autoSpaceDE w:val="0"/>
                    <w:autoSpaceDN w:val="0"/>
                    <w:jc w:val="center"/>
                    <w:rPr>
                      <w:color w:val="auto"/>
                      <w:szCs w:val="21"/>
                    </w:rPr>
                  </w:pPr>
                </w:p>
              </w:tc>
              <w:tc>
                <w:tcPr>
                  <w:tcW w:w="515" w:type="pct"/>
                  <w:vAlign w:val="center"/>
                </w:tcPr>
                <w:p w14:paraId="232855C7">
                  <w:pPr>
                    <w:autoSpaceDE w:val="0"/>
                    <w:autoSpaceDN w:val="0"/>
                    <w:jc w:val="center"/>
                    <w:rPr>
                      <w:color w:val="auto"/>
                      <w:kern w:val="0"/>
                      <w:szCs w:val="21"/>
                    </w:rPr>
                  </w:pPr>
                  <w:r>
                    <w:rPr>
                      <w:color w:val="auto"/>
                      <w:kern w:val="0"/>
                      <w:szCs w:val="21"/>
                    </w:rPr>
                    <w:t>NW</w:t>
                  </w:r>
                </w:p>
              </w:tc>
              <w:tc>
                <w:tcPr>
                  <w:tcW w:w="633" w:type="pct"/>
                  <w:vAlign w:val="center"/>
                </w:tcPr>
                <w:p w14:paraId="5D6F7A19">
                  <w:pPr>
                    <w:autoSpaceDE w:val="0"/>
                    <w:autoSpaceDN w:val="0"/>
                    <w:jc w:val="center"/>
                    <w:rPr>
                      <w:color w:val="auto"/>
                      <w:kern w:val="0"/>
                      <w:szCs w:val="21"/>
                    </w:rPr>
                  </w:pPr>
                  <w:r>
                    <w:rPr>
                      <w:color w:val="auto"/>
                      <w:kern w:val="0"/>
                      <w:szCs w:val="21"/>
                    </w:rPr>
                    <w:t>370</w:t>
                  </w:r>
                </w:p>
              </w:tc>
            </w:tr>
            <w:tr w14:paraId="56399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restart"/>
                  <w:vAlign w:val="center"/>
                </w:tcPr>
                <w:p w14:paraId="1A1D6658">
                  <w:pPr>
                    <w:widowControl/>
                    <w:jc w:val="center"/>
                    <w:rPr>
                      <w:color w:val="auto"/>
                      <w:kern w:val="0"/>
                      <w:szCs w:val="21"/>
                    </w:rPr>
                  </w:pPr>
                  <w:r>
                    <w:rPr>
                      <w:color w:val="auto"/>
                      <w:kern w:val="0"/>
                      <w:szCs w:val="21"/>
                    </w:rPr>
                    <w:t>声环境</w:t>
                  </w:r>
                </w:p>
              </w:tc>
              <w:tc>
                <w:tcPr>
                  <w:tcW w:w="1500" w:type="pct"/>
                  <w:vAlign w:val="center"/>
                </w:tcPr>
                <w:p w14:paraId="74EBF9C2">
                  <w:pPr>
                    <w:widowControl/>
                    <w:jc w:val="center"/>
                    <w:rPr>
                      <w:color w:val="auto"/>
                      <w:kern w:val="0"/>
                      <w:szCs w:val="21"/>
                    </w:rPr>
                  </w:pPr>
                  <w:r>
                    <w:rPr>
                      <w:color w:val="auto"/>
                      <w:kern w:val="0"/>
                      <w:szCs w:val="21"/>
                    </w:rPr>
                    <w:t>西河村</w:t>
                  </w:r>
                </w:p>
              </w:tc>
              <w:tc>
                <w:tcPr>
                  <w:tcW w:w="636" w:type="pct"/>
                  <w:vAlign w:val="center"/>
                </w:tcPr>
                <w:p w14:paraId="1BD985BC">
                  <w:pPr>
                    <w:widowControl/>
                    <w:jc w:val="center"/>
                    <w:rPr>
                      <w:color w:val="auto"/>
                      <w:kern w:val="0"/>
                      <w:szCs w:val="21"/>
                    </w:rPr>
                  </w:pPr>
                  <w:r>
                    <w:rPr>
                      <w:color w:val="auto"/>
                      <w:kern w:val="0"/>
                      <w:szCs w:val="21"/>
                    </w:rPr>
                    <w:t>居民</w:t>
                  </w:r>
                </w:p>
              </w:tc>
              <w:tc>
                <w:tcPr>
                  <w:tcW w:w="1222" w:type="pct"/>
                  <w:vMerge w:val="restart"/>
                  <w:vAlign w:val="center"/>
                </w:tcPr>
                <w:p w14:paraId="02EC3353">
                  <w:pPr>
                    <w:autoSpaceDE w:val="0"/>
                    <w:autoSpaceDN w:val="0"/>
                    <w:jc w:val="center"/>
                    <w:rPr>
                      <w:color w:val="auto"/>
                      <w:szCs w:val="21"/>
                    </w:rPr>
                  </w:pPr>
                  <w:r>
                    <w:rPr>
                      <w:color w:val="auto"/>
                      <w:szCs w:val="21"/>
                    </w:rPr>
                    <w:t>《声环境质量标准》（GB3096-2008）的2类声环境功能区要求</w:t>
                  </w:r>
                </w:p>
              </w:tc>
              <w:tc>
                <w:tcPr>
                  <w:tcW w:w="515" w:type="pct"/>
                  <w:vAlign w:val="center"/>
                </w:tcPr>
                <w:p w14:paraId="3A79A935">
                  <w:pPr>
                    <w:autoSpaceDE w:val="0"/>
                    <w:autoSpaceDN w:val="0"/>
                    <w:jc w:val="center"/>
                    <w:rPr>
                      <w:color w:val="auto"/>
                      <w:kern w:val="0"/>
                      <w:szCs w:val="21"/>
                    </w:rPr>
                  </w:pPr>
                  <w:r>
                    <w:rPr>
                      <w:color w:val="auto"/>
                      <w:kern w:val="0"/>
                      <w:szCs w:val="21"/>
                    </w:rPr>
                    <w:t>E</w:t>
                  </w:r>
                </w:p>
              </w:tc>
              <w:tc>
                <w:tcPr>
                  <w:tcW w:w="633" w:type="pct"/>
                  <w:vAlign w:val="center"/>
                </w:tcPr>
                <w:p w14:paraId="685D169E">
                  <w:pPr>
                    <w:autoSpaceDE w:val="0"/>
                    <w:autoSpaceDN w:val="0"/>
                    <w:jc w:val="center"/>
                    <w:rPr>
                      <w:color w:val="auto"/>
                      <w:kern w:val="0"/>
                      <w:szCs w:val="21"/>
                    </w:rPr>
                  </w:pPr>
                  <w:r>
                    <w:rPr>
                      <w:color w:val="auto"/>
                      <w:kern w:val="0"/>
                      <w:szCs w:val="21"/>
                    </w:rPr>
                    <w:t>185</w:t>
                  </w:r>
                </w:p>
              </w:tc>
            </w:tr>
            <w:tr w14:paraId="00A12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continue"/>
                  <w:vAlign w:val="center"/>
                </w:tcPr>
                <w:p w14:paraId="7B56DD30">
                  <w:pPr>
                    <w:widowControl/>
                    <w:jc w:val="center"/>
                    <w:rPr>
                      <w:color w:val="auto"/>
                      <w:kern w:val="0"/>
                      <w:szCs w:val="21"/>
                    </w:rPr>
                  </w:pPr>
                </w:p>
              </w:tc>
              <w:tc>
                <w:tcPr>
                  <w:tcW w:w="1500" w:type="pct"/>
                  <w:vAlign w:val="center"/>
                </w:tcPr>
                <w:p w14:paraId="4E706390">
                  <w:pPr>
                    <w:widowControl/>
                    <w:jc w:val="center"/>
                    <w:rPr>
                      <w:color w:val="auto"/>
                      <w:kern w:val="0"/>
                      <w:szCs w:val="21"/>
                    </w:rPr>
                  </w:pPr>
                  <w:r>
                    <w:rPr>
                      <w:color w:val="auto"/>
                      <w:kern w:val="0"/>
                      <w:szCs w:val="21"/>
                    </w:rPr>
                    <w:t>官三</w:t>
                  </w:r>
                  <w:r>
                    <w:rPr>
                      <w:rFonts w:hint="eastAsia"/>
                      <w:color w:val="auto"/>
                      <w:kern w:val="0"/>
                      <w:szCs w:val="21"/>
                      <w:lang w:eastAsia="zh-CN"/>
                    </w:rPr>
                    <w:t>村</w:t>
                  </w:r>
                </w:p>
              </w:tc>
              <w:tc>
                <w:tcPr>
                  <w:tcW w:w="636" w:type="pct"/>
                  <w:vAlign w:val="center"/>
                </w:tcPr>
                <w:p w14:paraId="48A85F28">
                  <w:pPr>
                    <w:widowControl/>
                    <w:jc w:val="center"/>
                    <w:rPr>
                      <w:color w:val="auto"/>
                      <w:kern w:val="0"/>
                      <w:szCs w:val="21"/>
                    </w:rPr>
                  </w:pPr>
                  <w:r>
                    <w:rPr>
                      <w:color w:val="auto"/>
                      <w:kern w:val="0"/>
                      <w:szCs w:val="21"/>
                    </w:rPr>
                    <w:t>居民</w:t>
                  </w:r>
                </w:p>
              </w:tc>
              <w:tc>
                <w:tcPr>
                  <w:tcW w:w="1222" w:type="pct"/>
                  <w:vMerge w:val="continue"/>
                  <w:vAlign w:val="center"/>
                </w:tcPr>
                <w:p w14:paraId="7E57652F">
                  <w:pPr>
                    <w:autoSpaceDE w:val="0"/>
                    <w:autoSpaceDN w:val="0"/>
                    <w:jc w:val="center"/>
                    <w:rPr>
                      <w:color w:val="auto"/>
                      <w:szCs w:val="21"/>
                    </w:rPr>
                  </w:pPr>
                </w:p>
              </w:tc>
              <w:tc>
                <w:tcPr>
                  <w:tcW w:w="515" w:type="pct"/>
                  <w:vAlign w:val="center"/>
                </w:tcPr>
                <w:p w14:paraId="79D1AC3D">
                  <w:pPr>
                    <w:autoSpaceDE w:val="0"/>
                    <w:autoSpaceDN w:val="0"/>
                    <w:jc w:val="center"/>
                    <w:rPr>
                      <w:color w:val="auto"/>
                      <w:kern w:val="0"/>
                      <w:szCs w:val="21"/>
                    </w:rPr>
                  </w:pPr>
                  <w:r>
                    <w:rPr>
                      <w:color w:val="auto"/>
                      <w:kern w:val="0"/>
                      <w:szCs w:val="21"/>
                    </w:rPr>
                    <w:t>W</w:t>
                  </w:r>
                </w:p>
              </w:tc>
              <w:tc>
                <w:tcPr>
                  <w:tcW w:w="633" w:type="pct"/>
                  <w:vAlign w:val="center"/>
                </w:tcPr>
                <w:p w14:paraId="7BC99D36">
                  <w:pPr>
                    <w:autoSpaceDE w:val="0"/>
                    <w:autoSpaceDN w:val="0"/>
                    <w:jc w:val="center"/>
                    <w:rPr>
                      <w:color w:val="auto"/>
                      <w:kern w:val="0"/>
                      <w:szCs w:val="21"/>
                    </w:rPr>
                  </w:pPr>
                  <w:r>
                    <w:rPr>
                      <w:color w:val="auto"/>
                      <w:kern w:val="0"/>
                      <w:szCs w:val="21"/>
                    </w:rPr>
                    <w:t>20</w:t>
                  </w:r>
                </w:p>
              </w:tc>
            </w:tr>
            <w:tr w14:paraId="38FB9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Align w:val="center"/>
                </w:tcPr>
                <w:p w14:paraId="41609F6E">
                  <w:pPr>
                    <w:widowControl/>
                    <w:jc w:val="center"/>
                    <w:rPr>
                      <w:color w:val="auto"/>
                      <w:kern w:val="0"/>
                      <w:szCs w:val="21"/>
                    </w:rPr>
                  </w:pPr>
                  <w:r>
                    <w:rPr>
                      <w:color w:val="auto"/>
                      <w:kern w:val="0"/>
                      <w:szCs w:val="21"/>
                    </w:rPr>
                    <w:t>地下水环境</w:t>
                  </w:r>
                </w:p>
              </w:tc>
              <w:tc>
                <w:tcPr>
                  <w:tcW w:w="2136" w:type="pct"/>
                  <w:gridSpan w:val="2"/>
                  <w:vAlign w:val="center"/>
                </w:tcPr>
                <w:p w14:paraId="32D126AA">
                  <w:pPr>
                    <w:widowControl/>
                    <w:jc w:val="center"/>
                    <w:rPr>
                      <w:color w:val="auto"/>
                      <w:kern w:val="0"/>
                      <w:szCs w:val="21"/>
                    </w:rPr>
                  </w:pPr>
                  <w:r>
                    <w:rPr>
                      <w:color w:val="auto"/>
                      <w:kern w:val="0"/>
                      <w:szCs w:val="21"/>
                    </w:rPr>
                    <w:t>厂界外500米范围内无地下水集中式饮用水源和热水、矿泉水、温泉等特殊地下水资源</w:t>
                  </w:r>
                </w:p>
              </w:tc>
              <w:tc>
                <w:tcPr>
                  <w:tcW w:w="1222" w:type="pct"/>
                  <w:vAlign w:val="center"/>
                </w:tcPr>
                <w:p w14:paraId="1CC515B0">
                  <w:pPr>
                    <w:autoSpaceDE w:val="0"/>
                    <w:autoSpaceDN w:val="0"/>
                    <w:jc w:val="center"/>
                    <w:rPr>
                      <w:color w:val="auto"/>
                      <w:kern w:val="0"/>
                      <w:szCs w:val="21"/>
                    </w:rPr>
                  </w:pPr>
                  <w:r>
                    <w:rPr>
                      <w:color w:val="auto"/>
                      <w:szCs w:val="21"/>
                    </w:rPr>
                    <w:t>《地下水质量标准》（GB/T14848-2017）Ⅲ类标准</w:t>
                  </w:r>
                </w:p>
              </w:tc>
              <w:tc>
                <w:tcPr>
                  <w:tcW w:w="515" w:type="pct"/>
                  <w:vAlign w:val="center"/>
                </w:tcPr>
                <w:p w14:paraId="4FDDB0D1">
                  <w:pPr>
                    <w:autoSpaceDE w:val="0"/>
                    <w:autoSpaceDN w:val="0"/>
                    <w:jc w:val="center"/>
                    <w:rPr>
                      <w:color w:val="auto"/>
                      <w:kern w:val="0"/>
                      <w:szCs w:val="21"/>
                    </w:rPr>
                  </w:pPr>
                  <w:r>
                    <w:rPr>
                      <w:color w:val="auto"/>
                      <w:kern w:val="0"/>
                      <w:szCs w:val="21"/>
                    </w:rPr>
                    <w:t>/</w:t>
                  </w:r>
                </w:p>
              </w:tc>
              <w:tc>
                <w:tcPr>
                  <w:tcW w:w="633" w:type="pct"/>
                  <w:vAlign w:val="center"/>
                </w:tcPr>
                <w:p w14:paraId="06D51E64">
                  <w:pPr>
                    <w:autoSpaceDE w:val="0"/>
                    <w:autoSpaceDN w:val="0"/>
                    <w:jc w:val="center"/>
                    <w:rPr>
                      <w:color w:val="auto"/>
                      <w:kern w:val="0"/>
                      <w:szCs w:val="21"/>
                    </w:rPr>
                  </w:pPr>
                  <w:r>
                    <w:rPr>
                      <w:color w:val="auto"/>
                      <w:kern w:val="0"/>
                      <w:szCs w:val="21"/>
                    </w:rPr>
                    <w:t>/</w:t>
                  </w:r>
                </w:p>
              </w:tc>
            </w:tr>
            <w:tr w14:paraId="6DE203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restart"/>
                  <w:vAlign w:val="center"/>
                </w:tcPr>
                <w:p w14:paraId="278387F1">
                  <w:pPr>
                    <w:jc w:val="center"/>
                    <w:rPr>
                      <w:color w:val="auto"/>
                      <w:kern w:val="0"/>
                      <w:szCs w:val="21"/>
                    </w:rPr>
                  </w:pPr>
                  <w:r>
                    <w:rPr>
                      <w:color w:val="auto"/>
                      <w:szCs w:val="21"/>
                    </w:rPr>
                    <w:t>地表水</w:t>
                  </w:r>
                </w:p>
              </w:tc>
              <w:tc>
                <w:tcPr>
                  <w:tcW w:w="2136" w:type="pct"/>
                  <w:gridSpan w:val="2"/>
                  <w:vAlign w:val="center"/>
                </w:tcPr>
                <w:p w14:paraId="7C02DD86">
                  <w:pPr>
                    <w:jc w:val="center"/>
                    <w:rPr>
                      <w:color w:val="auto"/>
                      <w:kern w:val="0"/>
                      <w:szCs w:val="21"/>
                    </w:rPr>
                  </w:pPr>
                  <w:r>
                    <w:rPr>
                      <w:color w:val="auto"/>
                      <w:kern w:val="0"/>
                      <w:szCs w:val="21"/>
                    </w:rPr>
                    <w:t>焕然河</w:t>
                  </w:r>
                </w:p>
              </w:tc>
              <w:tc>
                <w:tcPr>
                  <w:tcW w:w="1222" w:type="pct"/>
                  <w:vAlign w:val="center"/>
                </w:tcPr>
                <w:p w14:paraId="14F947A2">
                  <w:pPr>
                    <w:jc w:val="center"/>
                    <w:rPr>
                      <w:color w:val="auto"/>
                      <w:szCs w:val="21"/>
                    </w:rPr>
                  </w:pPr>
                  <w:r>
                    <w:rPr>
                      <w:color w:val="auto"/>
                      <w:szCs w:val="21"/>
                    </w:rPr>
                    <w:t>《地表水环境质量标准》</w:t>
                  </w:r>
                  <w:r>
                    <w:rPr>
                      <w:color w:val="auto"/>
                      <w:sz w:val="21"/>
                      <w:szCs w:val="21"/>
                    </w:rPr>
                    <w:t>（GB3838-2002）</w:t>
                  </w:r>
                  <w:r>
                    <w:rPr>
                      <w:bCs/>
                      <w:color w:val="auto"/>
                      <w:sz w:val="21"/>
                      <w:szCs w:val="21"/>
                    </w:rPr>
                    <w:t>V</w:t>
                  </w:r>
                  <w:r>
                    <w:rPr>
                      <w:bCs/>
                      <w:color w:val="auto"/>
                      <w:sz w:val="21"/>
                      <w:szCs w:val="21"/>
                      <w:lang w:val="zh-CN"/>
                    </w:rPr>
                    <w:t>类</w:t>
                  </w:r>
                  <w:r>
                    <w:rPr>
                      <w:color w:val="auto"/>
                      <w:sz w:val="21"/>
                      <w:szCs w:val="21"/>
                    </w:rPr>
                    <w:t>标准</w:t>
                  </w:r>
                </w:p>
              </w:tc>
              <w:tc>
                <w:tcPr>
                  <w:tcW w:w="1148" w:type="pct"/>
                  <w:gridSpan w:val="2"/>
                  <w:vAlign w:val="center"/>
                </w:tcPr>
                <w:p w14:paraId="3A3DBF55">
                  <w:pPr>
                    <w:jc w:val="center"/>
                    <w:rPr>
                      <w:color w:val="auto"/>
                      <w:kern w:val="0"/>
                      <w:szCs w:val="21"/>
                    </w:rPr>
                  </w:pPr>
                  <w:r>
                    <w:rPr>
                      <w:color w:val="auto"/>
                      <w:kern w:val="0"/>
                      <w:szCs w:val="21"/>
                    </w:rPr>
                    <w:t>本次施工河道之一</w:t>
                  </w:r>
                </w:p>
              </w:tc>
            </w:tr>
            <w:tr w14:paraId="0DA3D1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Merge w:val="continue"/>
                  <w:vAlign w:val="center"/>
                </w:tcPr>
                <w:p w14:paraId="12AE6894">
                  <w:pPr>
                    <w:jc w:val="center"/>
                    <w:rPr>
                      <w:color w:val="auto"/>
                      <w:szCs w:val="21"/>
                    </w:rPr>
                  </w:pPr>
                </w:p>
              </w:tc>
              <w:tc>
                <w:tcPr>
                  <w:tcW w:w="2136" w:type="pct"/>
                  <w:gridSpan w:val="2"/>
                  <w:vAlign w:val="center"/>
                </w:tcPr>
                <w:p w14:paraId="47EEA618">
                  <w:pPr>
                    <w:jc w:val="center"/>
                    <w:rPr>
                      <w:color w:val="auto"/>
                      <w:kern w:val="0"/>
                      <w:szCs w:val="21"/>
                    </w:rPr>
                  </w:pPr>
                  <w:r>
                    <w:rPr>
                      <w:color w:val="auto"/>
                      <w:kern w:val="0"/>
                      <w:szCs w:val="21"/>
                    </w:rPr>
                    <w:t>范阳河</w:t>
                  </w:r>
                </w:p>
              </w:tc>
              <w:tc>
                <w:tcPr>
                  <w:tcW w:w="1222" w:type="pct"/>
                  <w:vAlign w:val="center"/>
                </w:tcPr>
                <w:p w14:paraId="2966C6A1">
                  <w:pPr>
                    <w:jc w:val="center"/>
                    <w:rPr>
                      <w:color w:val="auto"/>
                      <w:szCs w:val="21"/>
                    </w:rPr>
                  </w:pPr>
                  <w:r>
                    <w:rPr>
                      <w:color w:val="auto"/>
                    </w:rPr>
                    <w:t>《地表水环境质量标准》（</w:t>
                  </w:r>
                  <w:r>
                    <w:rPr>
                      <w:color w:val="auto"/>
                      <w:sz w:val="21"/>
                      <w:szCs w:val="21"/>
                    </w:rPr>
                    <w:t>GB3838-2002）</w:t>
                  </w:r>
                  <w:r>
                    <w:rPr>
                      <w:bCs/>
                      <w:color w:val="auto"/>
                      <w:sz w:val="21"/>
                      <w:szCs w:val="21"/>
                    </w:rPr>
                    <w:t>V</w:t>
                  </w:r>
                  <w:r>
                    <w:rPr>
                      <w:color w:val="auto"/>
                      <w:sz w:val="21"/>
                      <w:szCs w:val="21"/>
                    </w:rPr>
                    <w:t>类标</w:t>
                  </w:r>
                  <w:r>
                    <w:rPr>
                      <w:color w:val="auto"/>
                    </w:rPr>
                    <w:t>准</w:t>
                  </w:r>
                </w:p>
              </w:tc>
              <w:tc>
                <w:tcPr>
                  <w:tcW w:w="1148" w:type="pct"/>
                  <w:gridSpan w:val="2"/>
                  <w:vAlign w:val="center"/>
                </w:tcPr>
                <w:p w14:paraId="66DED525">
                  <w:pPr>
                    <w:jc w:val="center"/>
                    <w:rPr>
                      <w:color w:val="auto"/>
                      <w:kern w:val="0"/>
                      <w:szCs w:val="21"/>
                    </w:rPr>
                  </w:pPr>
                  <w:r>
                    <w:rPr>
                      <w:color w:val="auto"/>
                      <w:kern w:val="0"/>
                      <w:szCs w:val="21"/>
                    </w:rPr>
                    <w:t>焕然河汇入范阳河</w:t>
                  </w:r>
                </w:p>
              </w:tc>
            </w:tr>
            <w:tr w14:paraId="232BD2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91" w:type="pct"/>
                  <w:vAlign w:val="center"/>
                </w:tcPr>
                <w:p w14:paraId="60A116D1">
                  <w:pPr>
                    <w:widowControl/>
                    <w:jc w:val="center"/>
                    <w:rPr>
                      <w:color w:val="auto"/>
                      <w:szCs w:val="21"/>
                    </w:rPr>
                  </w:pPr>
                  <w:r>
                    <w:rPr>
                      <w:color w:val="auto"/>
                      <w:szCs w:val="21"/>
                    </w:rPr>
                    <w:t>生态</w:t>
                  </w:r>
                </w:p>
                <w:p w14:paraId="1EF53156">
                  <w:pPr>
                    <w:widowControl/>
                    <w:jc w:val="center"/>
                    <w:rPr>
                      <w:color w:val="auto"/>
                      <w:szCs w:val="21"/>
                    </w:rPr>
                  </w:pPr>
                  <w:r>
                    <w:rPr>
                      <w:color w:val="auto"/>
                      <w:szCs w:val="21"/>
                    </w:rPr>
                    <w:t>环境</w:t>
                  </w:r>
                </w:p>
              </w:tc>
              <w:tc>
                <w:tcPr>
                  <w:tcW w:w="4508" w:type="pct"/>
                  <w:gridSpan w:val="5"/>
                  <w:vAlign w:val="center"/>
                </w:tcPr>
                <w:p w14:paraId="3F7268D0">
                  <w:pPr>
                    <w:widowControl/>
                    <w:jc w:val="center"/>
                    <w:rPr>
                      <w:color w:val="auto"/>
                      <w:szCs w:val="21"/>
                    </w:rPr>
                  </w:pPr>
                  <w:r>
                    <w:rPr>
                      <w:color w:val="auto"/>
                      <w:szCs w:val="21"/>
                    </w:rPr>
                    <w:t>项目生态评价范围内无受影响的重要物种、生态敏感区以及其他需要保护的物种、种群、生物群落及生态空间等</w:t>
                  </w:r>
                </w:p>
              </w:tc>
            </w:tr>
          </w:tbl>
          <w:p w14:paraId="633FD0E8">
            <w:pPr>
              <w:numPr>
                <w:ilvl w:val="0"/>
                <w:numId w:val="7"/>
              </w:numPr>
              <w:snapToGrid w:val="0"/>
              <w:spacing w:line="360" w:lineRule="auto"/>
              <w:ind w:firstLine="480" w:firstLineChars="200"/>
              <w:rPr>
                <w:color w:val="auto"/>
                <w:sz w:val="24"/>
              </w:rPr>
            </w:pPr>
            <w:r>
              <w:rPr>
                <w:rFonts w:hint="eastAsia"/>
                <w:color w:val="auto"/>
                <w:sz w:val="24"/>
              </w:rPr>
              <w:t>三泉沟</w:t>
            </w:r>
          </w:p>
          <w:p w14:paraId="4CEF1797">
            <w:pPr>
              <w:spacing w:before="120" w:beforeLines="50"/>
              <w:jc w:val="center"/>
              <w:rPr>
                <w:color w:val="auto"/>
                <w:szCs w:val="21"/>
              </w:rPr>
            </w:pPr>
            <w:r>
              <w:rPr>
                <w:b/>
                <w:bCs/>
                <w:color w:val="auto"/>
                <w:szCs w:val="21"/>
              </w:rPr>
              <w:t>表3-</w:t>
            </w:r>
            <w:r>
              <w:rPr>
                <w:rFonts w:hint="eastAsia"/>
                <w:b/>
                <w:bCs/>
                <w:color w:val="auto"/>
                <w:szCs w:val="21"/>
                <w:lang w:val="en-US" w:eastAsia="zh-CN"/>
              </w:rPr>
              <w:t>14</w:t>
            </w:r>
            <w:r>
              <w:rPr>
                <w:b/>
                <w:bCs/>
                <w:color w:val="auto"/>
                <w:szCs w:val="21"/>
              </w:rPr>
              <w:t xml:space="preserve">  经开区内</w:t>
            </w:r>
            <w:r>
              <w:rPr>
                <w:rFonts w:hint="eastAsia"/>
                <w:b/>
                <w:bCs/>
                <w:color w:val="auto"/>
                <w:szCs w:val="21"/>
                <w:lang w:eastAsia="zh-CN"/>
              </w:rPr>
              <w:t>三泉沟</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3"/>
              <w:gridCol w:w="2464"/>
              <w:gridCol w:w="1045"/>
              <w:gridCol w:w="2008"/>
              <w:gridCol w:w="844"/>
              <w:gridCol w:w="1058"/>
            </w:tblGrid>
            <w:tr w14:paraId="35490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3" w:type="pct"/>
                  <w:vAlign w:val="center"/>
                </w:tcPr>
                <w:p w14:paraId="223E3BFC">
                  <w:pPr>
                    <w:autoSpaceDE w:val="0"/>
                    <w:autoSpaceDN w:val="0"/>
                    <w:jc w:val="center"/>
                    <w:rPr>
                      <w:color w:val="auto"/>
                      <w:kern w:val="0"/>
                      <w:szCs w:val="21"/>
                      <w:highlight w:val="none"/>
                    </w:rPr>
                  </w:pPr>
                  <w:r>
                    <w:rPr>
                      <w:color w:val="auto"/>
                      <w:kern w:val="0"/>
                      <w:szCs w:val="21"/>
                      <w:highlight w:val="none"/>
                    </w:rPr>
                    <w:t>保护</w:t>
                  </w:r>
                </w:p>
                <w:p w14:paraId="488FF502">
                  <w:pPr>
                    <w:autoSpaceDE w:val="0"/>
                    <w:autoSpaceDN w:val="0"/>
                    <w:jc w:val="center"/>
                    <w:rPr>
                      <w:color w:val="auto"/>
                      <w:kern w:val="0"/>
                      <w:szCs w:val="21"/>
                      <w:highlight w:val="none"/>
                    </w:rPr>
                  </w:pPr>
                  <w:r>
                    <w:rPr>
                      <w:color w:val="auto"/>
                      <w:kern w:val="0"/>
                      <w:szCs w:val="21"/>
                      <w:highlight w:val="none"/>
                    </w:rPr>
                    <w:t>类别</w:t>
                  </w:r>
                </w:p>
              </w:tc>
              <w:tc>
                <w:tcPr>
                  <w:tcW w:w="1500" w:type="pct"/>
                  <w:vAlign w:val="center"/>
                </w:tcPr>
                <w:p w14:paraId="55B72BFC">
                  <w:pPr>
                    <w:autoSpaceDE w:val="0"/>
                    <w:autoSpaceDN w:val="0"/>
                    <w:jc w:val="center"/>
                    <w:rPr>
                      <w:color w:val="auto"/>
                      <w:kern w:val="0"/>
                      <w:szCs w:val="21"/>
                      <w:highlight w:val="none"/>
                    </w:rPr>
                  </w:pPr>
                  <w:r>
                    <w:rPr>
                      <w:color w:val="auto"/>
                      <w:kern w:val="0"/>
                      <w:szCs w:val="21"/>
                      <w:highlight w:val="none"/>
                    </w:rPr>
                    <w:t>保护对象</w:t>
                  </w:r>
                </w:p>
              </w:tc>
              <w:tc>
                <w:tcPr>
                  <w:tcW w:w="635" w:type="pct"/>
                  <w:vAlign w:val="center"/>
                </w:tcPr>
                <w:p w14:paraId="6F1F4FB7">
                  <w:pPr>
                    <w:autoSpaceDE w:val="0"/>
                    <w:autoSpaceDN w:val="0"/>
                    <w:jc w:val="center"/>
                    <w:rPr>
                      <w:color w:val="auto"/>
                      <w:kern w:val="0"/>
                      <w:szCs w:val="21"/>
                      <w:highlight w:val="none"/>
                    </w:rPr>
                  </w:pPr>
                  <w:r>
                    <w:rPr>
                      <w:color w:val="auto"/>
                      <w:kern w:val="0"/>
                      <w:szCs w:val="21"/>
                      <w:highlight w:val="none"/>
                    </w:rPr>
                    <w:t>保护</w:t>
                  </w:r>
                </w:p>
                <w:p w14:paraId="1F421246">
                  <w:pPr>
                    <w:autoSpaceDE w:val="0"/>
                    <w:autoSpaceDN w:val="0"/>
                    <w:jc w:val="center"/>
                    <w:rPr>
                      <w:color w:val="auto"/>
                      <w:kern w:val="0"/>
                      <w:szCs w:val="21"/>
                      <w:highlight w:val="none"/>
                    </w:rPr>
                  </w:pPr>
                  <w:r>
                    <w:rPr>
                      <w:color w:val="auto"/>
                      <w:kern w:val="0"/>
                      <w:szCs w:val="21"/>
                      <w:highlight w:val="none"/>
                    </w:rPr>
                    <w:t>内容</w:t>
                  </w:r>
                </w:p>
              </w:tc>
              <w:tc>
                <w:tcPr>
                  <w:tcW w:w="1222" w:type="pct"/>
                  <w:vAlign w:val="center"/>
                </w:tcPr>
                <w:p w14:paraId="44C3C565">
                  <w:pPr>
                    <w:autoSpaceDE w:val="0"/>
                    <w:autoSpaceDN w:val="0"/>
                    <w:jc w:val="center"/>
                    <w:rPr>
                      <w:color w:val="auto"/>
                      <w:kern w:val="0"/>
                      <w:szCs w:val="21"/>
                      <w:highlight w:val="none"/>
                    </w:rPr>
                  </w:pPr>
                  <w:r>
                    <w:rPr>
                      <w:color w:val="auto"/>
                      <w:kern w:val="0"/>
                      <w:szCs w:val="21"/>
                      <w:highlight w:val="none"/>
                    </w:rPr>
                    <w:t>环境功能区</w:t>
                  </w:r>
                </w:p>
              </w:tc>
              <w:tc>
                <w:tcPr>
                  <w:tcW w:w="514" w:type="pct"/>
                  <w:vAlign w:val="center"/>
                </w:tcPr>
                <w:p w14:paraId="257895D9">
                  <w:pPr>
                    <w:autoSpaceDE w:val="0"/>
                    <w:autoSpaceDN w:val="0"/>
                    <w:jc w:val="center"/>
                    <w:rPr>
                      <w:color w:val="auto"/>
                      <w:kern w:val="0"/>
                      <w:szCs w:val="21"/>
                      <w:highlight w:val="none"/>
                    </w:rPr>
                  </w:pPr>
                  <w:r>
                    <w:rPr>
                      <w:color w:val="auto"/>
                      <w:kern w:val="0"/>
                      <w:szCs w:val="21"/>
                      <w:highlight w:val="none"/>
                    </w:rPr>
                    <w:t>相对河道方位</w:t>
                  </w:r>
                </w:p>
              </w:tc>
              <w:tc>
                <w:tcPr>
                  <w:tcW w:w="642" w:type="pct"/>
                  <w:vAlign w:val="center"/>
                </w:tcPr>
                <w:p w14:paraId="1E197DBA">
                  <w:pPr>
                    <w:autoSpaceDE w:val="0"/>
                    <w:autoSpaceDN w:val="0"/>
                    <w:jc w:val="center"/>
                    <w:rPr>
                      <w:color w:val="auto"/>
                      <w:kern w:val="0"/>
                      <w:szCs w:val="21"/>
                      <w:highlight w:val="none"/>
                    </w:rPr>
                  </w:pPr>
                  <w:r>
                    <w:rPr>
                      <w:color w:val="auto"/>
                      <w:kern w:val="0"/>
                      <w:szCs w:val="21"/>
                      <w:highlight w:val="none"/>
                    </w:rPr>
                    <w:t>相对河道</w:t>
                  </w:r>
                </w:p>
                <w:p w14:paraId="52F8FE85">
                  <w:pPr>
                    <w:autoSpaceDE w:val="0"/>
                    <w:autoSpaceDN w:val="0"/>
                    <w:jc w:val="center"/>
                    <w:rPr>
                      <w:color w:val="auto"/>
                      <w:kern w:val="0"/>
                      <w:szCs w:val="21"/>
                      <w:highlight w:val="none"/>
                    </w:rPr>
                  </w:pPr>
                  <w:r>
                    <w:rPr>
                      <w:color w:val="auto"/>
                      <w:kern w:val="0"/>
                      <w:szCs w:val="21"/>
                      <w:highlight w:val="none"/>
                    </w:rPr>
                    <w:t>距离（m）</w:t>
                  </w:r>
                </w:p>
              </w:tc>
            </w:tr>
            <w:tr w14:paraId="3034C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restart"/>
                  <w:vAlign w:val="center"/>
                </w:tcPr>
                <w:p w14:paraId="4D6EF4B0">
                  <w:pPr>
                    <w:autoSpaceDE w:val="0"/>
                    <w:autoSpaceDN w:val="0"/>
                    <w:jc w:val="center"/>
                    <w:rPr>
                      <w:color w:val="auto"/>
                      <w:kern w:val="0"/>
                      <w:szCs w:val="21"/>
                      <w:highlight w:val="none"/>
                    </w:rPr>
                  </w:pPr>
                  <w:r>
                    <w:rPr>
                      <w:color w:val="auto"/>
                      <w:kern w:val="0"/>
                      <w:szCs w:val="21"/>
                      <w:highlight w:val="none"/>
                    </w:rPr>
                    <w:t>大气</w:t>
                  </w:r>
                </w:p>
                <w:p w14:paraId="34ADDE87">
                  <w:pPr>
                    <w:autoSpaceDE w:val="0"/>
                    <w:autoSpaceDN w:val="0"/>
                    <w:jc w:val="center"/>
                    <w:rPr>
                      <w:color w:val="auto"/>
                      <w:kern w:val="0"/>
                      <w:szCs w:val="21"/>
                      <w:highlight w:val="none"/>
                    </w:rPr>
                  </w:pPr>
                  <w:r>
                    <w:rPr>
                      <w:color w:val="auto"/>
                      <w:kern w:val="0"/>
                      <w:szCs w:val="21"/>
                      <w:highlight w:val="none"/>
                    </w:rPr>
                    <w:t>环境</w:t>
                  </w:r>
                </w:p>
              </w:tc>
              <w:tc>
                <w:tcPr>
                  <w:tcW w:w="1500" w:type="pct"/>
                  <w:vAlign w:val="center"/>
                </w:tcPr>
                <w:p w14:paraId="0D3EABAD">
                  <w:pPr>
                    <w:jc w:val="center"/>
                    <w:rPr>
                      <w:rFonts w:hint="eastAsia" w:eastAsia="宋体"/>
                      <w:color w:val="auto"/>
                      <w:kern w:val="0"/>
                      <w:szCs w:val="21"/>
                      <w:highlight w:val="none"/>
                      <w:lang w:eastAsia="zh-CN"/>
                    </w:rPr>
                  </w:pPr>
                  <w:r>
                    <w:rPr>
                      <w:rFonts w:hint="eastAsia"/>
                      <w:color w:val="auto"/>
                      <w:kern w:val="0"/>
                      <w:szCs w:val="21"/>
                      <w:highlight w:val="none"/>
                      <w:lang w:eastAsia="zh-CN"/>
                    </w:rPr>
                    <w:t>孙家村</w:t>
                  </w:r>
                </w:p>
              </w:tc>
              <w:tc>
                <w:tcPr>
                  <w:tcW w:w="635" w:type="pct"/>
                  <w:vAlign w:val="center"/>
                </w:tcPr>
                <w:p w14:paraId="384CBC07">
                  <w:pPr>
                    <w:autoSpaceDE w:val="0"/>
                    <w:autoSpaceDN w:val="0"/>
                    <w:jc w:val="center"/>
                    <w:rPr>
                      <w:color w:val="auto"/>
                      <w:kern w:val="0"/>
                      <w:szCs w:val="21"/>
                      <w:highlight w:val="none"/>
                    </w:rPr>
                  </w:pPr>
                  <w:r>
                    <w:rPr>
                      <w:color w:val="auto"/>
                      <w:kern w:val="0"/>
                      <w:szCs w:val="21"/>
                      <w:highlight w:val="none"/>
                    </w:rPr>
                    <w:t>居民</w:t>
                  </w:r>
                </w:p>
              </w:tc>
              <w:tc>
                <w:tcPr>
                  <w:tcW w:w="1222" w:type="pct"/>
                  <w:vMerge w:val="restart"/>
                  <w:vAlign w:val="center"/>
                </w:tcPr>
                <w:p w14:paraId="72D62A83">
                  <w:pPr>
                    <w:autoSpaceDE w:val="0"/>
                    <w:autoSpaceDN w:val="0"/>
                    <w:jc w:val="center"/>
                    <w:rPr>
                      <w:color w:val="auto"/>
                      <w:kern w:val="0"/>
                      <w:szCs w:val="21"/>
                      <w:highlight w:val="none"/>
                    </w:rPr>
                  </w:pPr>
                  <w:r>
                    <w:rPr>
                      <w:bCs/>
                      <w:color w:val="auto"/>
                      <w:szCs w:val="21"/>
                      <w:highlight w:val="none"/>
                    </w:rPr>
                    <w:t>《环境空气质量标准》（GB3095-20</w:t>
                  </w:r>
                  <w:r>
                    <w:rPr>
                      <w:rFonts w:hint="eastAsia"/>
                      <w:bCs/>
                      <w:color w:val="auto"/>
                      <w:szCs w:val="21"/>
                      <w:highlight w:val="none"/>
                      <w:lang w:val="en-US" w:eastAsia="zh-CN"/>
                    </w:rPr>
                    <w:t>26</w:t>
                  </w:r>
                  <w:r>
                    <w:rPr>
                      <w:bCs/>
                      <w:color w:val="auto"/>
                      <w:szCs w:val="21"/>
                      <w:highlight w:val="none"/>
                    </w:rPr>
                    <w:t>）</w:t>
                  </w:r>
                  <w:r>
                    <w:rPr>
                      <w:rFonts w:hint="eastAsia"/>
                      <w:bCs/>
                      <w:color w:val="auto"/>
                      <w:szCs w:val="21"/>
                      <w:highlight w:val="none"/>
                      <w:lang w:eastAsia="zh-CN"/>
                    </w:rPr>
                    <w:t>过渡阶段</w:t>
                  </w:r>
                  <w:r>
                    <w:rPr>
                      <w:bCs/>
                      <w:color w:val="auto"/>
                      <w:szCs w:val="21"/>
                      <w:highlight w:val="none"/>
                    </w:rPr>
                    <w:t>二级标准</w:t>
                  </w:r>
                </w:p>
              </w:tc>
              <w:tc>
                <w:tcPr>
                  <w:tcW w:w="514" w:type="pct"/>
                  <w:vAlign w:val="center"/>
                </w:tcPr>
                <w:p w14:paraId="1D29D8DB">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WN</w:t>
                  </w:r>
                </w:p>
              </w:tc>
              <w:tc>
                <w:tcPr>
                  <w:tcW w:w="642" w:type="pct"/>
                  <w:vAlign w:val="center"/>
                </w:tcPr>
                <w:p w14:paraId="6971075F">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580</w:t>
                  </w:r>
                </w:p>
              </w:tc>
            </w:tr>
            <w:tr w14:paraId="555C5E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7306F2D9">
                  <w:pPr>
                    <w:widowControl/>
                    <w:jc w:val="center"/>
                    <w:rPr>
                      <w:color w:val="auto"/>
                      <w:kern w:val="0"/>
                      <w:szCs w:val="21"/>
                      <w:highlight w:val="none"/>
                    </w:rPr>
                  </w:pPr>
                </w:p>
              </w:tc>
              <w:tc>
                <w:tcPr>
                  <w:tcW w:w="1500" w:type="pct"/>
                  <w:vAlign w:val="center"/>
                </w:tcPr>
                <w:p w14:paraId="6C9F70C1">
                  <w:pPr>
                    <w:jc w:val="center"/>
                    <w:rPr>
                      <w:rFonts w:hint="eastAsia" w:eastAsia="宋体"/>
                      <w:color w:val="auto"/>
                      <w:kern w:val="0"/>
                      <w:szCs w:val="21"/>
                      <w:highlight w:val="none"/>
                      <w:lang w:eastAsia="zh-CN"/>
                    </w:rPr>
                  </w:pPr>
                  <w:r>
                    <w:rPr>
                      <w:rFonts w:hint="eastAsia"/>
                      <w:color w:val="auto"/>
                      <w:kern w:val="0"/>
                      <w:szCs w:val="21"/>
                      <w:highlight w:val="none"/>
                      <w:lang w:eastAsia="zh-CN"/>
                    </w:rPr>
                    <w:t>坤升社区</w:t>
                  </w:r>
                </w:p>
              </w:tc>
              <w:tc>
                <w:tcPr>
                  <w:tcW w:w="635" w:type="pct"/>
                  <w:vAlign w:val="center"/>
                </w:tcPr>
                <w:p w14:paraId="3BB59B1E">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10CA33E">
                  <w:pPr>
                    <w:widowControl/>
                    <w:jc w:val="center"/>
                    <w:rPr>
                      <w:color w:val="auto"/>
                      <w:kern w:val="0"/>
                      <w:szCs w:val="21"/>
                      <w:highlight w:val="none"/>
                    </w:rPr>
                  </w:pPr>
                </w:p>
              </w:tc>
              <w:tc>
                <w:tcPr>
                  <w:tcW w:w="514" w:type="pct"/>
                  <w:vAlign w:val="center"/>
                </w:tcPr>
                <w:p w14:paraId="1CDF5718">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42" w:type="pct"/>
                  <w:vAlign w:val="center"/>
                </w:tcPr>
                <w:p w14:paraId="3F1CF7D4">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512</w:t>
                  </w:r>
                </w:p>
              </w:tc>
            </w:tr>
            <w:tr w14:paraId="113BA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5393D0DC">
                  <w:pPr>
                    <w:widowControl/>
                    <w:jc w:val="center"/>
                    <w:rPr>
                      <w:color w:val="auto"/>
                      <w:kern w:val="0"/>
                      <w:szCs w:val="21"/>
                      <w:highlight w:val="none"/>
                    </w:rPr>
                  </w:pPr>
                </w:p>
              </w:tc>
              <w:tc>
                <w:tcPr>
                  <w:tcW w:w="1500" w:type="pct"/>
                  <w:vAlign w:val="center"/>
                </w:tcPr>
                <w:p w14:paraId="68C05C97">
                  <w:pPr>
                    <w:jc w:val="center"/>
                    <w:rPr>
                      <w:rFonts w:hint="eastAsia" w:eastAsia="宋体"/>
                      <w:color w:val="auto"/>
                      <w:kern w:val="0"/>
                      <w:szCs w:val="21"/>
                      <w:highlight w:val="none"/>
                      <w:lang w:eastAsia="zh-CN"/>
                    </w:rPr>
                  </w:pPr>
                  <w:r>
                    <w:rPr>
                      <w:rFonts w:hint="eastAsia"/>
                      <w:color w:val="auto"/>
                      <w:kern w:val="0"/>
                      <w:szCs w:val="21"/>
                      <w:highlight w:val="none"/>
                      <w:lang w:eastAsia="zh-CN"/>
                    </w:rPr>
                    <w:t>三泉村</w:t>
                  </w:r>
                </w:p>
              </w:tc>
              <w:tc>
                <w:tcPr>
                  <w:tcW w:w="635" w:type="pct"/>
                  <w:vAlign w:val="center"/>
                </w:tcPr>
                <w:p w14:paraId="36ACF070">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2390BB87">
                  <w:pPr>
                    <w:widowControl/>
                    <w:jc w:val="center"/>
                    <w:rPr>
                      <w:color w:val="auto"/>
                      <w:kern w:val="0"/>
                      <w:szCs w:val="21"/>
                      <w:highlight w:val="none"/>
                    </w:rPr>
                  </w:pPr>
                </w:p>
              </w:tc>
              <w:tc>
                <w:tcPr>
                  <w:tcW w:w="514" w:type="pct"/>
                  <w:vAlign w:val="center"/>
                </w:tcPr>
                <w:p w14:paraId="0276DE6C">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EN</w:t>
                  </w:r>
                </w:p>
              </w:tc>
              <w:tc>
                <w:tcPr>
                  <w:tcW w:w="642" w:type="pct"/>
                  <w:vAlign w:val="center"/>
                </w:tcPr>
                <w:p w14:paraId="253F8770">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24</w:t>
                  </w:r>
                </w:p>
              </w:tc>
            </w:tr>
            <w:tr w14:paraId="03567B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37C250A3">
                  <w:pPr>
                    <w:widowControl/>
                    <w:jc w:val="center"/>
                    <w:rPr>
                      <w:color w:val="auto"/>
                      <w:kern w:val="0"/>
                      <w:szCs w:val="21"/>
                      <w:highlight w:val="yellow"/>
                    </w:rPr>
                  </w:pPr>
                </w:p>
              </w:tc>
              <w:tc>
                <w:tcPr>
                  <w:tcW w:w="1500" w:type="pct"/>
                  <w:vAlign w:val="center"/>
                </w:tcPr>
                <w:p w14:paraId="349C3C01">
                  <w:pPr>
                    <w:jc w:val="center"/>
                    <w:rPr>
                      <w:rFonts w:hint="eastAsia" w:eastAsia="宋体"/>
                      <w:color w:val="auto"/>
                      <w:kern w:val="0"/>
                      <w:szCs w:val="21"/>
                      <w:highlight w:val="none"/>
                      <w:lang w:eastAsia="zh-CN"/>
                    </w:rPr>
                  </w:pPr>
                  <w:r>
                    <w:rPr>
                      <w:rFonts w:hint="eastAsia"/>
                      <w:color w:val="auto"/>
                      <w:kern w:val="0"/>
                      <w:szCs w:val="21"/>
                      <w:highlight w:val="none"/>
                      <w:lang w:eastAsia="zh-CN"/>
                    </w:rPr>
                    <w:t>西山社区</w:t>
                  </w:r>
                </w:p>
              </w:tc>
              <w:tc>
                <w:tcPr>
                  <w:tcW w:w="635" w:type="pct"/>
                  <w:vAlign w:val="center"/>
                </w:tcPr>
                <w:p w14:paraId="68B6D471">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900EA56">
                  <w:pPr>
                    <w:widowControl/>
                    <w:jc w:val="center"/>
                    <w:rPr>
                      <w:color w:val="auto"/>
                      <w:kern w:val="0"/>
                      <w:szCs w:val="21"/>
                      <w:highlight w:val="none"/>
                    </w:rPr>
                  </w:pPr>
                </w:p>
              </w:tc>
              <w:tc>
                <w:tcPr>
                  <w:tcW w:w="514" w:type="pct"/>
                  <w:vAlign w:val="center"/>
                </w:tcPr>
                <w:p w14:paraId="432AC5AD">
                  <w:pPr>
                    <w:jc w:val="center"/>
                    <w:rPr>
                      <w:rFonts w:hint="eastAsia" w:eastAsia="宋体"/>
                      <w:color w:val="auto"/>
                      <w:kern w:val="0"/>
                      <w:szCs w:val="21"/>
                      <w:highlight w:val="none"/>
                      <w:lang w:eastAsia="zh-CN"/>
                    </w:rPr>
                  </w:pPr>
                  <w:r>
                    <w:rPr>
                      <w:rFonts w:hint="eastAsia"/>
                      <w:color w:val="auto"/>
                      <w:kern w:val="0"/>
                      <w:szCs w:val="21"/>
                      <w:highlight w:val="none"/>
                      <w:lang w:eastAsia="zh-CN"/>
                    </w:rPr>
                    <w:t>穿过</w:t>
                  </w:r>
                </w:p>
              </w:tc>
              <w:tc>
                <w:tcPr>
                  <w:tcW w:w="642" w:type="pct"/>
                  <w:vAlign w:val="center"/>
                </w:tcPr>
                <w:p w14:paraId="5AEE4EEB">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r>
            <w:tr w14:paraId="61A76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27D5F0DB">
                  <w:pPr>
                    <w:widowControl/>
                    <w:jc w:val="center"/>
                    <w:rPr>
                      <w:color w:val="auto"/>
                      <w:kern w:val="0"/>
                      <w:szCs w:val="21"/>
                      <w:highlight w:val="yellow"/>
                    </w:rPr>
                  </w:pPr>
                </w:p>
              </w:tc>
              <w:tc>
                <w:tcPr>
                  <w:tcW w:w="1500" w:type="pct"/>
                  <w:vAlign w:val="center"/>
                </w:tcPr>
                <w:p w14:paraId="5585CA50">
                  <w:pPr>
                    <w:jc w:val="center"/>
                    <w:rPr>
                      <w:rFonts w:hint="eastAsia" w:eastAsia="宋体"/>
                      <w:color w:val="auto"/>
                      <w:kern w:val="0"/>
                      <w:szCs w:val="21"/>
                      <w:highlight w:val="none"/>
                      <w:lang w:eastAsia="zh-CN"/>
                    </w:rPr>
                  </w:pPr>
                  <w:r>
                    <w:rPr>
                      <w:rFonts w:hint="eastAsia"/>
                      <w:color w:val="auto"/>
                      <w:kern w:val="0"/>
                      <w:szCs w:val="21"/>
                      <w:highlight w:val="none"/>
                      <w:lang w:eastAsia="zh-CN"/>
                    </w:rPr>
                    <w:t>苹果园社区</w:t>
                  </w:r>
                </w:p>
              </w:tc>
              <w:tc>
                <w:tcPr>
                  <w:tcW w:w="635" w:type="pct"/>
                  <w:vAlign w:val="center"/>
                </w:tcPr>
                <w:p w14:paraId="08AF4737">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474BCEE3">
                  <w:pPr>
                    <w:widowControl/>
                    <w:jc w:val="center"/>
                    <w:rPr>
                      <w:color w:val="auto"/>
                      <w:kern w:val="0"/>
                      <w:szCs w:val="21"/>
                      <w:highlight w:val="none"/>
                    </w:rPr>
                  </w:pPr>
                </w:p>
              </w:tc>
              <w:tc>
                <w:tcPr>
                  <w:tcW w:w="514" w:type="pct"/>
                  <w:vAlign w:val="center"/>
                </w:tcPr>
                <w:p w14:paraId="424CC65D">
                  <w:pPr>
                    <w:jc w:val="center"/>
                    <w:rPr>
                      <w:color w:val="auto"/>
                      <w:kern w:val="0"/>
                      <w:szCs w:val="21"/>
                      <w:highlight w:val="none"/>
                    </w:rPr>
                  </w:pPr>
                  <w:r>
                    <w:rPr>
                      <w:color w:val="auto"/>
                      <w:kern w:val="0"/>
                      <w:szCs w:val="21"/>
                      <w:highlight w:val="none"/>
                    </w:rPr>
                    <w:t>E</w:t>
                  </w:r>
                </w:p>
              </w:tc>
              <w:tc>
                <w:tcPr>
                  <w:tcW w:w="642" w:type="pct"/>
                  <w:vAlign w:val="center"/>
                </w:tcPr>
                <w:p w14:paraId="1662A6D8">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122</w:t>
                  </w:r>
                </w:p>
              </w:tc>
            </w:tr>
            <w:tr w14:paraId="32662D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6DAB31FD">
                  <w:pPr>
                    <w:widowControl/>
                    <w:jc w:val="center"/>
                    <w:rPr>
                      <w:color w:val="auto"/>
                      <w:kern w:val="0"/>
                      <w:szCs w:val="21"/>
                      <w:highlight w:val="yellow"/>
                    </w:rPr>
                  </w:pPr>
                </w:p>
              </w:tc>
              <w:tc>
                <w:tcPr>
                  <w:tcW w:w="1500" w:type="pct"/>
                  <w:vAlign w:val="center"/>
                </w:tcPr>
                <w:p w14:paraId="5BA9A44E">
                  <w:pPr>
                    <w:jc w:val="center"/>
                    <w:rPr>
                      <w:rFonts w:hint="eastAsia" w:eastAsia="宋体"/>
                      <w:color w:val="auto"/>
                      <w:kern w:val="0"/>
                      <w:szCs w:val="21"/>
                      <w:highlight w:val="none"/>
                      <w:lang w:eastAsia="zh-CN"/>
                    </w:rPr>
                  </w:pPr>
                  <w:r>
                    <w:rPr>
                      <w:rFonts w:hint="eastAsia"/>
                      <w:color w:val="auto"/>
                      <w:kern w:val="0"/>
                      <w:szCs w:val="21"/>
                      <w:highlight w:val="none"/>
                      <w:lang w:eastAsia="zh-CN"/>
                    </w:rPr>
                    <w:t>后南定小区</w:t>
                  </w:r>
                </w:p>
              </w:tc>
              <w:tc>
                <w:tcPr>
                  <w:tcW w:w="635" w:type="pct"/>
                  <w:vAlign w:val="center"/>
                </w:tcPr>
                <w:p w14:paraId="161125AC">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2ADEE917">
                  <w:pPr>
                    <w:widowControl/>
                    <w:jc w:val="center"/>
                    <w:rPr>
                      <w:color w:val="auto"/>
                      <w:kern w:val="0"/>
                      <w:szCs w:val="21"/>
                      <w:highlight w:val="none"/>
                    </w:rPr>
                  </w:pPr>
                </w:p>
              </w:tc>
              <w:tc>
                <w:tcPr>
                  <w:tcW w:w="514" w:type="pct"/>
                  <w:vAlign w:val="center"/>
                </w:tcPr>
                <w:p w14:paraId="44A0D446">
                  <w:pPr>
                    <w:jc w:val="center"/>
                    <w:rPr>
                      <w:color w:val="auto"/>
                      <w:kern w:val="0"/>
                      <w:szCs w:val="21"/>
                      <w:highlight w:val="none"/>
                    </w:rPr>
                  </w:pPr>
                  <w:r>
                    <w:rPr>
                      <w:color w:val="auto"/>
                      <w:kern w:val="0"/>
                      <w:szCs w:val="21"/>
                      <w:highlight w:val="none"/>
                    </w:rPr>
                    <w:t>E</w:t>
                  </w:r>
                </w:p>
              </w:tc>
              <w:tc>
                <w:tcPr>
                  <w:tcW w:w="642" w:type="pct"/>
                  <w:vAlign w:val="center"/>
                </w:tcPr>
                <w:p w14:paraId="68FC4EC1">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200</w:t>
                  </w:r>
                </w:p>
              </w:tc>
            </w:tr>
            <w:tr w14:paraId="13257A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83" w:type="pct"/>
                  <w:vMerge w:val="continue"/>
                  <w:vAlign w:val="center"/>
                </w:tcPr>
                <w:p w14:paraId="14E61350">
                  <w:pPr>
                    <w:widowControl/>
                    <w:jc w:val="center"/>
                    <w:rPr>
                      <w:color w:val="auto"/>
                      <w:kern w:val="0"/>
                      <w:szCs w:val="21"/>
                      <w:highlight w:val="yellow"/>
                    </w:rPr>
                  </w:pPr>
                </w:p>
              </w:tc>
              <w:tc>
                <w:tcPr>
                  <w:tcW w:w="1500" w:type="pct"/>
                  <w:vAlign w:val="center"/>
                </w:tcPr>
                <w:p w14:paraId="597F9A16">
                  <w:pPr>
                    <w:jc w:val="center"/>
                    <w:rPr>
                      <w:rFonts w:hint="eastAsia" w:eastAsia="宋体"/>
                      <w:color w:val="auto"/>
                      <w:kern w:val="0"/>
                      <w:szCs w:val="21"/>
                      <w:highlight w:val="none"/>
                      <w:lang w:eastAsia="zh-CN"/>
                    </w:rPr>
                  </w:pPr>
                  <w:r>
                    <w:rPr>
                      <w:rFonts w:hint="eastAsia"/>
                      <w:color w:val="auto"/>
                      <w:kern w:val="0"/>
                      <w:szCs w:val="21"/>
                      <w:highlight w:val="none"/>
                      <w:lang w:eastAsia="zh-CN"/>
                    </w:rPr>
                    <w:t>后南定村</w:t>
                  </w:r>
                </w:p>
              </w:tc>
              <w:tc>
                <w:tcPr>
                  <w:tcW w:w="635" w:type="pct"/>
                  <w:vAlign w:val="center"/>
                </w:tcPr>
                <w:p w14:paraId="0F471669">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35337A82">
                  <w:pPr>
                    <w:widowControl/>
                    <w:jc w:val="center"/>
                    <w:rPr>
                      <w:color w:val="auto"/>
                      <w:kern w:val="0"/>
                      <w:szCs w:val="21"/>
                      <w:highlight w:val="none"/>
                    </w:rPr>
                  </w:pPr>
                </w:p>
              </w:tc>
              <w:tc>
                <w:tcPr>
                  <w:tcW w:w="514" w:type="pct"/>
                  <w:vAlign w:val="center"/>
                </w:tcPr>
                <w:p w14:paraId="12EFA831">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E</w:t>
                  </w:r>
                </w:p>
              </w:tc>
              <w:tc>
                <w:tcPr>
                  <w:tcW w:w="642" w:type="pct"/>
                  <w:vAlign w:val="center"/>
                </w:tcPr>
                <w:p w14:paraId="0F1426E9">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133</w:t>
                  </w:r>
                </w:p>
              </w:tc>
            </w:tr>
            <w:tr w14:paraId="1768C7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1FDC79FA">
                  <w:pPr>
                    <w:widowControl/>
                    <w:jc w:val="center"/>
                    <w:rPr>
                      <w:color w:val="auto"/>
                      <w:kern w:val="0"/>
                      <w:szCs w:val="21"/>
                      <w:highlight w:val="yellow"/>
                    </w:rPr>
                  </w:pPr>
                </w:p>
              </w:tc>
              <w:tc>
                <w:tcPr>
                  <w:tcW w:w="1500" w:type="pct"/>
                  <w:shd w:val="clear" w:color="auto" w:fill="auto"/>
                  <w:vAlign w:val="center"/>
                </w:tcPr>
                <w:p w14:paraId="6840291C">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前南定村</w:t>
                  </w:r>
                </w:p>
              </w:tc>
              <w:tc>
                <w:tcPr>
                  <w:tcW w:w="635" w:type="pct"/>
                  <w:shd w:val="clear" w:color="auto" w:fill="auto"/>
                  <w:vAlign w:val="center"/>
                </w:tcPr>
                <w:p w14:paraId="00760758">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4B046B39">
                  <w:pPr>
                    <w:widowControl/>
                    <w:jc w:val="center"/>
                    <w:rPr>
                      <w:color w:val="auto"/>
                      <w:kern w:val="0"/>
                      <w:szCs w:val="21"/>
                      <w:highlight w:val="none"/>
                    </w:rPr>
                  </w:pPr>
                </w:p>
              </w:tc>
              <w:tc>
                <w:tcPr>
                  <w:tcW w:w="514" w:type="pct"/>
                  <w:vAlign w:val="center"/>
                </w:tcPr>
                <w:p w14:paraId="039242A7">
                  <w:pPr>
                    <w:jc w:val="center"/>
                    <w:rPr>
                      <w:color w:val="auto"/>
                      <w:kern w:val="0"/>
                      <w:szCs w:val="21"/>
                      <w:highlight w:val="none"/>
                    </w:rPr>
                  </w:pPr>
                  <w:r>
                    <w:rPr>
                      <w:color w:val="auto"/>
                      <w:kern w:val="0"/>
                      <w:szCs w:val="21"/>
                      <w:highlight w:val="none"/>
                    </w:rPr>
                    <w:t>S</w:t>
                  </w:r>
                </w:p>
              </w:tc>
              <w:tc>
                <w:tcPr>
                  <w:tcW w:w="642" w:type="pct"/>
                  <w:vAlign w:val="center"/>
                </w:tcPr>
                <w:p w14:paraId="1D13B08D">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510</w:t>
                  </w:r>
                </w:p>
              </w:tc>
            </w:tr>
            <w:tr w14:paraId="61E03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29B3742D">
                  <w:pPr>
                    <w:widowControl/>
                    <w:jc w:val="center"/>
                    <w:rPr>
                      <w:color w:val="auto"/>
                      <w:kern w:val="0"/>
                      <w:szCs w:val="21"/>
                      <w:highlight w:val="yellow"/>
                    </w:rPr>
                  </w:pPr>
                </w:p>
              </w:tc>
              <w:tc>
                <w:tcPr>
                  <w:tcW w:w="1500" w:type="pct"/>
                  <w:vAlign w:val="center"/>
                </w:tcPr>
                <w:p w14:paraId="647C9E97">
                  <w:pPr>
                    <w:jc w:val="center"/>
                    <w:rPr>
                      <w:rFonts w:hint="eastAsia" w:eastAsia="宋体"/>
                      <w:color w:val="auto"/>
                      <w:kern w:val="0"/>
                      <w:szCs w:val="21"/>
                      <w:highlight w:val="none"/>
                      <w:lang w:eastAsia="zh-CN"/>
                    </w:rPr>
                  </w:pPr>
                  <w:r>
                    <w:rPr>
                      <w:rFonts w:hint="eastAsia"/>
                      <w:color w:val="auto"/>
                      <w:kern w:val="0"/>
                      <w:szCs w:val="21"/>
                      <w:highlight w:val="none"/>
                      <w:lang w:eastAsia="zh-CN"/>
                    </w:rPr>
                    <w:t>南山社区</w:t>
                  </w:r>
                </w:p>
              </w:tc>
              <w:tc>
                <w:tcPr>
                  <w:tcW w:w="635" w:type="pct"/>
                  <w:vAlign w:val="center"/>
                </w:tcPr>
                <w:p w14:paraId="1BDCE232">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3DE5BC1">
                  <w:pPr>
                    <w:widowControl/>
                    <w:jc w:val="center"/>
                    <w:rPr>
                      <w:color w:val="auto"/>
                      <w:kern w:val="0"/>
                      <w:szCs w:val="21"/>
                      <w:highlight w:val="yellow"/>
                    </w:rPr>
                  </w:pPr>
                </w:p>
              </w:tc>
              <w:tc>
                <w:tcPr>
                  <w:tcW w:w="514" w:type="pct"/>
                  <w:vAlign w:val="center"/>
                </w:tcPr>
                <w:p w14:paraId="0472A873">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42" w:type="pct"/>
                  <w:vAlign w:val="center"/>
                </w:tcPr>
                <w:p w14:paraId="3DB4F322">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8</w:t>
                  </w:r>
                </w:p>
              </w:tc>
            </w:tr>
            <w:tr w14:paraId="67C0B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restart"/>
                  <w:vAlign w:val="center"/>
                </w:tcPr>
                <w:p w14:paraId="138C2DCE">
                  <w:pPr>
                    <w:widowControl/>
                    <w:jc w:val="center"/>
                    <w:rPr>
                      <w:color w:val="auto"/>
                      <w:kern w:val="0"/>
                      <w:szCs w:val="21"/>
                      <w:highlight w:val="none"/>
                    </w:rPr>
                  </w:pPr>
                  <w:r>
                    <w:rPr>
                      <w:color w:val="auto"/>
                      <w:kern w:val="0"/>
                      <w:szCs w:val="21"/>
                      <w:highlight w:val="none"/>
                    </w:rPr>
                    <w:t>声环境</w:t>
                  </w:r>
                </w:p>
              </w:tc>
              <w:tc>
                <w:tcPr>
                  <w:tcW w:w="1500" w:type="pct"/>
                  <w:shd w:val="clear" w:color="auto" w:fill="auto"/>
                  <w:vAlign w:val="center"/>
                </w:tcPr>
                <w:p w14:paraId="03C5E549">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西山社区</w:t>
                  </w:r>
                </w:p>
              </w:tc>
              <w:tc>
                <w:tcPr>
                  <w:tcW w:w="635" w:type="pct"/>
                  <w:shd w:val="clear" w:color="auto" w:fill="auto"/>
                  <w:vAlign w:val="center"/>
                </w:tcPr>
                <w:p w14:paraId="59F9C825">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restart"/>
                  <w:vAlign w:val="center"/>
                </w:tcPr>
                <w:p w14:paraId="5E80127D">
                  <w:pPr>
                    <w:autoSpaceDE w:val="0"/>
                    <w:autoSpaceDN w:val="0"/>
                    <w:jc w:val="center"/>
                    <w:rPr>
                      <w:color w:val="auto"/>
                      <w:kern w:val="0"/>
                      <w:szCs w:val="21"/>
                      <w:highlight w:val="none"/>
                    </w:rPr>
                  </w:pPr>
                  <w:r>
                    <w:rPr>
                      <w:color w:val="auto"/>
                      <w:szCs w:val="21"/>
                      <w:highlight w:val="none"/>
                    </w:rPr>
                    <w:t>《声环境质量标准》（GB3096-2008）的2类声环境功能区要求</w:t>
                  </w:r>
                </w:p>
              </w:tc>
              <w:tc>
                <w:tcPr>
                  <w:tcW w:w="514" w:type="pct"/>
                  <w:shd w:val="clear" w:color="auto" w:fill="auto"/>
                  <w:vAlign w:val="center"/>
                </w:tcPr>
                <w:p w14:paraId="72521BE0">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穿过</w:t>
                  </w:r>
                </w:p>
              </w:tc>
              <w:tc>
                <w:tcPr>
                  <w:tcW w:w="642" w:type="pct"/>
                  <w:shd w:val="clear" w:color="auto" w:fill="auto"/>
                  <w:vAlign w:val="center"/>
                </w:tcPr>
                <w:p w14:paraId="530451BE">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w:t>
                  </w:r>
                </w:p>
              </w:tc>
            </w:tr>
            <w:tr w14:paraId="47F25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678A9E98">
                  <w:pPr>
                    <w:widowControl/>
                    <w:jc w:val="center"/>
                    <w:rPr>
                      <w:color w:val="auto"/>
                      <w:kern w:val="0"/>
                      <w:szCs w:val="21"/>
                      <w:highlight w:val="none"/>
                    </w:rPr>
                  </w:pPr>
                </w:p>
              </w:tc>
              <w:tc>
                <w:tcPr>
                  <w:tcW w:w="1500" w:type="pct"/>
                  <w:shd w:val="clear" w:color="auto" w:fill="auto"/>
                  <w:vAlign w:val="center"/>
                </w:tcPr>
                <w:p w14:paraId="4BF3203C">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三泉村</w:t>
                  </w:r>
                </w:p>
              </w:tc>
              <w:tc>
                <w:tcPr>
                  <w:tcW w:w="635" w:type="pct"/>
                  <w:shd w:val="clear" w:color="auto" w:fill="auto"/>
                  <w:vAlign w:val="center"/>
                </w:tcPr>
                <w:p w14:paraId="492870AB">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Merge w:val="continue"/>
                  <w:vAlign w:val="center"/>
                </w:tcPr>
                <w:p w14:paraId="2F7725EA">
                  <w:pPr>
                    <w:autoSpaceDE w:val="0"/>
                    <w:autoSpaceDN w:val="0"/>
                    <w:jc w:val="center"/>
                    <w:rPr>
                      <w:color w:val="auto"/>
                      <w:szCs w:val="21"/>
                      <w:highlight w:val="none"/>
                    </w:rPr>
                  </w:pPr>
                </w:p>
              </w:tc>
              <w:tc>
                <w:tcPr>
                  <w:tcW w:w="514" w:type="pct"/>
                  <w:shd w:val="clear" w:color="auto" w:fill="auto"/>
                  <w:vAlign w:val="center"/>
                </w:tcPr>
                <w:p w14:paraId="08F65B07">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EN</w:t>
                  </w:r>
                </w:p>
              </w:tc>
              <w:tc>
                <w:tcPr>
                  <w:tcW w:w="642" w:type="pct"/>
                  <w:shd w:val="clear" w:color="auto" w:fill="auto"/>
                  <w:vAlign w:val="center"/>
                </w:tcPr>
                <w:p w14:paraId="6E0EC6ED">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24</w:t>
                  </w:r>
                </w:p>
              </w:tc>
            </w:tr>
            <w:tr w14:paraId="010599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Align w:val="center"/>
                </w:tcPr>
                <w:p w14:paraId="514A4AF4">
                  <w:pPr>
                    <w:widowControl/>
                    <w:jc w:val="center"/>
                    <w:rPr>
                      <w:color w:val="auto"/>
                      <w:kern w:val="0"/>
                      <w:szCs w:val="21"/>
                      <w:highlight w:val="none"/>
                    </w:rPr>
                  </w:pPr>
                  <w:r>
                    <w:rPr>
                      <w:color w:val="auto"/>
                      <w:kern w:val="0"/>
                      <w:szCs w:val="21"/>
                      <w:highlight w:val="none"/>
                    </w:rPr>
                    <w:t>地下水环境</w:t>
                  </w:r>
                </w:p>
              </w:tc>
              <w:tc>
                <w:tcPr>
                  <w:tcW w:w="2136" w:type="pct"/>
                  <w:gridSpan w:val="2"/>
                  <w:vAlign w:val="center"/>
                </w:tcPr>
                <w:p w14:paraId="2A2A4CC8">
                  <w:pPr>
                    <w:widowControl/>
                    <w:jc w:val="center"/>
                    <w:rPr>
                      <w:color w:val="auto"/>
                      <w:kern w:val="0"/>
                      <w:szCs w:val="21"/>
                      <w:highlight w:val="none"/>
                    </w:rPr>
                  </w:pPr>
                  <w:r>
                    <w:rPr>
                      <w:color w:val="auto"/>
                      <w:kern w:val="0"/>
                      <w:szCs w:val="21"/>
                      <w:highlight w:val="none"/>
                    </w:rPr>
                    <w:t>厂界外500米范围内无地下水集中式饮用水源和热水、矿泉水、温泉等特殊地下水资源</w:t>
                  </w:r>
                </w:p>
              </w:tc>
              <w:tc>
                <w:tcPr>
                  <w:tcW w:w="1222" w:type="pct"/>
                  <w:vAlign w:val="center"/>
                </w:tcPr>
                <w:p w14:paraId="33D05BD7">
                  <w:pPr>
                    <w:autoSpaceDE w:val="0"/>
                    <w:autoSpaceDN w:val="0"/>
                    <w:jc w:val="center"/>
                    <w:rPr>
                      <w:color w:val="auto"/>
                      <w:kern w:val="0"/>
                      <w:szCs w:val="21"/>
                      <w:highlight w:val="none"/>
                    </w:rPr>
                  </w:pPr>
                  <w:r>
                    <w:rPr>
                      <w:color w:val="auto"/>
                      <w:szCs w:val="21"/>
                      <w:highlight w:val="none"/>
                    </w:rPr>
                    <w:t>《地下水质量标准》（GB/T14848-2017）Ⅲ类标准</w:t>
                  </w:r>
                </w:p>
              </w:tc>
              <w:tc>
                <w:tcPr>
                  <w:tcW w:w="514" w:type="pct"/>
                  <w:vAlign w:val="center"/>
                </w:tcPr>
                <w:p w14:paraId="5B601002">
                  <w:pPr>
                    <w:autoSpaceDE w:val="0"/>
                    <w:autoSpaceDN w:val="0"/>
                    <w:jc w:val="center"/>
                    <w:rPr>
                      <w:color w:val="auto"/>
                      <w:kern w:val="0"/>
                      <w:szCs w:val="21"/>
                      <w:highlight w:val="none"/>
                    </w:rPr>
                  </w:pPr>
                  <w:r>
                    <w:rPr>
                      <w:color w:val="auto"/>
                      <w:kern w:val="0"/>
                      <w:szCs w:val="21"/>
                      <w:highlight w:val="none"/>
                    </w:rPr>
                    <w:t>/</w:t>
                  </w:r>
                </w:p>
              </w:tc>
              <w:tc>
                <w:tcPr>
                  <w:tcW w:w="642" w:type="pct"/>
                  <w:vAlign w:val="center"/>
                </w:tcPr>
                <w:p w14:paraId="0F5312D1">
                  <w:pPr>
                    <w:autoSpaceDE w:val="0"/>
                    <w:autoSpaceDN w:val="0"/>
                    <w:jc w:val="center"/>
                    <w:rPr>
                      <w:color w:val="auto"/>
                      <w:kern w:val="0"/>
                      <w:szCs w:val="21"/>
                      <w:highlight w:val="none"/>
                    </w:rPr>
                  </w:pPr>
                  <w:r>
                    <w:rPr>
                      <w:color w:val="auto"/>
                      <w:kern w:val="0"/>
                      <w:szCs w:val="21"/>
                      <w:highlight w:val="none"/>
                    </w:rPr>
                    <w:t>/</w:t>
                  </w:r>
                </w:p>
              </w:tc>
            </w:tr>
            <w:tr w14:paraId="623C2F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restart"/>
                  <w:vAlign w:val="center"/>
                </w:tcPr>
                <w:p w14:paraId="4EE22280">
                  <w:pPr>
                    <w:jc w:val="center"/>
                    <w:rPr>
                      <w:color w:val="auto"/>
                      <w:kern w:val="0"/>
                      <w:szCs w:val="21"/>
                      <w:highlight w:val="none"/>
                    </w:rPr>
                  </w:pPr>
                  <w:r>
                    <w:rPr>
                      <w:color w:val="auto"/>
                      <w:szCs w:val="21"/>
                      <w:highlight w:val="none"/>
                    </w:rPr>
                    <w:t>地表水</w:t>
                  </w:r>
                </w:p>
              </w:tc>
              <w:tc>
                <w:tcPr>
                  <w:tcW w:w="2136" w:type="pct"/>
                  <w:gridSpan w:val="2"/>
                  <w:vAlign w:val="center"/>
                </w:tcPr>
                <w:p w14:paraId="545270E0">
                  <w:pPr>
                    <w:jc w:val="center"/>
                    <w:rPr>
                      <w:color w:val="auto"/>
                      <w:kern w:val="0"/>
                      <w:szCs w:val="21"/>
                      <w:highlight w:val="none"/>
                    </w:rPr>
                  </w:pPr>
                  <w:r>
                    <w:rPr>
                      <w:color w:val="auto"/>
                      <w:kern w:val="0"/>
                      <w:szCs w:val="21"/>
                      <w:highlight w:val="none"/>
                    </w:rPr>
                    <w:t>漫泗河</w:t>
                  </w:r>
                </w:p>
              </w:tc>
              <w:tc>
                <w:tcPr>
                  <w:tcW w:w="1222" w:type="pct"/>
                  <w:vAlign w:val="center"/>
                </w:tcPr>
                <w:p w14:paraId="79C127A6">
                  <w:pPr>
                    <w:jc w:val="center"/>
                    <w:rPr>
                      <w:color w:val="auto"/>
                      <w:szCs w:val="21"/>
                      <w:highlight w:val="none"/>
                    </w:rPr>
                  </w:pPr>
                  <w:r>
                    <w:rPr>
                      <w:color w:val="auto"/>
                      <w:szCs w:val="21"/>
                      <w:highlight w:val="none"/>
                    </w:rPr>
                    <w:t>《地表水环境质量标准》（GB3838-2002）</w:t>
                  </w:r>
                  <w:r>
                    <w:rPr>
                      <w:color w:val="auto"/>
                      <w:spacing w:val="-2"/>
                      <w:szCs w:val="21"/>
                      <w:highlight w:val="none"/>
                    </w:rPr>
                    <w:t>V</w:t>
                  </w:r>
                  <w:r>
                    <w:rPr>
                      <w:color w:val="auto"/>
                      <w:szCs w:val="21"/>
                      <w:highlight w:val="none"/>
                    </w:rPr>
                    <w:t>类标准</w:t>
                  </w:r>
                </w:p>
              </w:tc>
              <w:tc>
                <w:tcPr>
                  <w:tcW w:w="1157" w:type="pct"/>
                  <w:gridSpan w:val="2"/>
                  <w:vAlign w:val="center"/>
                </w:tcPr>
                <w:p w14:paraId="021B0930">
                  <w:pPr>
                    <w:jc w:val="center"/>
                    <w:rPr>
                      <w:color w:val="auto"/>
                      <w:kern w:val="0"/>
                      <w:szCs w:val="21"/>
                      <w:highlight w:val="none"/>
                    </w:rPr>
                  </w:pPr>
                  <w:r>
                    <w:rPr>
                      <w:color w:val="auto"/>
                      <w:kern w:val="0"/>
                      <w:szCs w:val="21"/>
                      <w:highlight w:val="none"/>
                    </w:rPr>
                    <w:t>本次施工河道之一</w:t>
                  </w:r>
                </w:p>
              </w:tc>
            </w:tr>
            <w:tr w14:paraId="795BB1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Merge w:val="continue"/>
                  <w:vAlign w:val="center"/>
                </w:tcPr>
                <w:p w14:paraId="3A06BD56">
                  <w:pPr>
                    <w:jc w:val="center"/>
                    <w:rPr>
                      <w:color w:val="auto"/>
                      <w:szCs w:val="21"/>
                      <w:highlight w:val="none"/>
                    </w:rPr>
                  </w:pPr>
                </w:p>
              </w:tc>
              <w:tc>
                <w:tcPr>
                  <w:tcW w:w="2136" w:type="pct"/>
                  <w:gridSpan w:val="2"/>
                  <w:vAlign w:val="center"/>
                </w:tcPr>
                <w:p w14:paraId="2F9A65DC">
                  <w:pPr>
                    <w:jc w:val="center"/>
                    <w:rPr>
                      <w:color w:val="auto"/>
                      <w:kern w:val="0"/>
                      <w:szCs w:val="21"/>
                      <w:highlight w:val="none"/>
                    </w:rPr>
                  </w:pPr>
                  <w:r>
                    <w:rPr>
                      <w:color w:val="auto"/>
                      <w:kern w:val="0"/>
                      <w:szCs w:val="21"/>
                      <w:highlight w:val="none"/>
                    </w:rPr>
                    <w:t>孝妇河</w:t>
                  </w:r>
                </w:p>
              </w:tc>
              <w:tc>
                <w:tcPr>
                  <w:tcW w:w="1222" w:type="pct"/>
                  <w:vAlign w:val="center"/>
                </w:tcPr>
                <w:p w14:paraId="514265B0">
                  <w:pPr>
                    <w:jc w:val="center"/>
                    <w:rPr>
                      <w:color w:val="auto"/>
                      <w:szCs w:val="21"/>
                      <w:highlight w:val="none"/>
                    </w:rPr>
                  </w:pPr>
                  <w:r>
                    <w:rPr>
                      <w:color w:val="auto"/>
                      <w:szCs w:val="21"/>
                      <w:highlight w:val="none"/>
                    </w:rPr>
                    <w:t>《地表水环境质量标准》（GB3838-2002）IV类标准</w:t>
                  </w:r>
                </w:p>
              </w:tc>
              <w:tc>
                <w:tcPr>
                  <w:tcW w:w="1157" w:type="pct"/>
                  <w:gridSpan w:val="2"/>
                  <w:vAlign w:val="center"/>
                </w:tcPr>
                <w:p w14:paraId="7B43F6B0">
                  <w:pPr>
                    <w:jc w:val="center"/>
                    <w:rPr>
                      <w:color w:val="auto"/>
                      <w:kern w:val="0"/>
                      <w:szCs w:val="21"/>
                      <w:highlight w:val="none"/>
                    </w:rPr>
                  </w:pPr>
                  <w:r>
                    <w:rPr>
                      <w:color w:val="auto"/>
                      <w:kern w:val="0"/>
                      <w:szCs w:val="21"/>
                      <w:highlight w:val="none"/>
                    </w:rPr>
                    <w:t>漫泗河汇入孝妇河</w:t>
                  </w:r>
                </w:p>
              </w:tc>
            </w:tr>
            <w:tr w14:paraId="5EFEBB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3" w:type="pct"/>
                  <w:vAlign w:val="center"/>
                </w:tcPr>
                <w:p w14:paraId="4DB192CF">
                  <w:pPr>
                    <w:autoSpaceDE w:val="0"/>
                    <w:autoSpaceDN w:val="0"/>
                    <w:jc w:val="center"/>
                    <w:rPr>
                      <w:color w:val="auto"/>
                      <w:kern w:val="0"/>
                      <w:szCs w:val="21"/>
                      <w:highlight w:val="none"/>
                    </w:rPr>
                  </w:pPr>
                  <w:r>
                    <w:rPr>
                      <w:color w:val="auto"/>
                      <w:kern w:val="0"/>
                      <w:szCs w:val="21"/>
                      <w:highlight w:val="none"/>
                    </w:rPr>
                    <w:t>生态</w:t>
                  </w:r>
                </w:p>
                <w:p w14:paraId="3059F9AC">
                  <w:pPr>
                    <w:autoSpaceDE w:val="0"/>
                    <w:autoSpaceDN w:val="0"/>
                    <w:jc w:val="center"/>
                    <w:rPr>
                      <w:color w:val="auto"/>
                      <w:kern w:val="0"/>
                      <w:szCs w:val="21"/>
                      <w:highlight w:val="none"/>
                    </w:rPr>
                  </w:pPr>
                  <w:r>
                    <w:rPr>
                      <w:color w:val="auto"/>
                      <w:kern w:val="0"/>
                      <w:szCs w:val="21"/>
                      <w:highlight w:val="none"/>
                    </w:rPr>
                    <w:t>环境</w:t>
                  </w:r>
                </w:p>
              </w:tc>
              <w:tc>
                <w:tcPr>
                  <w:tcW w:w="4516" w:type="pct"/>
                  <w:gridSpan w:val="5"/>
                  <w:vAlign w:val="center"/>
                </w:tcPr>
                <w:p w14:paraId="06CC1999">
                  <w:pPr>
                    <w:widowControl/>
                    <w:jc w:val="center"/>
                    <w:rPr>
                      <w:color w:val="auto"/>
                      <w:kern w:val="0"/>
                      <w:szCs w:val="21"/>
                      <w:highlight w:val="none"/>
                    </w:rPr>
                  </w:pPr>
                  <w:r>
                    <w:rPr>
                      <w:color w:val="auto"/>
                      <w:szCs w:val="21"/>
                      <w:highlight w:val="none"/>
                    </w:rPr>
                    <w:t>项目生态评价范围内无受影响的重要物种、生态敏感区以及其他需要保护的物种、种群、生物群落及生态空间等</w:t>
                  </w:r>
                </w:p>
              </w:tc>
            </w:tr>
          </w:tbl>
          <w:p w14:paraId="6D6A25CF">
            <w:pPr>
              <w:numPr>
                <w:ilvl w:val="0"/>
                <w:numId w:val="7"/>
              </w:numPr>
              <w:snapToGrid w:val="0"/>
              <w:spacing w:line="360" w:lineRule="auto"/>
              <w:ind w:firstLine="480" w:firstLineChars="200"/>
              <w:rPr>
                <w:color w:val="auto"/>
                <w:sz w:val="24"/>
              </w:rPr>
            </w:pPr>
            <w:r>
              <w:rPr>
                <w:color w:val="auto"/>
                <w:sz w:val="24"/>
              </w:rPr>
              <w:t>白蛇沟</w:t>
            </w:r>
          </w:p>
          <w:p w14:paraId="1C3959C8">
            <w:pPr>
              <w:spacing w:before="120" w:beforeLines="50"/>
              <w:jc w:val="center"/>
              <w:rPr>
                <w:b/>
                <w:bCs/>
                <w:color w:val="auto"/>
                <w:szCs w:val="21"/>
              </w:rPr>
            </w:pPr>
            <w:r>
              <w:rPr>
                <w:b/>
                <w:bCs/>
                <w:color w:val="auto"/>
                <w:szCs w:val="21"/>
              </w:rPr>
              <w:t>表3-</w:t>
            </w:r>
            <w:r>
              <w:rPr>
                <w:rFonts w:hint="eastAsia"/>
                <w:b/>
                <w:bCs/>
                <w:color w:val="auto"/>
                <w:szCs w:val="21"/>
                <w:lang w:val="en-US" w:eastAsia="zh-CN"/>
              </w:rPr>
              <w:t>15</w:t>
            </w:r>
            <w:r>
              <w:rPr>
                <w:b/>
                <w:bCs/>
                <w:color w:val="auto"/>
                <w:szCs w:val="21"/>
              </w:rPr>
              <w:t xml:space="preserve">  经开区内白蛇沟工程主要环境保护目标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1"/>
              <w:gridCol w:w="2464"/>
              <w:gridCol w:w="1045"/>
              <w:gridCol w:w="2008"/>
              <w:gridCol w:w="844"/>
              <w:gridCol w:w="1060"/>
            </w:tblGrid>
            <w:tr w14:paraId="0EFD9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2" w:type="pct"/>
                  <w:vAlign w:val="center"/>
                </w:tcPr>
                <w:p w14:paraId="5F361091">
                  <w:pPr>
                    <w:autoSpaceDE w:val="0"/>
                    <w:autoSpaceDN w:val="0"/>
                    <w:jc w:val="center"/>
                    <w:rPr>
                      <w:color w:val="auto"/>
                      <w:kern w:val="0"/>
                      <w:szCs w:val="21"/>
                    </w:rPr>
                  </w:pPr>
                  <w:r>
                    <w:rPr>
                      <w:color w:val="auto"/>
                      <w:kern w:val="0"/>
                      <w:szCs w:val="21"/>
                    </w:rPr>
                    <w:t>保护</w:t>
                  </w:r>
                </w:p>
                <w:p w14:paraId="38266C62">
                  <w:pPr>
                    <w:autoSpaceDE w:val="0"/>
                    <w:autoSpaceDN w:val="0"/>
                    <w:jc w:val="center"/>
                    <w:rPr>
                      <w:color w:val="auto"/>
                      <w:kern w:val="0"/>
                      <w:szCs w:val="21"/>
                    </w:rPr>
                  </w:pPr>
                  <w:r>
                    <w:rPr>
                      <w:color w:val="auto"/>
                      <w:kern w:val="0"/>
                      <w:szCs w:val="21"/>
                    </w:rPr>
                    <w:t>类别</w:t>
                  </w:r>
                </w:p>
              </w:tc>
              <w:tc>
                <w:tcPr>
                  <w:tcW w:w="1500" w:type="pct"/>
                  <w:vAlign w:val="center"/>
                </w:tcPr>
                <w:p w14:paraId="3518C00C">
                  <w:pPr>
                    <w:autoSpaceDE w:val="0"/>
                    <w:autoSpaceDN w:val="0"/>
                    <w:jc w:val="center"/>
                    <w:rPr>
                      <w:color w:val="auto"/>
                      <w:kern w:val="0"/>
                      <w:szCs w:val="21"/>
                    </w:rPr>
                  </w:pPr>
                  <w:r>
                    <w:rPr>
                      <w:color w:val="auto"/>
                      <w:kern w:val="0"/>
                      <w:szCs w:val="21"/>
                    </w:rPr>
                    <w:t>保护对象</w:t>
                  </w:r>
                </w:p>
              </w:tc>
              <w:tc>
                <w:tcPr>
                  <w:tcW w:w="635" w:type="pct"/>
                  <w:vAlign w:val="center"/>
                </w:tcPr>
                <w:p w14:paraId="118C5B0A">
                  <w:pPr>
                    <w:autoSpaceDE w:val="0"/>
                    <w:autoSpaceDN w:val="0"/>
                    <w:jc w:val="center"/>
                    <w:rPr>
                      <w:color w:val="auto"/>
                      <w:kern w:val="0"/>
                      <w:szCs w:val="21"/>
                    </w:rPr>
                  </w:pPr>
                  <w:r>
                    <w:rPr>
                      <w:color w:val="auto"/>
                      <w:kern w:val="0"/>
                      <w:szCs w:val="21"/>
                    </w:rPr>
                    <w:t>保护</w:t>
                  </w:r>
                </w:p>
                <w:p w14:paraId="508D3778">
                  <w:pPr>
                    <w:autoSpaceDE w:val="0"/>
                    <w:autoSpaceDN w:val="0"/>
                    <w:jc w:val="center"/>
                    <w:rPr>
                      <w:color w:val="auto"/>
                      <w:kern w:val="0"/>
                      <w:szCs w:val="21"/>
                    </w:rPr>
                  </w:pPr>
                  <w:r>
                    <w:rPr>
                      <w:color w:val="auto"/>
                      <w:kern w:val="0"/>
                      <w:szCs w:val="21"/>
                    </w:rPr>
                    <w:t>内容</w:t>
                  </w:r>
                </w:p>
              </w:tc>
              <w:tc>
                <w:tcPr>
                  <w:tcW w:w="1222" w:type="pct"/>
                  <w:vAlign w:val="center"/>
                </w:tcPr>
                <w:p w14:paraId="5495D035">
                  <w:pPr>
                    <w:autoSpaceDE w:val="0"/>
                    <w:autoSpaceDN w:val="0"/>
                    <w:jc w:val="center"/>
                    <w:rPr>
                      <w:color w:val="auto"/>
                      <w:kern w:val="0"/>
                      <w:szCs w:val="21"/>
                    </w:rPr>
                  </w:pPr>
                  <w:r>
                    <w:rPr>
                      <w:color w:val="auto"/>
                      <w:kern w:val="0"/>
                      <w:szCs w:val="21"/>
                    </w:rPr>
                    <w:t>环境功能区</w:t>
                  </w:r>
                </w:p>
              </w:tc>
              <w:tc>
                <w:tcPr>
                  <w:tcW w:w="514" w:type="pct"/>
                  <w:vAlign w:val="center"/>
                </w:tcPr>
                <w:p w14:paraId="12616463">
                  <w:pPr>
                    <w:autoSpaceDE w:val="0"/>
                    <w:autoSpaceDN w:val="0"/>
                    <w:jc w:val="center"/>
                    <w:rPr>
                      <w:color w:val="auto"/>
                      <w:kern w:val="0"/>
                      <w:szCs w:val="21"/>
                    </w:rPr>
                  </w:pPr>
                  <w:r>
                    <w:rPr>
                      <w:color w:val="auto"/>
                      <w:kern w:val="0"/>
                      <w:szCs w:val="21"/>
                    </w:rPr>
                    <w:t>相对河道方位</w:t>
                  </w:r>
                </w:p>
              </w:tc>
              <w:tc>
                <w:tcPr>
                  <w:tcW w:w="644" w:type="pct"/>
                  <w:vAlign w:val="center"/>
                </w:tcPr>
                <w:p w14:paraId="3D54E95B">
                  <w:pPr>
                    <w:autoSpaceDE w:val="0"/>
                    <w:autoSpaceDN w:val="0"/>
                    <w:jc w:val="center"/>
                    <w:rPr>
                      <w:color w:val="auto"/>
                      <w:kern w:val="0"/>
                      <w:szCs w:val="21"/>
                    </w:rPr>
                  </w:pPr>
                  <w:r>
                    <w:rPr>
                      <w:color w:val="auto"/>
                      <w:kern w:val="0"/>
                      <w:szCs w:val="21"/>
                    </w:rPr>
                    <w:t>相对河道</w:t>
                  </w:r>
                </w:p>
                <w:p w14:paraId="7D891528">
                  <w:pPr>
                    <w:autoSpaceDE w:val="0"/>
                    <w:autoSpaceDN w:val="0"/>
                    <w:jc w:val="center"/>
                    <w:rPr>
                      <w:color w:val="auto"/>
                      <w:kern w:val="0"/>
                      <w:szCs w:val="21"/>
                    </w:rPr>
                  </w:pPr>
                  <w:r>
                    <w:rPr>
                      <w:color w:val="auto"/>
                      <w:kern w:val="0"/>
                      <w:szCs w:val="21"/>
                    </w:rPr>
                    <w:t>距离（m）</w:t>
                  </w:r>
                </w:p>
              </w:tc>
            </w:tr>
            <w:tr w14:paraId="34419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325EA70C">
                  <w:pPr>
                    <w:autoSpaceDE w:val="0"/>
                    <w:autoSpaceDN w:val="0"/>
                    <w:jc w:val="center"/>
                    <w:rPr>
                      <w:color w:val="auto"/>
                      <w:kern w:val="0"/>
                      <w:szCs w:val="21"/>
                    </w:rPr>
                  </w:pPr>
                  <w:r>
                    <w:rPr>
                      <w:color w:val="auto"/>
                      <w:kern w:val="0"/>
                      <w:szCs w:val="21"/>
                    </w:rPr>
                    <w:t>大气</w:t>
                  </w:r>
                </w:p>
                <w:p w14:paraId="743B529F">
                  <w:pPr>
                    <w:widowControl/>
                    <w:jc w:val="center"/>
                    <w:rPr>
                      <w:color w:val="auto"/>
                      <w:kern w:val="0"/>
                      <w:szCs w:val="21"/>
                    </w:rPr>
                  </w:pPr>
                  <w:r>
                    <w:rPr>
                      <w:color w:val="auto"/>
                      <w:kern w:val="0"/>
                      <w:szCs w:val="21"/>
                    </w:rPr>
                    <w:t>环境</w:t>
                  </w:r>
                </w:p>
              </w:tc>
              <w:tc>
                <w:tcPr>
                  <w:tcW w:w="1500" w:type="pct"/>
                  <w:vAlign w:val="center"/>
                </w:tcPr>
                <w:p w14:paraId="22DD80BE">
                  <w:pPr>
                    <w:widowControl/>
                    <w:jc w:val="center"/>
                    <w:rPr>
                      <w:rFonts w:hint="eastAsia" w:eastAsia="宋体"/>
                      <w:color w:val="auto"/>
                      <w:kern w:val="0"/>
                      <w:szCs w:val="21"/>
                      <w:lang w:eastAsia="zh-CN"/>
                    </w:rPr>
                  </w:pPr>
                  <w:r>
                    <w:rPr>
                      <w:rFonts w:hint="eastAsia"/>
                      <w:color w:val="auto"/>
                      <w:kern w:val="0"/>
                      <w:szCs w:val="21"/>
                      <w:lang w:eastAsia="zh-CN"/>
                    </w:rPr>
                    <w:t>张楼生活区</w:t>
                  </w:r>
                </w:p>
              </w:tc>
              <w:tc>
                <w:tcPr>
                  <w:tcW w:w="635" w:type="pct"/>
                  <w:vAlign w:val="center"/>
                </w:tcPr>
                <w:p w14:paraId="26A0D0EB">
                  <w:pPr>
                    <w:widowControl/>
                    <w:jc w:val="center"/>
                    <w:rPr>
                      <w:color w:val="auto"/>
                      <w:kern w:val="0"/>
                      <w:szCs w:val="21"/>
                    </w:rPr>
                  </w:pPr>
                  <w:r>
                    <w:rPr>
                      <w:color w:val="auto"/>
                      <w:kern w:val="0"/>
                      <w:szCs w:val="21"/>
                    </w:rPr>
                    <w:t>居民</w:t>
                  </w:r>
                </w:p>
              </w:tc>
              <w:tc>
                <w:tcPr>
                  <w:tcW w:w="1222" w:type="pct"/>
                  <w:vMerge w:val="restart"/>
                  <w:vAlign w:val="center"/>
                </w:tcPr>
                <w:p w14:paraId="027B7D53">
                  <w:pPr>
                    <w:autoSpaceDE w:val="0"/>
                    <w:autoSpaceDN w:val="0"/>
                    <w:jc w:val="center"/>
                    <w:rPr>
                      <w:color w:val="auto"/>
                      <w:szCs w:val="21"/>
                    </w:rPr>
                  </w:pPr>
                  <w:r>
                    <w:rPr>
                      <w:bCs/>
                      <w:color w:val="auto"/>
                      <w:szCs w:val="21"/>
                    </w:rPr>
                    <w:t>《环境空气质量标准》（GB3095-20</w:t>
                  </w:r>
                  <w:r>
                    <w:rPr>
                      <w:rFonts w:hint="eastAsia"/>
                      <w:bCs/>
                      <w:color w:val="auto"/>
                      <w:szCs w:val="21"/>
                      <w:lang w:val="en-US" w:eastAsia="zh-CN"/>
                    </w:rPr>
                    <w:t>26</w:t>
                  </w:r>
                  <w:r>
                    <w:rPr>
                      <w:bCs/>
                      <w:color w:val="auto"/>
                      <w:szCs w:val="21"/>
                    </w:rPr>
                    <w:t>）</w:t>
                  </w:r>
                  <w:r>
                    <w:rPr>
                      <w:rFonts w:hint="eastAsia"/>
                      <w:bCs/>
                      <w:color w:val="auto"/>
                      <w:szCs w:val="21"/>
                      <w:highlight w:val="none"/>
                      <w:lang w:eastAsia="zh-CN"/>
                    </w:rPr>
                    <w:t>过渡阶段</w:t>
                  </w:r>
                  <w:r>
                    <w:rPr>
                      <w:bCs/>
                      <w:color w:val="auto"/>
                      <w:szCs w:val="21"/>
                    </w:rPr>
                    <w:t>二级标准</w:t>
                  </w:r>
                </w:p>
              </w:tc>
              <w:tc>
                <w:tcPr>
                  <w:tcW w:w="514" w:type="pct"/>
                  <w:vAlign w:val="center"/>
                </w:tcPr>
                <w:p w14:paraId="5683843C">
                  <w:pPr>
                    <w:autoSpaceDE w:val="0"/>
                    <w:autoSpaceDN w:val="0"/>
                    <w:jc w:val="center"/>
                    <w:rPr>
                      <w:rFonts w:hint="eastAsia" w:eastAsia="宋体"/>
                      <w:color w:val="auto"/>
                      <w:kern w:val="0"/>
                      <w:szCs w:val="21"/>
                      <w:lang w:eastAsia="zh-CN"/>
                    </w:rPr>
                  </w:pPr>
                  <w:r>
                    <w:rPr>
                      <w:rFonts w:hint="eastAsia"/>
                      <w:color w:val="auto"/>
                      <w:kern w:val="0"/>
                      <w:szCs w:val="21"/>
                      <w:lang w:val="en-US" w:eastAsia="zh-CN"/>
                    </w:rPr>
                    <w:t>N</w:t>
                  </w:r>
                </w:p>
              </w:tc>
              <w:tc>
                <w:tcPr>
                  <w:tcW w:w="644" w:type="pct"/>
                  <w:vAlign w:val="center"/>
                </w:tcPr>
                <w:p w14:paraId="0E74DCA6">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413</w:t>
                  </w:r>
                </w:p>
              </w:tc>
            </w:tr>
            <w:tr w14:paraId="382A6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535F2455">
                  <w:pPr>
                    <w:widowControl/>
                    <w:jc w:val="center"/>
                    <w:rPr>
                      <w:color w:val="auto"/>
                      <w:kern w:val="0"/>
                      <w:szCs w:val="21"/>
                    </w:rPr>
                  </w:pPr>
                </w:p>
              </w:tc>
              <w:tc>
                <w:tcPr>
                  <w:tcW w:w="1500" w:type="pct"/>
                  <w:vAlign w:val="center"/>
                </w:tcPr>
                <w:p w14:paraId="0401A840">
                  <w:pPr>
                    <w:widowControl/>
                    <w:jc w:val="center"/>
                    <w:rPr>
                      <w:rFonts w:hint="eastAsia" w:eastAsia="宋体"/>
                      <w:color w:val="auto"/>
                      <w:kern w:val="0"/>
                      <w:szCs w:val="21"/>
                      <w:lang w:eastAsia="zh-CN"/>
                    </w:rPr>
                  </w:pPr>
                  <w:r>
                    <w:rPr>
                      <w:rFonts w:hint="eastAsia"/>
                      <w:color w:val="auto"/>
                      <w:kern w:val="0"/>
                      <w:szCs w:val="21"/>
                      <w:lang w:eastAsia="zh-CN"/>
                    </w:rPr>
                    <w:t>山障埠村</w:t>
                  </w:r>
                </w:p>
              </w:tc>
              <w:tc>
                <w:tcPr>
                  <w:tcW w:w="635" w:type="pct"/>
                  <w:vAlign w:val="center"/>
                </w:tcPr>
                <w:p w14:paraId="4EA04AC8">
                  <w:pPr>
                    <w:widowControl/>
                    <w:jc w:val="center"/>
                    <w:rPr>
                      <w:color w:val="auto"/>
                      <w:kern w:val="0"/>
                      <w:szCs w:val="21"/>
                    </w:rPr>
                  </w:pPr>
                  <w:r>
                    <w:rPr>
                      <w:color w:val="auto"/>
                      <w:kern w:val="0"/>
                      <w:szCs w:val="21"/>
                    </w:rPr>
                    <w:t>居民</w:t>
                  </w:r>
                </w:p>
              </w:tc>
              <w:tc>
                <w:tcPr>
                  <w:tcW w:w="1222" w:type="pct"/>
                  <w:vMerge w:val="continue"/>
                  <w:vAlign w:val="center"/>
                </w:tcPr>
                <w:p w14:paraId="7661C8F3">
                  <w:pPr>
                    <w:autoSpaceDE w:val="0"/>
                    <w:autoSpaceDN w:val="0"/>
                    <w:jc w:val="center"/>
                    <w:rPr>
                      <w:bCs/>
                      <w:color w:val="auto"/>
                      <w:szCs w:val="21"/>
                    </w:rPr>
                  </w:pPr>
                </w:p>
              </w:tc>
              <w:tc>
                <w:tcPr>
                  <w:tcW w:w="514" w:type="pct"/>
                  <w:vAlign w:val="center"/>
                </w:tcPr>
                <w:p w14:paraId="2066FA81">
                  <w:pPr>
                    <w:autoSpaceDE w:val="0"/>
                    <w:autoSpaceDN w:val="0"/>
                    <w:jc w:val="center"/>
                    <w:rPr>
                      <w:rFonts w:hint="eastAsia" w:eastAsia="宋体"/>
                      <w:color w:val="auto"/>
                      <w:kern w:val="0"/>
                      <w:szCs w:val="21"/>
                      <w:lang w:eastAsia="zh-CN"/>
                    </w:rPr>
                  </w:pPr>
                  <w:r>
                    <w:rPr>
                      <w:rFonts w:hint="eastAsia"/>
                      <w:color w:val="auto"/>
                      <w:kern w:val="0"/>
                      <w:szCs w:val="21"/>
                      <w:lang w:val="en-US" w:eastAsia="zh-CN"/>
                    </w:rPr>
                    <w:t>WN</w:t>
                  </w:r>
                </w:p>
              </w:tc>
              <w:tc>
                <w:tcPr>
                  <w:tcW w:w="644" w:type="pct"/>
                  <w:vAlign w:val="center"/>
                </w:tcPr>
                <w:p w14:paraId="29A4F3D1">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14</w:t>
                  </w:r>
                </w:p>
              </w:tc>
            </w:tr>
            <w:tr w14:paraId="0391B0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4CE3D902">
                  <w:pPr>
                    <w:widowControl/>
                    <w:jc w:val="center"/>
                    <w:rPr>
                      <w:color w:val="auto"/>
                      <w:kern w:val="0"/>
                      <w:szCs w:val="21"/>
                    </w:rPr>
                  </w:pPr>
                </w:p>
              </w:tc>
              <w:tc>
                <w:tcPr>
                  <w:tcW w:w="1500" w:type="pct"/>
                  <w:vAlign w:val="center"/>
                </w:tcPr>
                <w:p w14:paraId="5C08FC3D">
                  <w:pPr>
                    <w:widowControl/>
                    <w:jc w:val="center"/>
                    <w:rPr>
                      <w:rFonts w:hint="eastAsia" w:eastAsia="宋体"/>
                      <w:color w:val="auto"/>
                      <w:kern w:val="0"/>
                      <w:szCs w:val="21"/>
                      <w:lang w:eastAsia="zh-CN"/>
                    </w:rPr>
                  </w:pPr>
                  <w:r>
                    <w:rPr>
                      <w:rFonts w:hint="eastAsia"/>
                      <w:color w:val="auto"/>
                      <w:kern w:val="0"/>
                      <w:szCs w:val="21"/>
                      <w:lang w:eastAsia="zh-CN"/>
                    </w:rPr>
                    <w:t>银河小区</w:t>
                  </w:r>
                </w:p>
              </w:tc>
              <w:tc>
                <w:tcPr>
                  <w:tcW w:w="635" w:type="pct"/>
                  <w:vAlign w:val="center"/>
                </w:tcPr>
                <w:p w14:paraId="5FC19A2F">
                  <w:pPr>
                    <w:widowControl/>
                    <w:jc w:val="center"/>
                    <w:rPr>
                      <w:color w:val="auto"/>
                      <w:kern w:val="0"/>
                      <w:szCs w:val="21"/>
                    </w:rPr>
                  </w:pPr>
                  <w:r>
                    <w:rPr>
                      <w:color w:val="auto"/>
                      <w:kern w:val="0"/>
                      <w:szCs w:val="21"/>
                    </w:rPr>
                    <w:t>居民</w:t>
                  </w:r>
                </w:p>
              </w:tc>
              <w:tc>
                <w:tcPr>
                  <w:tcW w:w="1222" w:type="pct"/>
                  <w:vMerge w:val="continue"/>
                  <w:vAlign w:val="center"/>
                </w:tcPr>
                <w:p w14:paraId="2144D7BD">
                  <w:pPr>
                    <w:autoSpaceDE w:val="0"/>
                    <w:autoSpaceDN w:val="0"/>
                    <w:jc w:val="center"/>
                    <w:rPr>
                      <w:color w:val="auto"/>
                      <w:szCs w:val="21"/>
                    </w:rPr>
                  </w:pPr>
                </w:p>
              </w:tc>
              <w:tc>
                <w:tcPr>
                  <w:tcW w:w="514" w:type="pct"/>
                  <w:vAlign w:val="center"/>
                </w:tcPr>
                <w:p w14:paraId="69153F41">
                  <w:pPr>
                    <w:autoSpaceDE w:val="0"/>
                    <w:autoSpaceDN w:val="0"/>
                    <w:jc w:val="center"/>
                    <w:rPr>
                      <w:rFonts w:hint="eastAsia" w:eastAsia="宋体"/>
                      <w:color w:val="auto"/>
                      <w:kern w:val="0"/>
                      <w:szCs w:val="21"/>
                      <w:lang w:eastAsia="zh-CN"/>
                    </w:rPr>
                  </w:pPr>
                  <w:r>
                    <w:rPr>
                      <w:rFonts w:hint="eastAsia"/>
                      <w:color w:val="auto"/>
                      <w:kern w:val="0"/>
                      <w:szCs w:val="21"/>
                      <w:lang w:val="en-US" w:eastAsia="zh-CN"/>
                    </w:rPr>
                    <w:t>S</w:t>
                  </w:r>
                </w:p>
              </w:tc>
              <w:tc>
                <w:tcPr>
                  <w:tcW w:w="644" w:type="pct"/>
                  <w:vAlign w:val="center"/>
                </w:tcPr>
                <w:p w14:paraId="6F289965">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342</w:t>
                  </w:r>
                </w:p>
              </w:tc>
            </w:tr>
            <w:tr w14:paraId="651C01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07292AE0">
                  <w:pPr>
                    <w:widowControl/>
                    <w:jc w:val="center"/>
                    <w:rPr>
                      <w:color w:val="auto"/>
                      <w:kern w:val="0"/>
                      <w:szCs w:val="21"/>
                    </w:rPr>
                  </w:pPr>
                </w:p>
              </w:tc>
              <w:tc>
                <w:tcPr>
                  <w:tcW w:w="1500" w:type="pct"/>
                  <w:vAlign w:val="center"/>
                </w:tcPr>
                <w:p w14:paraId="515E837A">
                  <w:pPr>
                    <w:widowControl/>
                    <w:jc w:val="center"/>
                    <w:rPr>
                      <w:rFonts w:hint="eastAsia" w:eastAsia="宋体"/>
                      <w:color w:val="auto"/>
                      <w:kern w:val="0"/>
                      <w:szCs w:val="21"/>
                      <w:lang w:eastAsia="zh-CN"/>
                    </w:rPr>
                  </w:pPr>
                  <w:r>
                    <w:rPr>
                      <w:rFonts w:hint="eastAsia"/>
                      <w:color w:val="auto"/>
                      <w:kern w:val="0"/>
                      <w:szCs w:val="21"/>
                      <w:lang w:eastAsia="zh-CN"/>
                    </w:rPr>
                    <w:t>清泉村</w:t>
                  </w:r>
                </w:p>
              </w:tc>
              <w:tc>
                <w:tcPr>
                  <w:tcW w:w="635" w:type="pct"/>
                  <w:vAlign w:val="center"/>
                </w:tcPr>
                <w:p w14:paraId="31E6D0B0">
                  <w:pPr>
                    <w:widowControl/>
                    <w:jc w:val="center"/>
                    <w:rPr>
                      <w:color w:val="auto"/>
                      <w:kern w:val="0"/>
                      <w:szCs w:val="21"/>
                    </w:rPr>
                  </w:pPr>
                  <w:r>
                    <w:rPr>
                      <w:color w:val="auto"/>
                      <w:kern w:val="0"/>
                      <w:szCs w:val="21"/>
                    </w:rPr>
                    <w:t>居民</w:t>
                  </w:r>
                </w:p>
              </w:tc>
              <w:tc>
                <w:tcPr>
                  <w:tcW w:w="1222" w:type="pct"/>
                  <w:vMerge w:val="continue"/>
                  <w:vAlign w:val="center"/>
                </w:tcPr>
                <w:p w14:paraId="7EE0C2F4">
                  <w:pPr>
                    <w:autoSpaceDE w:val="0"/>
                    <w:autoSpaceDN w:val="0"/>
                    <w:jc w:val="center"/>
                    <w:rPr>
                      <w:color w:val="auto"/>
                      <w:szCs w:val="21"/>
                    </w:rPr>
                  </w:pPr>
                </w:p>
              </w:tc>
              <w:tc>
                <w:tcPr>
                  <w:tcW w:w="514" w:type="pct"/>
                  <w:vAlign w:val="center"/>
                </w:tcPr>
                <w:p w14:paraId="0FA414BD">
                  <w:pPr>
                    <w:autoSpaceDE w:val="0"/>
                    <w:autoSpaceDN w:val="0"/>
                    <w:jc w:val="center"/>
                    <w:rPr>
                      <w:color w:val="auto"/>
                      <w:kern w:val="0"/>
                      <w:szCs w:val="21"/>
                    </w:rPr>
                  </w:pPr>
                  <w:r>
                    <w:rPr>
                      <w:color w:val="auto"/>
                      <w:kern w:val="0"/>
                      <w:szCs w:val="21"/>
                    </w:rPr>
                    <w:t>S</w:t>
                  </w:r>
                </w:p>
              </w:tc>
              <w:tc>
                <w:tcPr>
                  <w:tcW w:w="644" w:type="pct"/>
                  <w:vAlign w:val="center"/>
                </w:tcPr>
                <w:p w14:paraId="24BC4126">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482</w:t>
                  </w:r>
                </w:p>
              </w:tc>
            </w:tr>
            <w:tr w14:paraId="7EA514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7E81F679">
                  <w:pPr>
                    <w:widowControl/>
                    <w:jc w:val="center"/>
                    <w:rPr>
                      <w:color w:val="auto"/>
                      <w:kern w:val="0"/>
                      <w:szCs w:val="21"/>
                    </w:rPr>
                  </w:pPr>
                </w:p>
              </w:tc>
              <w:tc>
                <w:tcPr>
                  <w:tcW w:w="1500" w:type="pct"/>
                  <w:vAlign w:val="center"/>
                </w:tcPr>
                <w:p w14:paraId="5AD96DF3">
                  <w:pPr>
                    <w:widowControl/>
                    <w:jc w:val="center"/>
                    <w:rPr>
                      <w:rFonts w:hint="eastAsia" w:eastAsia="宋体"/>
                      <w:color w:val="auto"/>
                      <w:kern w:val="0"/>
                      <w:szCs w:val="21"/>
                      <w:lang w:eastAsia="zh-CN"/>
                    </w:rPr>
                  </w:pPr>
                  <w:r>
                    <w:rPr>
                      <w:rFonts w:hint="eastAsia"/>
                      <w:color w:val="auto"/>
                      <w:kern w:val="0"/>
                      <w:szCs w:val="21"/>
                      <w:lang w:eastAsia="zh-CN"/>
                    </w:rPr>
                    <w:t>李家村</w:t>
                  </w:r>
                </w:p>
              </w:tc>
              <w:tc>
                <w:tcPr>
                  <w:tcW w:w="635" w:type="pct"/>
                  <w:vAlign w:val="center"/>
                </w:tcPr>
                <w:p w14:paraId="625BF5FE">
                  <w:pPr>
                    <w:widowControl/>
                    <w:jc w:val="center"/>
                    <w:rPr>
                      <w:color w:val="auto"/>
                      <w:kern w:val="0"/>
                      <w:szCs w:val="21"/>
                    </w:rPr>
                  </w:pPr>
                  <w:r>
                    <w:rPr>
                      <w:color w:val="auto"/>
                      <w:kern w:val="0"/>
                      <w:szCs w:val="21"/>
                    </w:rPr>
                    <w:t>居民</w:t>
                  </w:r>
                </w:p>
              </w:tc>
              <w:tc>
                <w:tcPr>
                  <w:tcW w:w="1222" w:type="pct"/>
                  <w:vMerge w:val="continue"/>
                  <w:vAlign w:val="center"/>
                </w:tcPr>
                <w:p w14:paraId="7CF8EEA1">
                  <w:pPr>
                    <w:autoSpaceDE w:val="0"/>
                    <w:autoSpaceDN w:val="0"/>
                    <w:jc w:val="center"/>
                    <w:rPr>
                      <w:color w:val="auto"/>
                      <w:szCs w:val="21"/>
                    </w:rPr>
                  </w:pPr>
                </w:p>
              </w:tc>
              <w:tc>
                <w:tcPr>
                  <w:tcW w:w="514" w:type="pct"/>
                  <w:vAlign w:val="center"/>
                </w:tcPr>
                <w:p w14:paraId="74E7A320">
                  <w:pPr>
                    <w:autoSpaceDE w:val="0"/>
                    <w:autoSpaceDN w:val="0"/>
                    <w:jc w:val="center"/>
                    <w:rPr>
                      <w:color w:val="auto"/>
                      <w:kern w:val="0"/>
                      <w:szCs w:val="21"/>
                    </w:rPr>
                  </w:pPr>
                  <w:r>
                    <w:rPr>
                      <w:color w:val="auto"/>
                      <w:kern w:val="0"/>
                      <w:szCs w:val="21"/>
                    </w:rPr>
                    <w:t>S</w:t>
                  </w:r>
                </w:p>
              </w:tc>
              <w:tc>
                <w:tcPr>
                  <w:tcW w:w="644" w:type="pct"/>
                  <w:vAlign w:val="center"/>
                </w:tcPr>
                <w:p w14:paraId="756A0094">
                  <w:pPr>
                    <w:autoSpaceDE w:val="0"/>
                    <w:autoSpaceDN w:val="0"/>
                    <w:jc w:val="center"/>
                    <w:rPr>
                      <w:color w:val="auto"/>
                      <w:kern w:val="0"/>
                      <w:szCs w:val="21"/>
                    </w:rPr>
                  </w:pPr>
                  <w:r>
                    <w:rPr>
                      <w:color w:val="auto"/>
                      <w:kern w:val="0"/>
                      <w:szCs w:val="21"/>
                    </w:rPr>
                    <w:t>紧邻</w:t>
                  </w:r>
                </w:p>
              </w:tc>
            </w:tr>
            <w:tr w14:paraId="01BB97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1E15C08E">
                  <w:pPr>
                    <w:widowControl/>
                    <w:jc w:val="center"/>
                    <w:rPr>
                      <w:color w:val="auto"/>
                      <w:kern w:val="0"/>
                      <w:szCs w:val="21"/>
                    </w:rPr>
                  </w:pPr>
                </w:p>
              </w:tc>
              <w:tc>
                <w:tcPr>
                  <w:tcW w:w="1500" w:type="pct"/>
                  <w:vAlign w:val="center"/>
                </w:tcPr>
                <w:p w14:paraId="4388CD7F">
                  <w:pPr>
                    <w:widowControl/>
                    <w:jc w:val="center"/>
                    <w:rPr>
                      <w:rFonts w:hint="eastAsia" w:eastAsia="宋体"/>
                      <w:color w:val="auto"/>
                      <w:kern w:val="0"/>
                      <w:szCs w:val="21"/>
                      <w:lang w:eastAsia="zh-CN"/>
                    </w:rPr>
                  </w:pPr>
                  <w:r>
                    <w:rPr>
                      <w:rFonts w:hint="eastAsia"/>
                      <w:color w:val="auto"/>
                      <w:kern w:val="0"/>
                      <w:szCs w:val="21"/>
                      <w:lang w:eastAsia="zh-CN"/>
                    </w:rPr>
                    <w:t>青龙村</w:t>
                  </w:r>
                </w:p>
              </w:tc>
              <w:tc>
                <w:tcPr>
                  <w:tcW w:w="635" w:type="pct"/>
                  <w:vAlign w:val="center"/>
                </w:tcPr>
                <w:p w14:paraId="724046AB">
                  <w:pPr>
                    <w:widowControl/>
                    <w:jc w:val="center"/>
                    <w:rPr>
                      <w:color w:val="auto"/>
                      <w:kern w:val="0"/>
                      <w:szCs w:val="21"/>
                    </w:rPr>
                  </w:pPr>
                  <w:r>
                    <w:rPr>
                      <w:color w:val="auto"/>
                      <w:kern w:val="0"/>
                      <w:szCs w:val="21"/>
                    </w:rPr>
                    <w:t>居民</w:t>
                  </w:r>
                </w:p>
              </w:tc>
              <w:tc>
                <w:tcPr>
                  <w:tcW w:w="1222" w:type="pct"/>
                  <w:vMerge w:val="continue"/>
                  <w:vAlign w:val="center"/>
                </w:tcPr>
                <w:p w14:paraId="26E3FD8B">
                  <w:pPr>
                    <w:autoSpaceDE w:val="0"/>
                    <w:autoSpaceDN w:val="0"/>
                    <w:jc w:val="center"/>
                    <w:rPr>
                      <w:color w:val="auto"/>
                      <w:szCs w:val="21"/>
                    </w:rPr>
                  </w:pPr>
                </w:p>
              </w:tc>
              <w:tc>
                <w:tcPr>
                  <w:tcW w:w="514" w:type="pct"/>
                  <w:vAlign w:val="center"/>
                </w:tcPr>
                <w:p w14:paraId="138274DF">
                  <w:pPr>
                    <w:autoSpaceDE w:val="0"/>
                    <w:autoSpaceDN w:val="0"/>
                    <w:jc w:val="center"/>
                    <w:rPr>
                      <w:rFonts w:hint="eastAsia" w:eastAsia="宋体"/>
                      <w:color w:val="auto"/>
                      <w:kern w:val="0"/>
                      <w:szCs w:val="21"/>
                      <w:lang w:eastAsia="zh-CN"/>
                    </w:rPr>
                  </w:pPr>
                  <w:r>
                    <w:rPr>
                      <w:rFonts w:hint="eastAsia"/>
                      <w:color w:val="auto"/>
                      <w:kern w:val="0"/>
                      <w:szCs w:val="21"/>
                      <w:lang w:val="en-US" w:eastAsia="zh-CN"/>
                    </w:rPr>
                    <w:t>S</w:t>
                  </w:r>
                </w:p>
              </w:tc>
              <w:tc>
                <w:tcPr>
                  <w:tcW w:w="644" w:type="pct"/>
                  <w:vAlign w:val="center"/>
                </w:tcPr>
                <w:p w14:paraId="0ECA4B68">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466</w:t>
                  </w:r>
                </w:p>
              </w:tc>
            </w:tr>
            <w:tr w14:paraId="69DE25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14B74303">
                  <w:pPr>
                    <w:widowControl/>
                    <w:jc w:val="center"/>
                    <w:rPr>
                      <w:color w:val="auto"/>
                      <w:kern w:val="0"/>
                      <w:szCs w:val="21"/>
                    </w:rPr>
                  </w:pPr>
                </w:p>
              </w:tc>
              <w:tc>
                <w:tcPr>
                  <w:tcW w:w="1500" w:type="pct"/>
                  <w:vAlign w:val="center"/>
                </w:tcPr>
                <w:p w14:paraId="5592782C">
                  <w:pPr>
                    <w:widowControl/>
                    <w:jc w:val="center"/>
                    <w:rPr>
                      <w:rFonts w:hint="eastAsia" w:eastAsia="宋体"/>
                      <w:color w:val="auto"/>
                      <w:kern w:val="0"/>
                      <w:szCs w:val="21"/>
                      <w:lang w:eastAsia="zh-CN"/>
                    </w:rPr>
                  </w:pPr>
                  <w:r>
                    <w:rPr>
                      <w:rFonts w:hint="eastAsia"/>
                      <w:color w:val="auto"/>
                      <w:kern w:val="0"/>
                      <w:szCs w:val="21"/>
                      <w:lang w:eastAsia="zh-CN"/>
                    </w:rPr>
                    <w:t>开河村</w:t>
                  </w:r>
                </w:p>
              </w:tc>
              <w:tc>
                <w:tcPr>
                  <w:tcW w:w="635" w:type="pct"/>
                  <w:vAlign w:val="center"/>
                </w:tcPr>
                <w:p w14:paraId="6F1915A9">
                  <w:pPr>
                    <w:widowControl/>
                    <w:jc w:val="center"/>
                    <w:rPr>
                      <w:color w:val="auto"/>
                      <w:kern w:val="0"/>
                      <w:szCs w:val="21"/>
                    </w:rPr>
                  </w:pPr>
                  <w:r>
                    <w:rPr>
                      <w:color w:val="auto"/>
                      <w:kern w:val="0"/>
                      <w:szCs w:val="21"/>
                    </w:rPr>
                    <w:t>居民</w:t>
                  </w:r>
                </w:p>
              </w:tc>
              <w:tc>
                <w:tcPr>
                  <w:tcW w:w="1222" w:type="pct"/>
                  <w:vMerge w:val="continue"/>
                  <w:vAlign w:val="center"/>
                </w:tcPr>
                <w:p w14:paraId="3060E0E4">
                  <w:pPr>
                    <w:autoSpaceDE w:val="0"/>
                    <w:autoSpaceDN w:val="0"/>
                    <w:jc w:val="center"/>
                    <w:rPr>
                      <w:color w:val="auto"/>
                      <w:szCs w:val="21"/>
                    </w:rPr>
                  </w:pPr>
                </w:p>
              </w:tc>
              <w:tc>
                <w:tcPr>
                  <w:tcW w:w="514" w:type="pct"/>
                  <w:shd w:val="clear" w:color="auto" w:fill="auto"/>
                  <w:vAlign w:val="center"/>
                </w:tcPr>
                <w:p w14:paraId="0FA06545">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N</w:t>
                  </w:r>
                </w:p>
              </w:tc>
              <w:tc>
                <w:tcPr>
                  <w:tcW w:w="644" w:type="pct"/>
                  <w:shd w:val="clear" w:color="auto" w:fill="auto"/>
                  <w:vAlign w:val="center"/>
                </w:tcPr>
                <w:p w14:paraId="1759C4C3">
                  <w:pPr>
                    <w:autoSpaceDE w:val="0"/>
                    <w:autoSpaceDN w:val="0"/>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9</w:t>
                  </w:r>
                </w:p>
              </w:tc>
            </w:tr>
            <w:tr w14:paraId="10AC67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0A484C91">
                  <w:pPr>
                    <w:widowControl/>
                    <w:jc w:val="center"/>
                    <w:rPr>
                      <w:color w:val="auto"/>
                      <w:kern w:val="0"/>
                      <w:szCs w:val="21"/>
                    </w:rPr>
                  </w:pPr>
                </w:p>
              </w:tc>
              <w:tc>
                <w:tcPr>
                  <w:tcW w:w="1500" w:type="pct"/>
                  <w:vAlign w:val="center"/>
                </w:tcPr>
                <w:p w14:paraId="12AE0642">
                  <w:pPr>
                    <w:widowControl/>
                    <w:jc w:val="center"/>
                    <w:rPr>
                      <w:rFonts w:hint="eastAsia" w:eastAsia="宋体"/>
                      <w:color w:val="auto"/>
                      <w:kern w:val="0"/>
                      <w:szCs w:val="21"/>
                      <w:lang w:eastAsia="zh-CN"/>
                    </w:rPr>
                  </w:pPr>
                  <w:r>
                    <w:rPr>
                      <w:rFonts w:hint="eastAsia"/>
                      <w:color w:val="auto"/>
                      <w:kern w:val="0"/>
                      <w:szCs w:val="21"/>
                      <w:lang w:eastAsia="zh-CN"/>
                    </w:rPr>
                    <w:t>东平村</w:t>
                  </w:r>
                </w:p>
              </w:tc>
              <w:tc>
                <w:tcPr>
                  <w:tcW w:w="635" w:type="pct"/>
                  <w:vAlign w:val="center"/>
                </w:tcPr>
                <w:p w14:paraId="3932D291">
                  <w:pPr>
                    <w:widowControl/>
                    <w:jc w:val="center"/>
                    <w:rPr>
                      <w:color w:val="auto"/>
                      <w:kern w:val="0"/>
                      <w:szCs w:val="21"/>
                    </w:rPr>
                  </w:pPr>
                  <w:r>
                    <w:rPr>
                      <w:color w:val="auto"/>
                      <w:kern w:val="0"/>
                      <w:szCs w:val="21"/>
                    </w:rPr>
                    <w:t>居民</w:t>
                  </w:r>
                </w:p>
              </w:tc>
              <w:tc>
                <w:tcPr>
                  <w:tcW w:w="1222" w:type="pct"/>
                  <w:vMerge w:val="continue"/>
                  <w:vAlign w:val="center"/>
                </w:tcPr>
                <w:p w14:paraId="6DC4CE2E">
                  <w:pPr>
                    <w:autoSpaceDE w:val="0"/>
                    <w:autoSpaceDN w:val="0"/>
                    <w:jc w:val="center"/>
                    <w:rPr>
                      <w:color w:val="auto"/>
                      <w:szCs w:val="21"/>
                    </w:rPr>
                  </w:pPr>
                </w:p>
              </w:tc>
              <w:tc>
                <w:tcPr>
                  <w:tcW w:w="514" w:type="pct"/>
                  <w:vAlign w:val="center"/>
                </w:tcPr>
                <w:p w14:paraId="32269BD2">
                  <w:pPr>
                    <w:autoSpaceDE w:val="0"/>
                    <w:autoSpaceDN w:val="0"/>
                    <w:jc w:val="center"/>
                    <w:rPr>
                      <w:color w:val="auto"/>
                      <w:kern w:val="0"/>
                      <w:szCs w:val="21"/>
                    </w:rPr>
                  </w:pPr>
                  <w:r>
                    <w:rPr>
                      <w:color w:val="auto"/>
                      <w:kern w:val="0"/>
                      <w:szCs w:val="21"/>
                    </w:rPr>
                    <w:t>S</w:t>
                  </w:r>
                </w:p>
              </w:tc>
              <w:tc>
                <w:tcPr>
                  <w:tcW w:w="644" w:type="pct"/>
                  <w:vAlign w:val="center"/>
                </w:tcPr>
                <w:p w14:paraId="0E348A5A">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471</w:t>
                  </w:r>
                </w:p>
              </w:tc>
            </w:tr>
            <w:tr w14:paraId="301B63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745165AA">
                  <w:pPr>
                    <w:widowControl/>
                    <w:jc w:val="center"/>
                    <w:rPr>
                      <w:color w:val="auto"/>
                      <w:kern w:val="0"/>
                      <w:szCs w:val="21"/>
                    </w:rPr>
                  </w:pPr>
                  <w:r>
                    <w:rPr>
                      <w:color w:val="auto"/>
                      <w:kern w:val="0"/>
                      <w:szCs w:val="21"/>
                    </w:rPr>
                    <w:t>声环境</w:t>
                  </w:r>
                </w:p>
              </w:tc>
              <w:tc>
                <w:tcPr>
                  <w:tcW w:w="1500" w:type="pct"/>
                  <w:shd w:val="clear" w:color="auto" w:fill="auto"/>
                  <w:vAlign w:val="center"/>
                </w:tcPr>
                <w:p w14:paraId="71B616BA">
                  <w:pPr>
                    <w:widowControl/>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eastAsia="zh-CN"/>
                    </w:rPr>
                    <w:t>李家村</w:t>
                  </w:r>
                </w:p>
              </w:tc>
              <w:tc>
                <w:tcPr>
                  <w:tcW w:w="635" w:type="pct"/>
                  <w:shd w:val="clear" w:color="auto" w:fill="auto"/>
                  <w:vAlign w:val="center"/>
                </w:tcPr>
                <w:p w14:paraId="7192D407">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restart"/>
                  <w:vAlign w:val="center"/>
                </w:tcPr>
                <w:p w14:paraId="28DD177E">
                  <w:pPr>
                    <w:autoSpaceDE w:val="0"/>
                    <w:autoSpaceDN w:val="0"/>
                    <w:jc w:val="center"/>
                    <w:rPr>
                      <w:color w:val="auto"/>
                      <w:szCs w:val="21"/>
                    </w:rPr>
                  </w:pPr>
                  <w:r>
                    <w:rPr>
                      <w:color w:val="auto"/>
                      <w:szCs w:val="21"/>
                    </w:rPr>
                    <w:t>《声环境质量标准》（GB3096-2008）的2类声环境功能区要求</w:t>
                  </w:r>
                </w:p>
              </w:tc>
              <w:tc>
                <w:tcPr>
                  <w:tcW w:w="514" w:type="pct"/>
                  <w:shd w:val="clear" w:color="auto" w:fill="auto"/>
                  <w:vAlign w:val="center"/>
                </w:tcPr>
                <w:p w14:paraId="44DAF57F">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S</w:t>
                  </w:r>
                </w:p>
              </w:tc>
              <w:tc>
                <w:tcPr>
                  <w:tcW w:w="644" w:type="pct"/>
                  <w:shd w:val="clear" w:color="auto" w:fill="auto"/>
                  <w:vAlign w:val="center"/>
                </w:tcPr>
                <w:p w14:paraId="1F08CFDF">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紧邻</w:t>
                  </w:r>
                </w:p>
              </w:tc>
            </w:tr>
            <w:tr w14:paraId="5C858D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25C3DB0C">
                  <w:pPr>
                    <w:widowControl/>
                    <w:jc w:val="center"/>
                    <w:rPr>
                      <w:color w:val="auto"/>
                      <w:kern w:val="0"/>
                      <w:szCs w:val="21"/>
                    </w:rPr>
                  </w:pPr>
                </w:p>
              </w:tc>
              <w:tc>
                <w:tcPr>
                  <w:tcW w:w="1500" w:type="pct"/>
                  <w:shd w:val="clear" w:color="auto" w:fill="auto"/>
                  <w:vAlign w:val="center"/>
                </w:tcPr>
                <w:p w14:paraId="65B716C7">
                  <w:pPr>
                    <w:widowControl/>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eastAsia="zh-CN"/>
                    </w:rPr>
                    <w:t>山障埠村</w:t>
                  </w:r>
                </w:p>
              </w:tc>
              <w:tc>
                <w:tcPr>
                  <w:tcW w:w="635" w:type="pct"/>
                  <w:shd w:val="clear" w:color="auto" w:fill="auto"/>
                  <w:vAlign w:val="center"/>
                </w:tcPr>
                <w:p w14:paraId="3BF1ABB5">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4155094F">
                  <w:pPr>
                    <w:autoSpaceDE w:val="0"/>
                    <w:autoSpaceDN w:val="0"/>
                    <w:jc w:val="center"/>
                    <w:rPr>
                      <w:color w:val="auto"/>
                      <w:szCs w:val="21"/>
                    </w:rPr>
                  </w:pPr>
                </w:p>
              </w:tc>
              <w:tc>
                <w:tcPr>
                  <w:tcW w:w="514" w:type="pct"/>
                  <w:shd w:val="clear" w:color="auto" w:fill="auto"/>
                  <w:vAlign w:val="center"/>
                </w:tcPr>
                <w:p w14:paraId="7652EB45">
                  <w:pPr>
                    <w:autoSpaceDE w:val="0"/>
                    <w:autoSpaceDN w:val="0"/>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WN</w:t>
                  </w:r>
                </w:p>
              </w:tc>
              <w:tc>
                <w:tcPr>
                  <w:tcW w:w="644" w:type="pct"/>
                  <w:shd w:val="clear" w:color="auto" w:fill="auto"/>
                  <w:vAlign w:val="center"/>
                </w:tcPr>
                <w:p w14:paraId="6618B285">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14</w:t>
                  </w:r>
                </w:p>
              </w:tc>
            </w:tr>
            <w:tr w14:paraId="3F4768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0A89CB64">
                  <w:pPr>
                    <w:widowControl/>
                    <w:jc w:val="center"/>
                    <w:rPr>
                      <w:color w:val="auto"/>
                      <w:kern w:val="0"/>
                      <w:szCs w:val="21"/>
                    </w:rPr>
                  </w:pPr>
                </w:p>
              </w:tc>
              <w:tc>
                <w:tcPr>
                  <w:tcW w:w="1500" w:type="pct"/>
                  <w:shd w:val="clear" w:color="auto" w:fill="auto"/>
                  <w:vAlign w:val="center"/>
                </w:tcPr>
                <w:p w14:paraId="634C72B3">
                  <w:pPr>
                    <w:widowControl/>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eastAsia="zh-CN"/>
                    </w:rPr>
                    <w:t>开河村</w:t>
                  </w:r>
                </w:p>
              </w:tc>
              <w:tc>
                <w:tcPr>
                  <w:tcW w:w="635" w:type="pct"/>
                  <w:shd w:val="clear" w:color="auto" w:fill="auto"/>
                  <w:vAlign w:val="center"/>
                </w:tcPr>
                <w:p w14:paraId="06D91FC9">
                  <w:pPr>
                    <w:widowControl/>
                    <w:jc w:val="center"/>
                    <w:rPr>
                      <w:rFonts w:ascii="Times New Roman" w:hAnsi="Times New Roman" w:eastAsia="宋体" w:cs="Times New Roman"/>
                      <w:color w:val="auto"/>
                      <w:kern w:val="0"/>
                      <w:sz w:val="21"/>
                      <w:szCs w:val="21"/>
                      <w:lang w:val="en-US" w:eastAsia="zh-CN" w:bidi="ar-SA"/>
                    </w:rPr>
                  </w:pPr>
                  <w:r>
                    <w:rPr>
                      <w:color w:val="auto"/>
                      <w:kern w:val="0"/>
                      <w:szCs w:val="21"/>
                    </w:rPr>
                    <w:t>居民</w:t>
                  </w:r>
                </w:p>
              </w:tc>
              <w:tc>
                <w:tcPr>
                  <w:tcW w:w="1222" w:type="pct"/>
                  <w:vMerge w:val="continue"/>
                  <w:vAlign w:val="center"/>
                </w:tcPr>
                <w:p w14:paraId="52A524EE">
                  <w:pPr>
                    <w:autoSpaceDE w:val="0"/>
                    <w:autoSpaceDN w:val="0"/>
                    <w:jc w:val="center"/>
                    <w:rPr>
                      <w:color w:val="auto"/>
                      <w:szCs w:val="21"/>
                    </w:rPr>
                  </w:pPr>
                </w:p>
              </w:tc>
              <w:tc>
                <w:tcPr>
                  <w:tcW w:w="514" w:type="pct"/>
                  <w:shd w:val="clear" w:color="auto" w:fill="auto"/>
                  <w:vAlign w:val="center"/>
                </w:tcPr>
                <w:p w14:paraId="2486A02B">
                  <w:pPr>
                    <w:autoSpaceDE w:val="0"/>
                    <w:autoSpaceDN w:val="0"/>
                    <w:jc w:val="center"/>
                    <w:rPr>
                      <w:rFonts w:ascii="Times New Roman" w:hAnsi="Times New Roman" w:eastAsia="宋体" w:cs="Times New Roman"/>
                      <w:color w:val="auto"/>
                      <w:kern w:val="0"/>
                      <w:sz w:val="21"/>
                      <w:szCs w:val="21"/>
                      <w:lang w:val="en-US" w:eastAsia="zh-CN" w:bidi="ar-SA"/>
                    </w:rPr>
                  </w:pPr>
                  <w:r>
                    <w:rPr>
                      <w:color w:val="auto"/>
                      <w:kern w:val="0"/>
                      <w:szCs w:val="21"/>
                    </w:rPr>
                    <w:t>N</w:t>
                  </w:r>
                </w:p>
              </w:tc>
              <w:tc>
                <w:tcPr>
                  <w:tcW w:w="644" w:type="pct"/>
                  <w:shd w:val="clear" w:color="auto" w:fill="auto"/>
                  <w:vAlign w:val="center"/>
                </w:tcPr>
                <w:p w14:paraId="5BBB6610">
                  <w:pPr>
                    <w:autoSpaceDE w:val="0"/>
                    <w:autoSpaceDN w:val="0"/>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9</w:t>
                  </w:r>
                </w:p>
              </w:tc>
            </w:tr>
            <w:tr w14:paraId="18025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27305B11">
                  <w:pPr>
                    <w:widowControl/>
                    <w:jc w:val="center"/>
                    <w:rPr>
                      <w:color w:val="auto"/>
                      <w:kern w:val="0"/>
                      <w:szCs w:val="21"/>
                    </w:rPr>
                  </w:pPr>
                  <w:r>
                    <w:rPr>
                      <w:color w:val="auto"/>
                      <w:kern w:val="0"/>
                      <w:szCs w:val="21"/>
                    </w:rPr>
                    <w:t>地下水环境</w:t>
                  </w:r>
                </w:p>
              </w:tc>
              <w:tc>
                <w:tcPr>
                  <w:tcW w:w="2136" w:type="pct"/>
                  <w:gridSpan w:val="2"/>
                  <w:vAlign w:val="center"/>
                </w:tcPr>
                <w:p w14:paraId="052257CC">
                  <w:pPr>
                    <w:widowControl/>
                    <w:jc w:val="center"/>
                    <w:rPr>
                      <w:color w:val="auto"/>
                      <w:kern w:val="0"/>
                      <w:szCs w:val="21"/>
                    </w:rPr>
                  </w:pPr>
                  <w:r>
                    <w:rPr>
                      <w:color w:val="auto"/>
                      <w:kern w:val="0"/>
                      <w:szCs w:val="21"/>
                    </w:rPr>
                    <w:t>厂界外500米范围内无地下水集中式饮用水源和热水、矿泉水、温泉等特殊地下水资源</w:t>
                  </w:r>
                </w:p>
              </w:tc>
              <w:tc>
                <w:tcPr>
                  <w:tcW w:w="1222" w:type="pct"/>
                  <w:vAlign w:val="center"/>
                </w:tcPr>
                <w:p w14:paraId="118EDE91">
                  <w:pPr>
                    <w:autoSpaceDE w:val="0"/>
                    <w:autoSpaceDN w:val="0"/>
                    <w:jc w:val="center"/>
                    <w:rPr>
                      <w:color w:val="auto"/>
                      <w:kern w:val="0"/>
                      <w:szCs w:val="21"/>
                    </w:rPr>
                  </w:pPr>
                  <w:r>
                    <w:rPr>
                      <w:color w:val="auto"/>
                      <w:szCs w:val="21"/>
                    </w:rPr>
                    <w:t>《地下水质量标准》（GB/T14848-2017）Ⅲ类标准</w:t>
                  </w:r>
                </w:p>
              </w:tc>
              <w:tc>
                <w:tcPr>
                  <w:tcW w:w="514" w:type="pct"/>
                  <w:vAlign w:val="center"/>
                </w:tcPr>
                <w:p w14:paraId="30FD0FA8">
                  <w:pPr>
                    <w:autoSpaceDE w:val="0"/>
                    <w:autoSpaceDN w:val="0"/>
                    <w:jc w:val="center"/>
                    <w:rPr>
                      <w:color w:val="auto"/>
                      <w:kern w:val="0"/>
                      <w:szCs w:val="21"/>
                    </w:rPr>
                  </w:pPr>
                  <w:r>
                    <w:rPr>
                      <w:color w:val="auto"/>
                      <w:kern w:val="0"/>
                      <w:szCs w:val="21"/>
                    </w:rPr>
                    <w:t>/</w:t>
                  </w:r>
                </w:p>
              </w:tc>
              <w:tc>
                <w:tcPr>
                  <w:tcW w:w="644" w:type="pct"/>
                  <w:vAlign w:val="center"/>
                </w:tcPr>
                <w:p w14:paraId="774E7599">
                  <w:pPr>
                    <w:autoSpaceDE w:val="0"/>
                    <w:autoSpaceDN w:val="0"/>
                    <w:jc w:val="center"/>
                    <w:rPr>
                      <w:color w:val="auto"/>
                      <w:kern w:val="0"/>
                      <w:szCs w:val="21"/>
                    </w:rPr>
                  </w:pPr>
                  <w:r>
                    <w:rPr>
                      <w:color w:val="auto"/>
                      <w:kern w:val="0"/>
                      <w:szCs w:val="21"/>
                    </w:rPr>
                    <w:t>/</w:t>
                  </w:r>
                </w:p>
              </w:tc>
            </w:tr>
            <w:tr w14:paraId="395F2D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2D1F4C46">
                  <w:pPr>
                    <w:jc w:val="center"/>
                    <w:rPr>
                      <w:color w:val="auto"/>
                      <w:kern w:val="0"/>
                      <w:szCs w:val="21"/>
                    </w:rPr>
                  </w:pPr>
                  <w:r>
                    <w:rPr>
                      <w:color w:val="auto"/>
                      <w:szCs w:val="21"/>
                    </w:rPr>
                    <w:t>地表水</w:t>
                  </w:r>
                </w:p>
              </w:tc>
              <w:tc>
                <w:tcPr>
                  <w:tcW w:w="2136" w:type="pct"/>
                  <w:gridSpan w:val="2"/>
                  <w:vAlign w:val="center"/>
                </w:tcPr>
                <w:p w14:paraId="24BDD945">
                  <w:pPr>
                    <w:jc w:val="center"/>
                    <w:rPr>
                      <w:color w:val="auto"/>
                      <w:kern w:val="0"/>
                      <w:szCs w:val="21"/>
                    </w:rPr>
                  </w:pPr>
                  <w:r>
                    <w:rPr>
                      <w:color w:val="auto"/>
                      <w:kern w:val="0"/>
                      <w:szCs w:val="21"/>
                    </w:rPr>
                    <w:t>白蛇沟</w:t>
                  </w:r>
                </w:p>
              </w:tc>
              <w:tc>
                <w:tcPr>
                  <w:tcW w:w="1222" w:type="pct"/>
                  <w:vAlign w:val="center"/>
                </w:tcPr>
                <w:p w14:paraId="2244FC9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bCs/>
                      <w:color w:val="auto"/>
                      <w:sz w:val="21"/>
                      <w:szCs w:val="21"/>
                    </w:rPr>
                    <w:t>V</w:t>
                  </w:r>
                  <w:r>
                    <w:rPr>
                      <w:rFonts w:hint="default" w:ascii="Times New Roman" w:hAnsi="Times New Roman" w:eastAsia="宋体" w:cs="Times New Roman"/>
                      <w:color w:val="auto"/>
                      <w:sz w:val="21"/>
                      <w:szCs w:val="21"/>
                    </w:rPr>
                    <w:t>类标准</w:t>
                  </w:r>
                </w:p>
              </w:tc>
              <w:tc>
                <w:tcPr>
                  <w:tcW w:w="1158" w:type="pct"/>
                  <w:gridSpan w:val="2"/>
                  <w:vAlign w:val="center"/>
                </w:tcPr>
                <w:p w14:paraId="4B9BF6FD">
                  <w:pPr>
                    <w:jc w:val="center"/>
                    <w:rPr>
                      <w:color w:val="auto"/>
                      <w:kern w:val="0"/>
                      <w:szCs w:val="21"/>
                    </w:rPr>
                  </w:pPr>
                  <w:r>
                    <w:rPr>
                      <w:color w:val="auto"/>
                      <w:kern w:val="0"/>
                      <w:szCs w:val="21"/>
                    </w:rPr>
                    <w:t>本次施工河道之一</w:t>
                  </w:r>
                </w:p>
              </w:tc>
            </w:tr>
            <w:tr w14:paraId="36D47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1364BFFE">
                  <w:pPr>
                    <w:jc w:val="center"/>
                    <w:rPr>
                      <w:color w:val="auto"/>
                      <w:szCs w:val="21"/>
                    </w:rPr>
                  </w:pPr>
                </w:p>
              </w:tc>
              <w:tc>
                <w:tcPr>
                  <w:tcW w:w="2136" w:type="pct"/>
                  <w:gridSpan w:val="2"/>
                  <w:vAlign w:val="center"/>
                </w:tcPr>
                <w:p w14:paraId="1B26275A">
                  <w:pPr>
                    <w:jc w:val="center"/>
                    <w:rPr>
                      <w:color w:val="auto"/>
                      <w:kern w:val="0"/>
                      <w:szCs w:val="21"/>
                    </w:rPr>
                  </w:pPr>
                  <w:r>
                    <w:rPr>
                      <w:color w:val="auto"/>
                      <w:kern w:val="0"/>
                      <w:szCs w:val="21"/>
                    </w:rPr>
                    <w:t>孝妇河</w:t>
                  </w:r>
                </w:p>
              </w:tc>
              <w:tc>
                <w:tcPr>
                  <w:tcW w:w="1222" w:type="pct"/>
                  <w:vAlign w:val="center"/>
                </w:tcPr>
                <w:p w14:paraId="21C0646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《地表水环境质量标准》（GB3838-2002）IV类标准</w:t>
                  </w:r>
                </w:p>
              </w:tc>
              <w:tc>
                <w:tcPr>
                  <w:tcW w:w="1158" w:type="pct"/>
                  <w:gridSpan w:val="2"/>
                  <w:vAlign w:val="center"/>
                </w:tcPr>
                <w:p w14:paraId="6CD808BF">
                  <w:pPr>
                    <w:jc w:val="center"/>
                    <w:rPr>
                      <w:color w:val="auto"/>
                      <w:kern w:val="0"/>
                      <w:szCs w:val="21"/>
                    </w:rPr>
                  </w:pPr>
                  <w:r>
                    <w:rPr>
                      <w:color w:val="auto"/>
                      <w:kern w:val="0"/>
                      <w:szCs w:val="21"/>
                    </w:rPr>
                    <w:t>白蛇沟汇入孝妇河</w:t>
                  </w:r>
                </w:p>
              </w:tc>
            </w:tr>
            <w:tr w14:paraId="528402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1117EC67">
                  <w:pPr>
                    <w:autoSpaceDE w:val="0"/>
                    <w:autoSpaceDN w:val="0"/>
                    <w:jc w:val="center"/>
                    <w:rPr>
                      <w:color w:val="auto"/>
                      <w:kern w:val="0"/>
                      <w:szCs w:val="21"/>
                    </w:rPr>
                  </w:pPr>
                  <w:r>
                    <w:rPr>
                      <w:color w:val="auto"/>
                      <w:kern w:val="0"/>
                      <w:szCs w:val="21"/>
                    </w:rPr>
                    <w:t>生态</w:t>
                  </w:r>
                </w:p>
                <w:p w14:paraId="5DD4EC01">
                  <w:pPr>
                    <w:autoSpaceDE w:val="0"/>
                    <w:autoSpaceDN w:val="0"/>
                    <w:jc w:val="center"/>
                    <w:rPr>
                      <w:color w:val="auto"/>
                      <w:kern w:val="0"/>
                      <w:szCs w:val="21"/>
                    </w:rPr>
                  </w:pPr>
                  <w:r>
                    <w:rPr>
                      <w:color w:val="auto"/>
                      <w:kern w:val="0"/>
                      <w:szCs w:val="21"/>
                    </w:rPr>
                    <w:t>环境</w:t>
                  </w:r>
                </w:p>
              </w:tc>
              <w:tc>
                <w:tcPr>
                  <w:tcW w:w="4517" w:type="pct"/>
                  <w:gridSpan w:val="5"/>
                  <w:vAlign w:val="center"/>
                </w:tcPr>
                <w:p w14:paraId="4C6ED23B">
                  <w:pPr>
                    <w:widowControl/>
                    <w:jc w:val="center"/>
                    <w:rPr>
                      <w:color w:val="auto"/>
                      <w:kern w:val="0"/>
                      <w:szCs w:val="21"/>
                    </w:rPr>
                  </w:pPr>
                  <w:r>
                    <w:rPr>
                      <w:color w:val="auto"/>
                      <w:szCs w:val="21"/>
                    </w:rPr>
                    <w:t>项目生态评价范围内无</w:t>
                  </w:r>
                  <w:r>
                    <w:rPr>
                      <w:color w:val="auto"/>
                      <w:kern w:val="0"/>
                      <w:szCs w:val="21"/>
                      <w:lang w:bidi="ar"/>
                    </w:rPr>
                    <w:t>受影响的重要物种、生态敏感区以及其他需要保护的物种、种群、生物群落及生态空间等</w:t>
                  </w:r>
                </w:p>
              </w:tc>
            </w:tr>
          </w:tbl>
          <w:p w14:paraId="2D62518F">
            <w:pPr>
              <w:numPr>
                <w:ilvl w:val="0"/>
                <w:numId w:val="7"/>
              </w:numPr>
              <w:snapToGrid w:val="0"/>
              <w:spacing w:line="360" w:lineRule="auto"/>
              <w:ind w:firstLine="480" w:firstLineChars="200"/>
              <w:rPr>
                <w:color w:val="auto"/>
                <w:sz w:val="24"/>
              </w:rPr>
            </w:pPr>
            <w:r>
              <w:rPr>
                <w:rFonts w:hint="eastAsia"/>
                <w:color w:val="auto"/>
                <w:sz w:val="24"/>
              </w:rPr>
              <w:t>袁家河</w:t>
            </w:r>
          </w:p>
          <w:p w14:paraId="361212CD">
            <w:pPr>
              <w:spacing w:before="120" w:beforeLines="50"/>
              <w:jc w:val="center"/>
              <w:rPr>
                <w:b/>
                <w:bCs/>
                <w:color w:val="auto"/>
                <w:szCs w:val="21"/>
              </w:rPr>
            </w:pPr>
            <w:r>
              <w:rPr>
                <w:b/>
                <w:bCs/>
                <w:color w:val="auto"/>
                <w:szCs w:val="21"/>
              </w:rPr>
              <w:t>表3-</w:t>
            </w:r>
            <w:r>
              <w:rPr>
                <w:rFonts w:hint="eastAsia"/>
                <w:b/>
                <w:bCs/>
                <w:color w:val="auto"/>
                <w:szCs w:val="21"/>
                <w:lang w:val="en-US" w:eastAsia="zh-CN"/>
              </w:rPr>
              <w:t>16</w:t>
            </w:r>
            <w:r>
              <w:rPr>
                <w:b/>
                <w:bCs/>
                <w:color w:val="auto"/>
                <w:szCs w:val="21"/>
              </w:rPr>
              <w:t xml:space="preserve">  经开区内</w:t>
            </w:r>
            <w:r>
              <w:rPr>
                <w:rFonts w:hint="eastAsia"/>
                <w:b/>
                <w:bCs/>
                <w:color w:val="auto"/>
                <w:szCs w:val="21"/>
                <w:lang w:eastAsia="zh-CN"/>
              </w:rPr>
              <w:t>袁家河</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8"/>
              <w:gridCol w:w="2464"/>
              <w:gridCol w:w="1045"/>
              <w:gridCol w:w="2008"/>
              <w:gridCol w:w="844"/>
              <w:gridCol w:w="1053"/>
            </w:tblGrid>
            <w:tr w14:paraId="466C5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6" w:type="pct"/>
                  <w:vAlign w:val="center"/>
                </w:tcPr>
                <w:p w14:paraId="2FDFA43B">
                  <w:pPr>
                    <w:autoSpaceDE w:val="0"/>
                    <w:autoSpaceDN w:val="0"/>
                    <w:jc w:val="center"/>
                    <w:rPr>
                      <w:color w:val="auto"/>
                      <w:kern w:val="0"/>
                      <w:szCs w:val="21"/>
                      <w:highlight w:val="none"/>
                    </w:rPr>
                  </w:pPr>
                  <w:r>
                    <w:rPr>
                      <w:color w:val="auto"/>
                      <w:kern w:val="0"/>
                      <w:szCs w:val="21"/>
                      <w:highlight w:val="none"/>
                    </w:rPr>
                    <w:t>保护</w:t>
                  </w:r>
                </w:p>
                <w:p w14:paraId="31AC37A3">
                  <w:pPr>
                    <w:autoSpaceDE w:val="0"/>
                    <w:autoSpaceDN w:val="0"/>
                    <w:jc w:val="center"/>
                    <w:rPr>
                      <w:color w:val="auto"/>
                      <w:kern w:val="0"/>
                      <w:szCs w:val="21"/>
                      <w:highlight w:val="none"/>
                    </w:rPr>
                  </w:pPr>
                  <w:r>
                    <w:rPr>
                      <w:color w:val="auto"/>
                      <w:kern w:val="0"/>
                      <w:szCs w:val="21"/>
                      <w:highlight w:val="none"/>
                    </w:rPr>
                    <w:t>类别</w:t>
                  </w:r>
                </w:p>
              </w:tc>
              <w:tc>
                <w:tcPr>
                  <w:tcW w:w="1500" w:type="pct"/>
                  <w:vAlign w:val="center"/>
                </w:tcPr>
                <w:p w14:paraId="36DF37A4">
                  <w:pPr>
                    <w:autoSpaceDE w:val="0"/>
                    <w:autoSpaceDN w:val="0"/>
                    <w:jc w:val="center"/>
                    <w:rPr>
                      <w:color w:val="auto"/>
                      <w:kern w:val="0"/>
                      <w:szCs w:val="21"/>
                      <w:highlight w:val="none"/>
                    </w:rPr>
                  </w:pPr>
                  <w:r>
                    <w:rPr>
                      <w:color w:val="auto"/>
                      <w:kern w:val="0"/>
                      <w:szCs w:val="21"/>
                      <w:highlight w:val="none"/>
                    </w:rPr>
                    <w:t>保护对象</w:t>
                  </w:r>
                </w:p>
              </w:tc>
              <w:tc>
                <w:tcPr>
                  <w:tcW w:w="635" w:type="pct"/>
                  <w:vAlign w:val="center"/>
                </w:tcPr>
                <w:p w14:paraId="2C6656BC">
                  <w:pPr>
                    <w:autoSpaceDE w:val="0"/>
                    <w:autoSpaceDN w:val="0"/>
                    <w:jc w:val="center"/>
                    <w:rPr>
                      <w:color w:val="auto"/>
                      <w:kern w:val="0"/>
                      <w:szCs w:val="21"/>
                      <w:highlight w:val="none"/>
                    </w:rPr>
                  </w:pPr>
                  <w:r>
                    <w:rPr>
                      <w:color w:val="auto"/>
                      <w:kern w:val="0"/>
                      <w:szCs w:val="21"/>
                      <w:highlight w:val="none"/>
                    </w:rPr>
                    <w:t>保护</w:t>
                  </w:r>
                </w:p>
                <w:p w14:paraId="6D1A4110">
                  <w:pPr>
                    <w:autoSpaceDE w:val="0"/>
                    <w:autoSpaceDN w:val="0"/>
                    <w:jc w:val="center"/>
                    <w:rPr>
                      <w:color w:val="auto"/>
                      <w:kern w:val="0"/>
                      <w:szCs w:val="21"/>
                      <w:highlight w:val="none"/>
                    </w:rPr>
                  </w:pPr>
                  <w:r>
                    <w:rPr>
                      <w:color w:val="auto"/>
                      <w:kern w:val="0"/>
                      <w:szCs w:val="21"/>
                      <w:highlight w:val="none"/>
                    </w:rPr>
                    <w:t>内容</w:t>
                  </w:r>
                </w:p>
              </w:tc>
              <w:tc>
                <w:tcPr>
                  <w:tcW w:w="1222" w:type="pct"/>
                  <w:vAlign w:val="center"/>
                </w:tcPr>
                <w:p w14:paraId="233EE9B1">
                  <w:pPr>
                    <w:autoSpaceDE w:val="0"/>
                    <w:autoSpaceDN w:val="0"/>
                    <w:jc w:val="center"/>
                    <w:rPr>
                      <w:color w:val="auto"/>
                      <w:kern w:val="0"/>
                      <w:szCs w:val="21"/>
                      <w:highlight w:val="none"/>
                    </w:rPr>
                  </w:pPr>
                  <w:r>
                    <w:rPr>
                      <w:color w:val="auto"/>
                      <w:kern w:val="0"/>
                      <w:szCs w:val="21"/>
                      <w:highlight w:val="none"/>
                    </w:rPr>
                    <w:t>环境功能区</w:t>
                  </w:r>
                </w:p>
              </w:tc>
              <w:tc>
                <w:tcPr>
                  <w:tcW w:w="514" w:type="pct"/>
                  <w:vAlign w:val="center"/>
                </w:tcPr>
                <w:p w14:paraId="3F97EDEA">
                  <w:pPr>
                    <w:autoSpaceDE w:val="0"/>
                    <w:autoSpaceDN w:val="0"/>
                    <w:jc w:val="center"/>
                    <w:rPr>
                      <w:color w:val="auto"/>
                      <w:kern w:val="0"/>
                      <w:szCs w:val="21"/>
                      <w:highlight w:val="none"/>
                    </w:rPr>
                  </w:pPr>
                  <w:r>
                    <w:rPr>
                      <w:color w:val="auto"/>
                      <w:kern w:val="0"/>
                      <w:szCs w:val="21"/>
                      <w:highlight w:val="none"/>
                    </w:rPr>
                    <w:t>相对河道方位</w:t>
                  </w:r>
                </w:p>
              </w:tc>
              <w:tc>
                <w:tcPr>
                  <w:tcW w:w="640" w:type="pct"/>
                  <w:vAlign w:val="center"/>
                </w:tcPr>
                <w:p w14:paraId="428EEFD7">
                  <w:pPr>
                    <w:autoSpaceDE w:val="0"/>
                    <w:autoSpaceDN w:val="0"/>
                    <w:jc w:val="center"/>
                    <w:rPr>
                      <w:color w:val="auto"/>
                      <w:kern w:val="0"/>
                      <w:szCs w:val="21"/>
                      <w:highlight w:val="none"/>
                    </w:rPr>
                  </w:pPr>
                  <w:r>
                    <w:rPr>
                      <w:color w:val="auto"/>
                      <w:kern w:val="0"/>
                      <w:szCs w:val="21"/>
                      <w:highlight w:val="none"/>
                    </w:rPr>
                    <w:t>相对河道</w:t>
                  </w:r>
                </w:p>
                <w:p w14:paraId="0093F00A">
                  <w:pPr>
                    <w:autoSpaceDE w:val="0"/>
                    <w:autoSpaceDN w:val="0"/>
                    <w:jc w:val="center"/>
                    <w:rPr>
                      <w:color w:val="auto"/>
                      <w:kern w:val="0"/>
                      <w:szCs w:val="21"/>
                      <w:highlight w:val="none"/>
                    </w:rPr>
                  </w:pPr>
                  <w:r>
                    <w:rPr>
                      <w:color w:val="auto"/>
                      <w:kern w:val="0"/>
                      <w:szCs w:val="21"/>
                      <w:highlight w:val="none"/>
                    </w:rPr>
                    <w:t>距离（m）</w:t>
                  </w:r>
                </w:p>
              </w:tc>
            </w:tr>
            <w:tr w14:paraId="7EA3DC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restart"/>
                  <w:vAlign w:val="center"/>
                </w:tcPr>
                <w:p w14:paraId="453D30B3">
                  <w:pPr>
                    <w:autoSpaceDE w:val="0"/>
                    <w:autoSpaceDN w:val="0"/>
                    <w:jc w:val="center"/>
                    <w:rPr>
                      <w:color w:val="auto"/>
                      <w:kern w:val="0"/>
                      <w:szCs w:val="21"/>
                      <w:highlight w:val="none"/>
                    </w:rPr>
                  </w:pPr>
                  <w:r>
                    <w:rPr>
                      <w:color w:val="auto"/>
                      <w:kern w:val="0"/>
                      <w:szCs w:val="21"/>
                      <w:highlight w:val="none"/>
                    </w:rPr>
                    <w:t>大气</w:t>
                  </w:r>
                </w:p>
                <w:p w14:paraId="57822DCD">
                  <w:pPr>
                    <w:autoSpaceDE w:val="0"/>
                    <w:autoSpaceDN w:val="0"/>
                    <w:jc w:val="center"/>
                    <w:rPr>
                      <w:color w:val="auto"/>
                      <w:kern w:val="0"/>
                      <w:szCs w:val="21"/>
                      <w:highlight w:val="none"/>
                    </w:rPr>
                  </w:pPr>
                  <w:r>
                    <w:rPr>
                      <w:color w:val="auto"/>
                      <w:kern w:val="0"/>
                      <w:szCs w:val="21"/>
                      <w:highlight w:val="none"/>
                    </w:rPr>
                    <w:t>环境</w:t>
                  </w:r>
                </w:p>
              </w:tc>
              <w:tc>
                <w:tcPr>
                  <w:tcW w:w="1500" w:type="pct"/>
                  <w:vAlign w:val="center"/>
                </w:tcPr>
                <w:p w14:paraId="3823E518">
                  <w:pPr>
                    <w:jc w:val="center"/>
                    <w:rPr>
                      <w:rFonts w:hint="eastAsia" w:eastAsia="宋体"/>
                      <w:color w:val="auto"/>
                      <w:kern w:val="0"/>
                      <w:szCs w:val="21"/>
                      <w:highlight w:val="none"/>
                      <w:lang w:eastAsia="zh-CN"/>
                    </w:rPr>
                  </w:pPr>
                  <w:r>
                    <w:rPr>
                      <w:rFonts w:hint="eastAsia"/>
                      <w:color w:val="auto"/>
                      <w:kern w:val="0"/>
                      <w:szCs w:val="21"/>
                      <w:highlight w:val="none"/>
                      <w:lang w:eastAsia="zh-CN"/>
                    </w:rPr>
                    <w:t>袁家村</w:t>
                  </w:r>
                </w:p>
              </w:tc>
              <w:tc>
                <w:tcPr>
                  <w:tcW w:w="635" w:type="pct"/>
                  <w:vAlign w:val="center"/>
                </w:tcPr>
                <w:p w14:paraId="54189878">
                  <w:pPr>
                    <w:autoSpaceDE w:val="0"/>
                    <w:autoSpaceDN w:val="0"/>
                    <w:jc w:val="center"/>
                    <w:rPr>
                      <w:color w:val="auto"/>
                      <w:kern w:val="0"/>
                      <w:szCs w:val="21"/>
                      <w:highlight w:val="none"/>
                    </w:rPr>
                  </w:pPr>
                  <w:r>
                    <w:rPr>
                      <w:color w:val="auto"/>
                      <w:kern w:val="0"/>
                      <w:szCs w:val="21"/>
                      <w:highlight w:val="none"/>
                    </w:rPr>
                    <w:t>居民</w:t>
                  </w:r>
                </w:p>
              </w:tc>
              <w:tc>
                <w:tcPr>
                  <w:tcW w:w="1222" w:type="pct"/>
                  <w:vMerge w:val="restart"/>
                  <w:vAlign w:val="center"/>
                </w:tcPr>
                <w:p w14:paraId="4E9E09C3">
                  <w:pPr>
                    <w:autoSpaceDE w:val="0"/>
                    <w:autoSpaceDN w:val="0"/>
                    <w:jc w:val="center"/>
                    <w:rPr>
                      <w:color w:val="auto"/>
                      <w:kern w:val="0"/>
                      <w:szCs w:val="21"/>
                      <w:highlight w:val="none"/>
                    </w:rPr>
                  </w:pPr>
                  <w:r>
                    <w:rPr>
                      <w:bCs/>
                      <w:color w:val="auto"/>
                      <w:szCs w:val="21"/>
                      <w:highlight w:val="none"/>
                    </w:rPr>
                    <w:t>《环境空气质量标准》（GB3095-20</w:t>
                  </w:r>
                  <w:r>
                    <w:rPr>
                      <w:rFonts w:hint="eastAsia"/>
                      <w:bCs/>
                      <w:color w:val="auto"/>
                      <w:szCs w:val="21"/>
                      <w:highlight w:val="none"/>
                      <w:lang w:val="en-US" w:eastAsia="zh-CN"/>
                    </w:rPr>
                    <w:t>26</w:t>
                  </w:r>
                  <w:r>
                    <w:rPr>
                      <w:bCs/>
                      <w:color w:val="auto"/>
                      <w:szCs w:val="21"/>
                      <w:highlight w:val="none"/>
                    </w:rPr>
                    <w:t>）</w:t>
                  </w:r>
                  <w:r>
                    <w:rPr>
                      <w:rFonts w:hint="eastAsia"/>
                      <w:bCs/>
                      <w:color w:val="auto"/>
                      <w:szCs w:val="21"/>
                      <w:highlight w:val="none"/>
                      <w:lang w:eastAsia="zh-CN"/>
                    </w:rPr>
                    <w:t>过渡阶段</w:t>
                  </w:r>
                  <w:r>
                    <w:rPr>
                      <w:bCs/>
                      <w:color w:val="auto"/>
                      <w:szCs w:val="21"/>
                      <w:highlight w:val="none"/>
                    </w:rPr>
                    <w:t>二级标准</w:t>
                  </w:r>
                </w:p>
              </w:tc>
              <w:tc>
                <w:tcPr>
                  <w:tcW w:w="514" w:type="pct"/>
                  <w:vAlign w:val="center"/>
                </w:tcPr>
                <w:p w14:paraId="1FE95356">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N</w:t>
                  </w:r>
                </w:p>
              </w:tc>
              <w:tc>
                <w:tcPr>
                  <w:tcW w:w="640" w:type="pct"/>
                  <w:vAlign w:val="center"/>
                </w:tcPr>
                <w:p w14:paraId="552EC762">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462</w:t>
                  </w:r>
                </w:p>
              </w:tc>
            </w:tr>
            <w:tr w14:paraId="0BB87E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6F5BB63C">
                  <w:pPr>
                    <w:widowControl/>
                    <w:jc w:val="center"/>
                    <w:rPr>
                      <w:color w:val="auto"/>
                      <w:kern w:val="0"/>
                      <w:szCs w:val="21"/>
                      <w:highlight w:val="yellow"/>
                    </w:rPr>
                  </w:pPr>
                </w:p>
              </w:tc>
              <w:tc>
                <w:tcPr>
                  <w:tcW w:w="1500" w:type="pct"/>
                  <w:vAlign w:val="center"/>
                </w:tcPr>
                <w:p w14:paraId="2C6B1A81">
                  <w:pPr>
                    <w:jc w:val="center"/>
                    <w:rPr>
                      <w:rFonts w:hint="eastAsia" w:eastAsia="宋体"/>
                      <w:color w:val="auto"/>
                      <w:kern w:val="0"/>
                      <w:szCs w:val="21"/>
                      <w:highlight w:val="none"/>
                      <w:lang w:eastAsia="zh-CN"/>
                    </w:rPr>
                  </w:pPr>
                  <w:r>
                    <w:rPr>
                      <w:rFonts w:hint="eastAsia"/>
                      <w:color w:val="auto"/>
                      <w:kern w:val="0"/>
                      <w:szCs w:val="21"/>
                      <w:highlight w:val="none"/>
                      <w:lang w:eastAsia="zh-CN"/>
                    </w:rPr>
                    <w:t>梁家村</w:t>
                  </w:r>
                </w:p>
              </w:tc>
              <w:tc>
                <w:tcPr>
                  <w:tcW w:w="635" w:type="pct"/>
                  <w:vAlign w:val="center"/>
                </w:tcPr>
                <w:p w14:paraId="23E48056">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101C22EF">
                  <w:pPr>
                    <w:widowControl/>
                    <w:jc w:val="center"/>
                    <w:rPr>
                      <w:color w:val="auto"/>
                      <w:kern w:val="0"/>
                      <w:szCs w:val="21"/>
                      <w:highlight w:val="none"/>
                    </w:rPr>
                  </w:pPr>
                </w:p>
              </w:tc>
              <w:tc>
                <w:tcPr>
                  <w:tcW w:w="514" w:type="pct"/>
                  <w:vAlign w:val="center"/>
                </w:tcPr>
                <w:p w14:paraId="2274ED70">
                  <w:pPr>
                    <w:jc w:val="center"/>
                    <w:rPr>
                      <w:color w:val="auto"/>
                      <w:kern w:val="0"/>
                      <w:szCs w:val="21"/>
                      <w:highlight w:val="none"/>
                    </w:rPr>
                  </w:pPr>
                  <w:r>
                    <w:rPr>
                      <w:color w:val="auto"/>
                      <w:kern w:val="0"/>
                      <w:szCs w:val="21"/>
                      <w:highlight w:val="none"/>
                    </w:rPr>
                    <w:t>E</w:t>
                  </w:r>
                </w:p>
              </w:tc>
              <w:tc>
                <w:tcPr>
                  <w:tcW w:w="640" w:type="pct"/>
                  <w:vAlign w:val="center"/>
                </w:tcPr>
                <w:p w14:paraId="7AC5A784">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148</w:t>
                  </w:r>
                </w:p>
              </w:tc>
            </w:tr>
            <w:tr w14:paraId="17C290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3FD00423">
                  <w:pPr>
                    <w:widowControl/>
                    <w:jc w:val="center"/>
                    <w:rPr>
                      <w:color w:val="auto"/>
                      <w:kern w:val="0"/>
                      <w:szCs w:val="21"/>
                      <w:highlight w:val="yellow"/>
                    </w:rPr>
                  </w:pPr>
                </w:p>
              </w:tc>
              <w:tc>
                <w:tcPr>
                  <w:tcW w:w="1500" w:type="pct"/>
                  <w:vAlign w:val="center"/>
                </w:tcPr>
                <w:p w14:paraId="2A3B96F8">
                  <w:pPr>
                    <w:jc w:val="center"/>
                    <w:rPr>
                      <w:rFonts w:hint="eastAsia" w:eastAsia="宋体"/>
                      <w:color w:val="auto"/>
                      <w:kern w:val="0"/>
                      <w:szCs w:val="21"/>
                      <w:highlight w:val="none"/>
                      <w:lang w:eastAsia="zh-CN"/>
                    </w:rPr>
                  </w:pPr>
                  <w:r>
                    <w:rPr>
                      <w:rFonts w:hint="eastAsia"/>
                      <w:color w:val="auto"/>
                      <w:kern w:val="0"/>
                      <w:szCs w:val="21"/>
                      <w:highlight w:val="none"/>
                      <w:lang w:eastAsia="zh-CN"/>
                    </w:rPr>
                    <w:t>庵头村</w:t>
                  </w:r>
                </w:p>
              </w:tc>
              <w:tc>
                <w:tcPr>
                  <w:tcW w:w="635" w:type="pct"/>
                  <w:vAlign w:val="center"/>
                </w:tcPr>
                <w:p w14:paraId="4B1B8348">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79883D2A">
                  <w:pPr>
                    <w:widowControl/>
                    <w:jc w:val="center"/>
                    <w:rPr>
                      <w:color w:val="auto"/>
                      <w:kern w:val="0"/>
                      <w:szCs w:val="21"/>
                      <w:highlight w:val="none"/>
                    </w:rPr>
                  </w:pPr>
                </w:p>
              </w:tc>
              <w:tc>
                <w:tcPr>
                  <w:tcW w:w="514" w:type="pct"/>
                  <w:vAlign w:val="center"/>
                </w:tcPr>
                <w:p w14:paraId="7A9F768E">
                  <w:pPr>
                    <w:jc w:val="center"/>
                    <w:rPr>
                      <w:color w:val="auto"/>
                      <w:kern w:val="0"/>
                      <w:szCs w:val="21"/>
                      <w:highlight w:val="none"/>
                    </w:rPr>
                  </w:pPr>
                  <w:r>
                    <w:rPr>
                      <w:color w:val="auto"/>
                      <w:kern w:val="0"/>
                      <w:szCs w:val="21"/>
                      <w:highlight w:val="none"/>
                    </w:rPr>
                    <w:t>W</w:t>
                  </w:r>
                </w:p>
              </w:tc>
              <w:tc>
                <w:tcPr>
                  <w:tcW w:w="640" w:type="pct"/>
                  <w:vAlign w:val="center"/>
                </w:tcPr>
                <w:p w14:paraId="529420FE">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136</w:t>
                  </w:r>
                </w:p>
              </w:tc>
            </w:tr>
            <w:tr w14:paraId="2A294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1E2AC159">
                  <w:pPr>
                    <w:widowControl/>
                    <w:jc w:val="center"/>
                    <w:rPr>
                      <w:color w:val="auto"/>
                      <w:kern w:val="0"/>
                      <w:szCs w:val="21"/>
                      <w:highlight w:val="yellow"/>
                    </w:rPr>
                  </w:pPr>
                </w:p>
              </w:tc>
              <w:tc>
                <w:tcPr>
                  <w:tcW w:w="1500" w:type="pct"/>
                  <w:vAlign w:val="center"/>
                </w:tcPr>
                <w:p w14:paraId="69482575">
                  <w:pPr>
                    <w:jc w:val="center"/>
                    <w:rPr>
                      <w:rFonts w:hint="eastAsia" w:eastAsia="宋体"/>
                      <w:color w:val="auto"/>
                      <w:kern w:val="0"/>
                      <w:szCs w:val="21"/>
                      <w:highlight w:val="none"/>
                      <w:lang w:eastAsia="zh-CN"/>
                    </w:rPr>
                  </w:pPr>
                  <w:r>
                    <w:rPr>
                      <w:rFonts w:hint="eastAsia"/>
                      <w:color w:val="auto"/>
                      <w:kern w:val="0"/>
                      <w:szCs w:val="21"/>
                      <w:highlight w:val="none"/>
                      <w:lang w:eastAsia="zh-CN"/>
                    </w:rPr>
                    <w:t>东河村</w:t>
                  </w:r>
                </w:p>
              </w:tc>
              <w:tc>
                <w:tcPr>
                  <w:tcW w:w="635" w:type="pct"/>
                  <w:vAlign w:val="center"/>
                </w:tcPr>
                <w:p w14:paraId="0FD1E734">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029F6660">
                  <w:pPr>
                    <w:widowControl/>
                    <w:jc w:val="center"/>
                    <w:rPr>
                      <w:color w:val="auto"/>
                      <w:kern w:val="0"/>
                      <w:szCs w:val="21"/>
                      <w:highlight w:val="none"/>
                    </w:rPr>
                  </w:pPr>
                </w:p>
              </w:tc>
              <w:tc>
                <w:tcPr>
                  <w:tcW w:w="514" w:type="pct"/>
                  <w:vAlign w:val="center"/>
                </w:tcPr>
                <w:p w14:paraId="382711FE">
                  <w:pPr>
                    <w:jc w:val="center"/>
                    <w:rPr>
                      <w:color w:val="auto"/>
                      <w:kern w:val="0"/>
                      <w:szCs w:val="21"/>
                      <w:highlight w:val="none"/>
                    </w:rPr>
                  </w:pPr>
                  <w:r>
                    <w:rPr>
                      <w:color w:val="auto"/>
                      <w:kern w:val="0"/>
                      <w:szCs w:val="21"/>
                      <w:highlight w:val="none"/>
                    </w:rPr>
                    <w:t>W</w:t>
                  </w:r>
                </w:p>
              </w:tc>
              <w:tc>
                <w:tcPr>
                  <w:tcW w:w="640" w:type="pct"/>
                  <w:vAlign w:val="center"/>
                </w:tcPr>
                <w:p w14:paraId="4DEA220E">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43</w:t>
                  </w:r>
                </w:p>
              </w:tc>
            </w:tr>
            <w:tr w14:paraId="66A033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0CEEF7FB">
                  <w:pPr>
                    <w:widowControl/>
                    <w:jc w:val="center"/>
                    <w:rPr>
                      <w:color w:val="auto"/>
                      <w:kern w:val="0"/>
                      <w:szCs w:val="21"/>
                      <w:highlight w:val="yellow"/>
                    </w:rPr>
                  </w:pPr>
                </w:p>
              </w:tc>
              <w:tc>
                <w:tcPr>
                  <w:tcW w:w="1500" w:type="pct"/>
                  <w:vAlign w:val="center"/>
                </w:tcPr>
                <w:p w14:paraId="46AC1134">
                  <w:pPr>
                    <w:jc w:val="center"/>
                    <w:rPr>
                      <w:rFonts w:hint="eastAsia" w:eastAsia="宋体"/>
                      <w:color w:val="auto"/>
                      <w:kern w:val="0"/>
                      <w:szCs w:val="21"/>
                      <w:highlight w:val="none"/>
                      <w:lang w:eastAsia="zh-CN"/>
                    </w:rPr>
                  </w:pPr>
                  <w:r>
                    <w:rPr>
                      <w:rFonts w:hint="eastAsia"/>
                      <w:color w:val="auto"/>
                      <w:kern w:val="0"/>
                      <w:szCs w:val="21"/>
                      <w:highlight w:val="none"/>
                      <w:lang w:eastAsia="zh-CN"/>
                    </w:rPr>
                    <w:t>西河村</w:t>
                  </w:r>
                </w:p>
              </w:tc>
              <w:tc>
                <w:tcPr>
                  <w:tcW w:w="635" w:type="pct"/>
                  <w:vAlign w:val="center"/>
                </w:tcPr>
                <w:p w14:paraId="521CDA7F">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37F7157A">
                  <w:pPr>
                    <w:widowControl/>
                    <w:jc w:val="center"/>
                    <w:rPr>
                      <w:color w:val="auto"/>
                      <w:kern w:val="0"/>
                      <w:szCs w:val="21"/>
                      <w:highlight w:val="none"/>
                    </w:rPr>
                  </w:pPr>
                </w:p>
              </w:tc>
              <w:tc>
                <w:tcPr>
                  <w:tcW w:w="514" w:type="pct"/>
                  <w:vAlign w:val="center"/>
                </w:tcPr>
                <w:p w14:paraId="1CFFACE8">
                  <w:pPr>
                    <w:jc w:val="center"/>
                    <w:rPr>
                      <w:color w:val="auto"/>
                      <w:kern w:val="0"/>
                      <w:szCs w:val="21"/>
                      <w:highlight w:val="none"/>
                    </w:rPr>
                  </w:pPr>
                  <w:r>
                    <w:rPr>
                      <w:color w:val="auto"/>
                      <w:kern w:val="0"/>
                      <w:szCs w:val="21"/>
                      <w:highlight w:val="none"/>
                    </w:rPr>
                    <w:t>E</w:t>
                  </w:r>
                </w:p>
              </w:tc>
              <w:tc>
                <w:tcPr>
                  <w:tcW w:w="640" w:type="pct"/>
                  <w:vAlign w:val="center"/>
                </w:tcPr>
                <w:p w14:paraId="179913FB">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439</w:t>
                  </w:r>
                </w:p>
              </w:tc>
            </w:tr>
            <w:tr w14:paraId="4FF69F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2A09289D">
                  <w:pPr>
                    <w:widowControl/>
                    <w:jc w:val="center"/>
                    <w:rPr>
                      <w:color w:val="auto"/>
                      <w:kern w:val="0"/>
                      <w:szCs w:val="21"/>
                      <w:highlight w:val="none"/>
                    </w:rPr>
                  </w:pPr>
                  <w:r>
                    <w:rPr>
                      <w:color w:val="auto"/>
                      <w:kern w:val="0"/>
                      <w:szCs w:val="21"/>
                      <w:highlight w:val="none"/>
                    </w:rPr>
                    <w:t>声环境</w:t>
                  </w:r>
                </w:p>
              </w:tc>
              <w:tc>
                <w:tcPr>
                  <w:tcW w:w="1500" w:type="pct"/>
                  <w:shd w:val="clear" w:color="auto" w:fill="auto"/>
                  <w:vAlign w:val="center"/>
                </w:tcPr>
                <w:p w14:paraId="3C67E008">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东河村</w:t>
                  </w:r>
                </w:p>
              </w:tc>
              <w:tc>
                <w:tcPr>
                  <w:tcW w:w="635" w:type="pct"/>
                  <w:shd w:val="clear" w:color="auto" w:fill="auto"/>
                  <w:vAlign w:val="center"/>
                </w:tcPr>
                <w:p w14:paraId="780A7A4E">
                  <w:pPr>
                    <w:autoSpaceDE w:val="0"/>
                    <w:autoSpaceDN w:val="0"/>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居民</w:t>
                  </w:r>
                </w:p>
              </w:tc>
              <w:tc>
                <w:tcPr>
                  <w:tcW w:w="1222" w:type="pct"/>
                  <w:vAlign w:val="center"/>
                </w:tcPr>
                <w:p w14:paraId="4502F5A7">
                  <w:pPr>
                    <w:autoSpaceDE w:val="0"/>
                    <w:autoSpaceDN w:val="0"/>
                    <w:jc w:val="center"/>
                    <w:rPr>
                      <w:color w:val="auto"/>
                      <w:kern w:val="0"/>
                      <w:szCs w:val="21"/>
                      <w:highlight w:val="none"/>
                    </w:rPr>
                  </w:pPr>
                  <w:r>
                    <w:rPr>
                      <w:color w:val="auto"/>
                      <w:szCs w:val="21"/>
                      <w:highlight w:val="none"/>
                    </w:rPr>
                    <w:t>《声环境质量标准》（GB3096-2008）的2类声环境功能区要求</w:t>
                  </w:r>
                </w:p>
              </w:tc>
              <w:tc>
                <w:tcPr>
                  <w:tcW w:w="514" w:type="pct"/>
                  <w:shd w:val="clear" w:color="auto" w:fill="auto"/>
                  <w:vAlign w:val="center"/>
                </w:tcPr>
                <w:p w14:paraId="1D96D020">
                  <w:pPr>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W</w:t>
                  </w:r>
                </w:p>
              </w:tc>
              <w:tc>
                <w:tcPr>
                  <w:tcW w:w="640" w:type="pct"/>
                  <w:shd w:val="clear" w:color="auto" w:fill="auto"/>
                  <w:vAlign w:val="center"/>
                </w:tcPr>
                <w:p w14:paraId="3DBB27E7">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43</w:t>
                  </w:r>
                </w:p>
              </w:tc>
            </w:tr>
            <w:tr w14:paraId="5AA03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5477E7EA">
                  <w:pPr>
                    <w:widowControl/>
                    <w:jc w:val="center"/>
                    <w:rPr>
                      <w:color w:val="auto"/>
                      <w:kern w:val="0"/>
                      <w:szCs w:val="21"/>
                      <w:highlight w:val="none"/>
                    </w:rPr>
                  </w:pPr>
                  <w:r>
                    <w:rPr>
                      <w:color w:val="auto"/>
                      <w:kern w:val="0"/>
                      <w:szCs w:val="21"/>
                      <w:highlight w:val="none"/>
                    </w:rPr>
                    <w:t>地下水环境</w:t>
                  </w:r>
                </w:p>
              </w:tc>
              <w:tc>
                <w:tcPr>
                  <w:tcW w:w="2136" w:type="pct"/>
                  <w:gridSpan w:val="2"/>
                  <w:vAlign w:val="center"/>
                </w:tcPr>
                <w:p w14:paraId="1708D121">
                  <w:pPr>
                    <w:widowControl/>
                    <w:jc w:val="center"/>
                    <w:rPr>
                      <w:color w:val="auto"/>
                      <w:kern w:val="0"/>
                      <w:szCs w:val="21"/>
                      <w:highlight w:val="none"/>
                    </w:rPr>
                  </w:pPr>
                  <w:r>
                    <w:rPr>
                      <w:color w:val="auto"/>
                      <w:kern w:val="0"/>
                      <w:szCs w:val="21"/>
                      <w:highlight w:val="none"/>
                    </w:rPr>
                    <w:t>厂界外500米范围内无地下水集中式饮用水源和热水、矿泉水、温泉等特殊地下水资源</w:t>
                  </w:r>
                </w:p>
              </w:tc>
              <w:tc>
                <w:tcPr>
                  <w:tcW w:w="1222" w:type="pct"/>
                  <w:vAlign w:val="center"/>
                </w:tcPr>
                <w:p w14:paraId="484B9FA7">
                  <w:pPr>
                    <w:autoSpaceDE w:val="0"/>
                    <w:autoSpaceDN w:val="0"/>
                    <w:jc w:val="center"/>
                    <w:rPr>
                      <w:color w:val="auto"/>
                      <w:kern w:val="0"/>
                      <w:szCs w:val="21"/>
                      <w:highlight w:val="none"/>
                    </w:rPr>
                  </w:pPr>
                  <w:r>
                    <w:rPr>
                      <w:color w:val="auto"/>
                      <w:szCs w:val="21"/>
                      <w:highlight w:val="none"/>
                    </w:rPr>
                    <w:t>《地下水质量标准》（GB/T14848-2017）Ⅲ类标准</w:t>
                  </w:r>
                </w:p>
              </w:tc>
              <w:tc>
                <w:tcPr>
                  <w:tcW w:w="514" w:type="pct"/>
                  <w:vAlign w:val="center"/>
                </w:tcPr>
                <w:p w14:paraId="18389A25">
                  <w:pPr>
                    <w:autoSpaceDE w:val="0"/>
                    <w:autoSpaceDN w:val="0"/>
                    <w:jc w:val="center"/>
                    <w:rPr>
                      <w:color w:val="auto"/>
                      <w:kern w:val="0"/>
                      <w:szCs w:val="21"/>
                      <w:highlight w:val="none"/>
                    </w:rPr>
                  </w:pPr>
                  <w:r>
                    <w:rPr>
                      <w:color w:val="auto"/>
                      <w:kern w:val="0"/>
                      <w:szCs w:val="21"/>
                      <w:highlight w:val="none"/>
                    </w:rPr>
                    <w:t>/</w:t>
                  </w:r>
                </w:p>
              </w:tc>
              <w:tc>
                <w:tcPr>
                  <w:tcW w:w="640" w:type="pct"/>
                  <w:vAlign w:val="center"/>
                </w:tcPr>
                <w:p w14:paraId="4E7E3410">
                  <w:pPr>
                    <w:autoSpaceDE w:val="0"/>
                    <w:autoSpaceDN w:val="0"/>
                    <w:jc w:val="center"/>
                    <w:rPr>
                      <w:color w:val="auto"/>
                      <w:kern w:val="0"/>
                      <w:szCs w:val="21"/>
                      <w:highlight w:val="none"/>
                    </w:rPr>
                  </w:pPr>
                  <w:r>
                    <w:rPr>
                      <w:color w:val="auto"/>
                      <w:kern w:val="0"/>
                      <w:szCs w:val="21"/>
                      <w:highlight w:val="none"/>
                    </w:rPr>
                    <w:t>/</w:t>
                  </w:r>
                </w:p>
              </w:tc>
            </w:tr>
            <w:tr w14:paraId="3D634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restart"/>
                  <w:vAlign w:val="center"/>
                </w:tcPr>
                <w:p w14:paraId="4EE8D3CB">
                  <w:pPr>
                    <w:jc w:val="center"/>
                    <w:rPr>
                      <w:color w:val="auto"/>
                      <w:kern w:val="0"/>
                      <w:szCs w:val="21"/>
                      <w:highlight w:val="none"/>
                    </w:rPr>
                  </w:pPr>
                  <w:r>
                    <w:rPr>
                      <w:color w:val="auto"/>
                      <w:szCs w:val="21"/>
                      <w:highlight w:val="none"/>
                    </w:rPr>
                    <w:t>地表水</w:t>
                  </w:r>
                </w:p>
              </w:tc>
              <w:tc>
                <w:tcPr>
                  <w:tcW w:w="2136" w:type="pct"/>
                  <w:gridSpan w:val="2"/>
                  <w:vAlign w:val="center"/>
                </w:tcPr>
                <w:p w14:paraId="5511F0B5">
                  <w:pPr>
                    <w:jc w:val="center"/>
                    <w:rPr>
                      <w:rFonts w:hint="eastAsia" w:eastAsia="宋体"/>
                      <w:color w:val="auto"/>
                      <w:kern w:val="0"/>
                      <w:szCs w:val="21"/>
                      <w:highlight w:val="none"/>
                      <w:lang w:eastAsia="zh-CN"/>
                    </w:rPr>
                  </w:pPr>
                  <w:r>
                    <w:rPr>
                      <w:rFonts w:hint="eastAsia"/>
                      <w:color w:val="auto"/>
                      <w:kern w:val="0"/>
                      <w:szCs w:val="21"/>
                      <w:highlight w:val="none"/>
                      <w:lang w:eastAsia="zh-CN"/>
                    </w:rPr>
                    <w:t>范阳河</w:t>
                  </w:r>
                </w:p>
              </w:tc>
              <w:tc>
                <w:tcPr>
                  <w:tcW w:w="1222" w:type="pct"/>
                  <w:vAlign w:val="center"/>
                </w:tcPr>
                <w:p w14:paraId="2C4C210D">
                  <w:pPr>
                    <w:jc w:val="center"/>
                    <w:rPr>
                      <w:color w:val="auto"/>
                      <w:szCs w:val="21"/>
                      <w:highlight w:val="none"/>
                    </w:rPr>
                  </w:pPr>
                  <w:r>
                    <w:rPr>
                      <w:color w:val="auto"/>
                      <w:szCs w:val="21"/>
                      <w:highlight w:val="none"/>
                    </w:rPr>
                    <w:t>《地表水环境质量标准》（GB3838-2002）</w:t>
                  </w:r>
                  <w:r>
                    <w:rPr>
                      <w:color w:val="auto"/>
                      <w:spacing w:val="-2"/>
                      <w:szCs w:val="21"/>
                      <w:highlight w:val="none"/>
                    </w:rPr>
                    <w:t>V</w:t>
                  </w:r>
                  <w:r>
                    <w:rPr>
                      <w:color w:val="auto"/>
                      <w:szCs w:val="21"/>
                      <w:highlight w:val="none"/>
                    </w:rPr>
                    <w:t>类标准</w:t>
                  </w:r>
                </w:p>
              </w:tc>
              <w:tc>
                <w:tcPr>
                  <w:tcW w:w="1154" w:type="pct"/>
                  <w:gridSpan w:val="2"/>
                  <w:vAlign w:val="center"/>
                </w:tcPr>
                <w:p w14:paraId="7F9CCCA1">
                  <w:pPr>
                    <w:jc w:val="center"/>
                    <w:rPr>
                      <w:rFonts w:hint="eastAsia" w:eastAsia="宋体"/>
                      <w:color w:val="auto"/>
                      <w:kern w:val="0"/>
                      <w:szCs w:val="21"/>
                      <w:highlight w:val="none"/>
                      <w:lang w:eastAsia="zh-CN"/>
                    </w:rPr>
                  </w:pPr>
                  <w:r>
                    <w:rPr>
                      <w:rFonts w:hint="eastAsia"/>
                      <w:color w:val="auto"/>
                      <w:kern w:val="0"/>
                      <w:szCs w:val="21"/>
                      <w:highlight w:val="none"/>
                      <w:lang w:eastAsia="zh-CN"/>
                    </w:rPr>
                    <w:t>袁家河汇入范阳河</w:t>
                  </w:r>
                </w:p>
              </w:tc>
            </w:tr>
            <w:tr w14:paraId="3AAB5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Merge w:val="continue"/>
                  <w:vAlign w:val="center"/>
                </w:tcPr>
                <w:p w14:paraId="24751488">
                  <w:pPr>
                    <w:jc w:val="center"/>
                    <w:rPr>
                      <w:color w:val="auto"/>
                      <w:szCs w:val="21"/>
                      <w:highlight w:val="none"/>
                    </w:rPr>
                  </w:pPr>
                </w:p>
              </w:tc>
              <w:tc>
                <w:tcPr>
                  <w:tcW w:w="2136" w:type="pct"/>
                  <w:gridSpan w:val="2"/>
                  <w:shd w:val="clear" w:color="auto" w:fill="auto"/>
                  <w:vAlign w:val="center"/>
                </w:tcPr>
                <w:p w14:paraId="3AA16399">
                  <w:pPr>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孝妇河</w:t>
                  </w:r>
                </w:p>
              </w:tc>
              <w:tc>
                <w:tcPr>
                  <w:tcW w:w="1222" w:type="pct"/>
                  <w:shd w:val="clear" w:color="auto" w:fill="auto"/>
                  <w:vAlign w:val="center"/>
                </w:tcPr>
                <w:p w14:paraId="5C76B547">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《地表水环境质量标准》（GB3838-2002）IV类标准</w:t>
                  </w:r>
                </w:p>
              </w:tc>
              <w:tc>
                <w:tcPr>
                  <w:tcW w:w="1154" w:type="pct"/>
                  <w:gridSpan w:val="2"/>
                  <w:shd w:val="clear" w:color="auto" w:fill="auto"/>
                  <w:vAlign w:val="center"/>
                </w:tcPr>
                <w:p w14:paraId="511556AF">
                  <w:pPr>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范阳河</w:t>
                  </w:r>
                  <w:r>
                    <w:rPr>
                      <w:color w:val="auto"/>
                      <w:kern w:val="0"/>
                      <w:szCs w:val="21"/>
                      <w:highlight w:val="none"/>
                    </w:rPr>
                    <w:t>汇入孝妇河</w:t>
                  </w:r>
                </w:p>
              </w:tc>
            </w:tr>
            <w:tr w14:paraId="045BC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6" w:type="pct"/>
                  <w:vAlign w:val="center"/>
                </w:tcPr>
                <w:p w14:paraId="59E91AF9">
                  <w:pPr>
                    <w:autoSpaceDE w:val="0"/>
                    <w:autoSpaceDN w:val="0"/>
                    <w:jc w:val="center"/>
                    <w:rPr>
                      <w:color w:val="auto"/>
                      <w:kern w:val="0"/>
                      <w:szCs w:val="21"/>
                      <w:highlight w:val="none"/>
                    </w:rPr>
                  </w:pPr>
                  <w:r>
                    <w:rPr>
                      <w:color w:val="auto"/>
                      <w:kern w:val="0"/>
                      <w:szCs w:val="21"/>
                      <w:highlight w:val="none"/>
                    </w:rPr>
                    <w:t>生态</w:t>
                  </w:r>
                </w:p>
                <w:p w14:paraId="5EBC95DA">
                  <w:pPr>
                    <w:autoSpaceDE w:val="0"/>
                    <w:autoSpaceDN w:val="0"/>
                    <w:jc w:val="center"/>
                    <w:rPr>
                      <w:color w:val="auto"/>
                      <w:kern w:val="0"/>
                      <w:szCs w:val="21"/>
                      <w:highlight w:val="none"/>
                    </w:rPr>
                  </w:pPr>
                  <w:r>
                    <w:rPr>
                      <w:color w:val="auto"/>
                      <w:kern w:val="0"/>
                      <w:szCs w:val="21"/>
                      <w:highlight w:val="none"/>
                    </w:rPr>
                    <w:t>环境</w:t>
                  </w:r>
                </w:p>
              </w:tc>
              <w:tc>
                <w:tcPr>
                  <w:tcW w:w="4513" w:type="pct"/>
                  <w:gridSpan w:val="5"/>
                  <w:vAlign w:val="center"/>
                </w:tcPr>
                <w:p w14:paraId="03CDAC68">
                  <w:pPr>
                    <w:widowControl/>
                    <w:jc w:val="center"/>
                    <w:rPr>
                      <w:color w:val="auto"/>
                      <w:kern w:val="0"/>
                      <w:szCs w:val="21"/>
                      <w:highlight w:val="none"/>
                    </w:rPr>
                  </w:pPr>
                  <w:r>
                    <w:rPr>
                      <w:color w:val="auto"/>
                      <w:szCs w:val="21"/>
                      <w:highlight w:val="none"/>
                    </w:rPr>
                    <w:t>项目生态评价范围内无受影响的重要物种、生态敏感区以及其他需要保护的物种、种群、生物群落及生态空间等</w:t>
                  </w:r>
                </w:p>
              </w:tc>
            </w:tr>
          </w:tbl>
          <w:p w14:paraId="559B3A28">
            <w:pPr>
              <w:numPr>
                <w:ilvl w:val="0"/>
                <w:numId w:val="7"/>
              </w:numPr>
              <w:snapToGrid w:val="0"/>
              <w:spacing w:line="360" w:lineRule="auto"/>
              <w:ind w:firstLine="480" w:firstLineChars="200"/>
              <w:rPr>
                <w:color w:val="auto"/>
                <w:sz w:val="24"/>
              </w:rPr>
            </w:pPr>
            <w:r>
              <w:rPr>
                <w:rFonts w:hint="eastAsia"/>
                <w:color w:val="auto"/>
                <w:sz w:val="24"/>
              </w:rPr>
              <w:t>天津路排涝沟</w:t>
            </w:r>
          </w:p>
          <w:p w14:paraId="4A2A7B46">
            <w:pPr>
              <w:spacing w:before="120" w:beforeLines="50"/>
              <w:jc w:val="center"/>
              <w:rPr>
                <w:b/>
                <w:bCs/>
                <w:color w:val="auto"/>
                <w:szCs w:val="21"/>
              </w:rPr>
            </w:pPr>
            <w:r>
              <w:rPr>
                <w:b/>
                <w:bCs/>
                <w:color w:val="auto"/>
                <w:szCs w:val="21"/>
              </w:rPr>
              <w:t>表3-</w:t>
            </w:r>
            <w:r>
              <w:rPr>
                <w:rFonts w:hint="eastAsia"/>
                <w:b/>
                <w:bCs/>
                <w:color w:val="auto"/>
                <w:szCs w:val="21"/>
                <w:lang w:val="en-US" w:eastAsia="zh-CN"/>
              </w:rPr>
              <w:t>17</w:t>
            </w:r>
            <w:r>
              <w:rPr>
                <w:b/>
                <w:bCs/>
                <w:color w:val="auto"/>
                <w:szCs w:val="21"/>
              </w:rPr>
              <w:t xml:space="preserve">  经开区内</w:t>
            </w:r>
            <w:r>
              <w:rPr>
                <w:rFonts w:hint="eastAsia"/>
                <w:b/>
                <w:bCs/>
                <w:color w:val="auto"/>
                <w:szCs w:val="21"/>
                <w:lang w:eastAsia="zh-CN"/>
              </w:rPr>
              <w:t>天津路排涝沟</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00"/>
              <w:gridCol w:w="2464"/>
              <w:gridCol w:w="1045"/>
              <w:gridCol w:w="2008"/>
              <w:gridCol w:w="844"/>
              <w:gridCol w:w="1051"/>
            </w:tblGrid>
            <w:tr w14:paraId="0169C8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7" w:type="pct"/>
                  <w:vAlign w:val="center"/>
                </w:tcPr>
                <w:p w14:paraId="70AA2302">
                  <w:pPr>
                    <w:autoSpaceDE w:val="0"/>
                    <w:autoSpaceDN w:val="0"/>
                    <w:jc w:val="center"/>
                    <w:rPr>
                      <w:color w:val="auto"/>
                      <w:kern w:val="0"/>
                      <w:szCs w:val="21"/>
                      <w:highlight w:val="none"/>
                    </w:rPr>
                  </w:pPr>
                  <w:r>
                    <w:rPr>
                      <w:color w:val="auto"/>
                      <w:kern w:val="0"/>
                      <w:szCs w:val="21"/>
                      <w:highlight w:val="none"/>
                    </w:rPr>
                    <w:t>保护</w:t>
                  </w:r>
                </w:p>
                <w:p w14:paraId="4A0DFD69">
                  <w:pPr>
                    <w:autoSpaceDE w:val="0"/>
                    <w:autoSpaceDN w:val="0"/>
                    <w:jc w:val="center"/>
                    <w:rPr>
                      <w:color w:val="auto"/>
                      <w:kern w:val="0"/>
                      <w:szCs w:val="21"/>
                      <w:highlight w:val="none"/>
                    </w:rPr>
                  </w:pPr>
                  <w:r>
                    <w:rPr>
                      <w:color w:val="auto"/>
                      <w:kern w:val="0"/>
                      <w:szCs w:val="21"/>
                      <w:highlight w:val="none"/>
                    </w:rPr>
                    <w:t>类别</w:t>
                  </w:r>
                </w:p>
              </w:tc>
              <w:tc>
                <w:tcPr>
                  <w:tcW w:w="1500" w:type="pct"/>
                  <w:vAlign w:val="center"/>
                </w:tcPr>
                <w:p w14:paraId="15BF7E63">
                  <w:pPr>
                    <w:autoSpaceDE w:val="0"/>
                    <w:autoSpaceDN w:val="0"/>
                    <w:jc w:val="center"/>
                    <w:rPr>
                      <w:color w:val="auto"/>
                      <w:kern w:val="0"/>
                      <w:szCs w:val="21"/>
                      <w:highlight w:val="none"/>
                    </w:rPr>
                  </w:pPr>
                  <w:r>
                    <w:rPr>
                      <w:color w:val="auto"/>
                      <w:kern w:val="0"/>
                      <w:szCs w:val="21"/>
                      <w:highlight w:val="none"/>
                    </w:rPr>
                    <w:t>保护对象</w:t>
                  </w:r>
                </w:p>
              </w:tc>
              <w:tc>
                <w:tcPr>
                  <w:tcW w:w="635" w:type="pct"/>
                  <w:vAlign w:val="center"/>
                </w:tcPr>
                <w:p w14:paraId="6E605C40">
                  <w:pPr>
                    <w:autoSpaceDE w:val="0"/>
                    <w:autoSpaceDN w:val="0"/>
                    <w:jc w:val="center"/>
                    <w:rPr>
                      <w:color w:val="auto"/>
                      <w:kern w:val="0"/>
                      <w:szCs w:val="21"/>
                      <w:highlight w:val="none"/>
                    </w:rPr>
                  </w:pPr>
                  <w:r>
                    <w:rPr>
                      <w:color w:val="auto"/>
                      <w:kern w:val="0"/>
                      <w:szCs w:val="21"/>
                      <w:highlight w:val="none"/>
                    </w:rPr>
                    <w:t>保护</w:t>
                  </w:r>
                </w:p>
                <w:p w14:paraId="01BFFD9D">
                  <w:pPr>
                    <w:autoSpaceDE w:val="0"/>
                    <w:autoSpaceDN w:val="0"/>
                    <w:jc w:val="center"/>
                    <w:rPr>
                      <w:color w:val="auto"/>
                      <w:kern w:val="0"/>
                      <w:szCs w:val="21"/>
                      <w:highlight w:val="none"/>
                    </w:rPr>
                  </w:pPr>
                  <w:r>
                    <w:rPr>
                      <w:color w:val="auto"/>
                      <w:kern w:val="0"/>
                      <w:szCs w:val="21"/>
                      <w:highlight w:val="none"/>
                    </w:rPr>
                    <w:t>内容</w:t>
                  </w:r>
                </w:p>
              </w:tc>
              <w:tc>
                <w:tcPr>
                  <w:tcW w:w="1222" w:type="pct"/>
                  <w:vAlign w:val="center"/>
                </w:tcPr>
                <w:p w14:paraId="3D7114FA">
                  <w:pPr>
                    <w:autoSpaceDE w:val="0"/>
                    <w:autoSpaceDN w:val="0"/>
                    <w:jc w:val="center"/>
                    <w:rPr>
                      <w:color w:val="auto"/>
                      <w:kern w:val="0"/>
                      <w:szCs w:val="21"/>
                      <w:highlight w:val="none"/>
                    </w:rPr>
                  </w:pPr>
                  <w:r>
                    <w:rPr>
                      <w:color w:val="auto"/>
                      <w:kern w:val="0"/>
                      <w:szCs w:val="21"/>
                      <w:highlight w:val="none"/>
                    </w:rPr>
                    <w:t>环境功能区</w:t>
                  </w:r>
                </w:p>
              </w:tc>
              <w:tc>
                <w:tcPr>
                  <w:tcW w:w="514" w:type="pct"/>
                  <w:vAlign w:val="center"/>
                </w:tcPr>
                <w:p w14:paraId="363E835B">
                  <w:pPr>
                    <w:autoSpaceDE w:val="0"/>
                    <w:autoSpaceDN w:val="0"/>
                    <w:jc w:val="center"/>
                    <w:rPr>
                      <w:color w:val="auto"/>
                      <w:kern w:val="0"/>
                      <w:szCs w:val="21"/>
                      <w:highlight w:val="none"/>
                    </w:rPr>
                  </w:pPr>
                  <w:r>
                    <w:rPr>
                      <w:color w:val="auto"/>
                      <w:kern w:val="0"/>
                      <w:szCs w:val="21"/>
                      <w:highlight w:val="none"/>
                    </w:rPr>
                    <w:t>相对河道方位</w:t>
                  </w:r>
                </w:p>
              </w:tc>
              <w:tc>
                <w:tcPr>
                  <w:tcW w:w="638" w:type="pct"/>
                  <w:vAlign w:val="center"/>
                </w:tcPr>
                <w:p w14:paraId="1741FDF2">
                  <w:pPr>
                    <w:autoSpaceDE w:val="0"/>
                    <w:autoSpaceDN w:val="0"/>
                    <w:jc w:val="center"/>
                    <w:rPr>
                      <w:color w:val="auto"/>
                      <w:kern w:val="0"/>
                      <w:szCs w:val="21"/>
                      <w:highlight w:val="none"/>
                    </w:rPr>
                  </w:pPr>
                  <w:r>
                    <w:rPr>
                      <w:color w:val="auto"/>
                      <w:kern w:val="0"/>
                      <w:szCs w:val="21"/>
                      <w:highlight w:val="none"/>
                    </w:rPr>
                    <w:t>相对河道</w:t>
                  </w:r>
                </w:p>
                <w:p w14:paraId="59B7F61E">
                  <w:pPr>
                    <w:autoSpaceDE w:val="0"/>
                    <w:autoSpaceDN w:val="0"/>
                    <w:jc w:val="center"/>
                    <w:rPr>
                      <w:color w:val="auto"/>
                      <w:kern w:val="0"/>
                      <w:szCs w:val="21"/>
                      <w:highlight w:val="none"/>
                    </w:rPr>
                  </w:pPr>
                  <w:r>
                    <w:rPr>
                      <w:color w:val="auto"/>
                      <w:kern w:val="0"/>
                      <w:szCs w:val="21"/>
                      <w:highlight w:val="none"/>
                    </w:rPr>
                    <w:t>距离（m）</w:t>
                  </w:r>
                </w:p>
              </w:tc>
            </w:tr>
            <w:tr w14:paraId="44D634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restart"/>
                  <w:vAlign w:val="center"/>
                </w:tcPr>
                <w:p w14:paraId="523D83AE">
                  <w:pPr>
                    <w:autoSpaceDE w:val="0"/>
                    <w:autoSpaceDN w:val="0"/>
                    <w:jc w:val="center"/>
                    <w:rPr>
                      <w:color w:val="auto"/>
                      <w:kern w:val="0"/>
                      <w:szCs w:val="21"/>
                      <w:highlight w:val="none"/>
                    </w:rPr>
                  </w:pPr>
                  <w:r>
                    <w:rPr>
                      <w:color w:val="auto"/>
                      <w:kern w:val="0"/>
                      <w:szCs w:val="21"/>
                      <w:highlight w:val="none"/>
                    </w:rPr>
                    <w:t>大气</w:t>
                  </w:r>
                </w:p>
                <w:p w14:paraId="1CF1985C">
                  <w:pPr>
                    <w:autoSpaceDE w:val="0"/>
                    <w:autoSpaceDN w:val="0"/>
                    <w:jc w:val="center"/>
                    <w:rPr>
                      <w:color w:val="auto"/>
                      <w:kern w:val="0"/>
                      <w:szCs w:val="21"/>
                      <w:highlight w:val="none"/>
                    </w:rPr>
                  </w:pPr>
                  <w:r>
                    <w:rPr>
                      <w:color w:val="auto"/>
                      <w:kern w:val="0"/>
                      <w:szCs w:val="21"/>
                      <w:highlight w:val="none"/>
                    </w:rPr>
                    <w:t>环境</w:t>
                  </w:r>
                </w:p>
              </w:tc>
              <w:tc>
                <w:tcPr>
                  <w:tcW w:w="1500" w:type="pct"/>
                  <w:vAlign w:val="center"/>
                </w:tcPr>
                <w:p w14:paraId="7B6EC0CF">
                  <w:pPr>
                    <w:jc w:val="center"/>
                    <w:rPr>
                      <w:rFonts w:hint="eastAsia" w:eastAsia="宋体"/>
                      <w:color w:val="auto"/>
                      <w:kern w:val="0"/>
                      <w:szCs w:val="21"/>
                      <w:highlight w:val="none"/>
                      <w:lang w:eastAsia="zh-CN"/>
                    </w:rPr>
                  </w:pPr>
                  <w:r>
                    <w:rPr>
                      <w:rFonts w:hint="eastAsia"/>
                      <w:color w:val="auto"/>
                      <w:kern w:val="0"/>
                      <w:szCs w:val="21"/>
                      <w:highlight w:val="none"/>
                      <w:lang w:eastAsia="zh-CN"/>
                    </w:rPr>
                    <w:t>耿家村生活区</w:t>
                  </w:r>
                </w:p>
              </w:tc>
              <w:tc>
                <w:tcPr>
                  <w:tcW w:w="635" w:type="pct"/>
                  <w:vAlign w:val="center"/>
                </w:tcPr>
                <w:p w14:paraId="62E7B8A9">
                  <w:pPr>
                    <w:autoSpaceDE w:val="0"/>
                    <w:autoSpaceDN w:val="0"/>
                    <w:jc w:val="center"/>
                    <w:rPr>
                      <w:color w:val="auto"/>
                      <w:kern w:val="0"/>
                      <w:szCs w:val="21"/>
                      <w:highlight w:val="none"/>
                    </w:rPr>
                  </w:pPr>
                  <w:r>
                    <w:rPr>
                      <w:color w:val="auto"/>
                      <w:kern w:val="0"/>
                      <w:szCs w:val="21"/>
                      <w:highlight w:val="none"/>
                    </w:rPr>
                    <w:t>居民</w:t>
                  </w:r>
                </w:p>
              </w:tc>
              <w:tc>
                <w:tcPr>
                  <w:tcW w:w="1222" w:type="pct"/>
                  <w:vMerge w:val="restart"/>
                  <w:vAlign w:val="center"/>
                </w:tcPr>
                <w:p w14:paraId="6EA42826">
                  <w:pPr>
                    <w:autoSpaceDE w:val="0"/>
                    <w:autoSpaceDN w:val="0"/>
                    <w:jc w:val="center"/>
                    <w:rPr>
                      <w:color w:val="auto"/>
                      <w:kern w:val="0"/>
                      <w:szCs w:val="21"/>
                      <w:highlight w:val="none"/>
                    </w:rPr>
                  </w:pPr>
                  <w:r>
                    <w:rPr>
                      <w:bCs/>
                      <w:color w:val="auto"/>
                      <w:szCs w:val="21"/>
                      <w:highlight w:val="none"/>
                    </w:rPr>
                    <w:t>《环境空气质量标准》（GB3095-20</w:t>
                  </w:r>
                  <w:r>
                    <w:rPr>
                      <w:rFonts w:hint="eastAsia"/>
                      <w:bCs/>
                      <w:color w:val="auto"/>
                      <w:szCs w:val="21"/>
                      <w:highlight w:val="none"/>
                      <w:lang w:val="en-US" w:eastAsia="zh-CN"/>
                    </w:rPr>
                    <w:t>26</w:t>
                  </w:r>
                  <w:r>
                    <w:rPr>
                      <w:bCs/>
                      <w:color w:val="auto"/>
                      <w:szCs w:val="21"/>
                      <w:highlight w:val="none"/>
                    </w:rPr>
                    <w:t>）</w:t>
                  </w:r>
                  <w:r>
                    <w:rPr>
                      <w:rFonts w:hint="eastAsia"/>
                      <w:bCs/>
                      <w:color w:val="auto"/>
                      <w:szCs w:val="21"/>
                      <w:highlight w:val="none"/>
                      <w:lang w:eastAsia="zh-CN"/>
                    </w:rPr>
                    <w:t>过渡阶段</w:t>
                  </w:r>
                  <w:r>
                    <w:rPr>
                      <w:bCs/>
                      <w:color w:val="auto"/>
                      <w:szCs w:val="21"/>
                      <w:highlight w:val="none"/>
                    </w:rPr>
                    <w:t>二级标准</w:t>
                  </w:r>
                </w:p>
              </w:tc>
              <w:tc>
                <w:tcPr>
                  <w:tcW w:w="514" w:type="pct"/>
                  <w:vAlign w:val="center"/>
                </w:tcPr>
                <w:p w14:paraId="2AA52434">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N</w:t>
                  </w:r>
                </w:p>
              </w:tc>
              <w:tc>
                <w:tcPr>
                  <w:tcW w:w="638" w:type="pct"/>
                  <w:vAlign w:val="center"/>
                </w:tcPr>
                <w:p w14:paraId="1C6AB609">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456</w:t>
                  </w:r>
                </w:p>
              </w:tc>
            </w:tr>
            <w:tr w14:paraId="49F96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8" w:hRule="atLeast"/>
                <w:jc w:val="center"/>
              </w:trPr>
              <w:tc>
                <w:tcPr>
                  <w:tcW w:w="487" w:type="pct"/>
                  <w:vMerge w:val="continue"/>
                  <w:vAlign w:val="center"/>
                </w:tcPr>
                <w:p w14:paraId="689FC2A2">
                  <w:pPr>
                    <w:widowControl/>
                    <w:jc w:val="center"/>
                    <w:rPr>
                      <w:color w:val="auto"/>
                      <w:kern w:val="0"/>
                      <w:szCs w:val="21"/>
                      <w:highlight w:val="yellow"/>
                    </w:rPr>
                  </w:pPr>
                </w:p>
              </w:tc>
              <w:tc>
                <w:tcPr>
                  <w:tcW w:w="1500" w:type="pct"/>
                  <w:vAlign w:val="center"/>
                </w:tcPr>
                <w:p w14:paraId="53FAA7F4">
                  <w:pPr>
                    <w:jc w:val="center"/>
                    <w:rPr>
                      <w:rFonts w:hint="eastAsia" w:eastAsia="宋体"/>
                      <w:color w:val="auto"/>
                      <w:kern w:val="0"/>
                      <w:szCs w:val="21"/>
                      <w:highlight w:val="none"/>
                      <w:lang w:eastAsia="zh-CN"/>
                    </w:rPr>
                  </w:pPr>
                  <w:r>
                    <w:rPr>
                      <w:rFonts w:hint="eastAsia"/>
                      <w:color w:val="auto"/>
                      <w:kern w:val="0"/>
                      <w:szCs w:val="21"/>
                      <w:highlight w:val="none"/>
                      <w:lang w:eastAsia="zh-CN"/>
                    </w:rPr>
                    <w:t>袁家村</w:t>
                  </w:r>
                </w:p>
              </w:tc>
              <w:tc>
                <w:tcPr>
                  <w:tcW w:w="635" w:type="pct"/>
                  <w:vAlign w:val="center"/>
                </w:tcPr>
                <w:p w14:paraId="520A1315">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678AE57E">
                  <w:pPr>
                    <w:widowControl/>
                    <w:jc w:val="center"/>
                    <w:rPr>
                      <w:color w:val="auto"/>
                      <w:kern w:val="0"/>
                      <w:szCs w:val="21"/>
                      <w:highlight w:val="none"/>
                    </w:rPr>
                  </w:pPr>
                </w:p>
              </w:tc>
              <w:tc>
                <w:tcPr>
                  <w:tcW w:w="514" w:type="pct"/>
                  <w:vAlign w:val="center"/>
                </w:tcPr>
                <w:p w14:paraId="5692FCF2">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38" w:type="pct"/>
                  <w:vAlign w:val="center"/>
                </w:tcPr>
                <w:p w14:paraId="5FFEB883">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151</w:t>
                  </w:r>
                </w:p>
              </w:tc>
            </w:tr>
            <w:tr w14:paraId="48405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continue"/>
                  <w:vAlign w:val="center"/>
                </w:tcPr>
                <w:p w14:paraId="0049CEE0">
                  <w:pPr>
                    <w:widowControl/>
                    <w:jc w:val="center"/>
                    <w:rPr>
                      <w:color w:val="auto"/>
                      <w:kern w:val="0"/>
                      <w:szCs w:val="21"/>
                      <w:highlight w:val="yellow"/>
                    </w:rPr>
                  </w:pPr>
                </w:p>
              </w:tc>
              <w:tc>
                <w:tcPr>
                  <w:tcW w:w="1500" w:type="pct"/>
                  <w:vAlign w:val="center"/>
                </w:tcPr>
                <w:p w14:paraId="2A920C51">
                  <w:pPr>
                    <w:jc w:val="center"/>
                    <w:rPr>
                      <w:rFonts w:hint="eastAsia" w:eastAsia="宋体"/>
                      <w:color w:val="auto"/>
                      <w:kern w:val="0"/>
                      <w:szCs w:val="21"/>
                      <w:highlight w:val="none"/>
                      <w:lang w:eastAsia="zh-CN"/>
                    </w:rPr>
                  </w:pPr>
                  <w:r>
                    <w:rPr>
                      <w:rFonts w:hint="eastAsia"/>
                      <w:color w:val="auto"/>
                      <w:kern w:val="0"/>
                      <w:szCs w:val="21"/>
                      <w:highlight w:val="none"/>
                      <w:lang w:eastAsia="zh-CN"/>
                    </w:rPr>
                    <w:t>梁家村</w:t>
                  </w:r>
                </w:p>
              </w:tc>
              <w:tc>
                <w:tcPr>
                  <w:tcW w:w="635" w:type="pct"/>
                  <w:vAlign w:val="center"/>
                </w:tcPr>
                <w:p w14:paraId="3FEF47F5">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59A863A2">
                  <w:pPr>
                    <w:widowControl/>
                    <w:jc w:val="center"/>
                    <w:rPr>
                      <w:color w:val="auto"/>
                      <w:kern w:val="0"/>
                      <w:szCs w:val="21"/>
                      <w:highlight w:val="none"/>
                    </w:rPr>
                  </w:pPr>
                </w:p>
              </w:tc>
              <w:tc>
                <w:tcPr>
                  <w:tcW w:w="514" w:type="pct"/>
                  <w:vAlign w:val="center"/>
                </w:tcPr>
                <w:p w14:paraId="2C0331B1">
                  <w:pPr>
                    <w:jc w:val="center"/>
                    <w:rPr>
                      <w:color w:val="auto"/>
                      <w:kern w:val="0"/>
                      <w:szCs w:val="21"/>
                      <w:highlight w:val="none"/>
                    </w:rPr>
                  </w:pPr>
                  <w:r>
                    <w:rPr>
                      <w:color w:val="auto"/>
                      <w:kern w:val="0"/>
                      <w:szCs w:val="21"/>
                      <w:highlight w:val="none"/>
                    </w:rPr>
                    <w:t>W</w:t>
                  </w:r>
                </w:p>
              </w:tc>
              <w:tc>
                <w:tcPr>
                  <w:tcW w:w="638" w:type="pct"/>
                  <w:vAlign w:val="center"/>
                </w:tcPr>
                <w:p w14:paraId="1196261A">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186</w:t>
                  </w:r>
                </w:p>
              </w:tc>
            </w:tr>
            <w:tr w14:paraId="4EFB2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continue"/>
                  <w:vAlign w:val="center"/>
                </w:tcPr>
                <w:p w14:paraId="6812B06A">
                  <w:pPr>
                    <w:widowControl/>
                    <w:jc w:val="center"/>
                    <w:rPr>
                      <w:color w:val="auto"/>
                      <w:kern w:val="0"/>
                      <w:szCs w:val="21"/>
                      <w:highlight w:val="yellow"/>
                    </w:rPr>
                  </w:pPr>
                </w:p>
              </w:tc>
              <w:tc>
                <w:tcPr>
                  <w:tcW w:w="1500" w:type="pct"/>
                  <w:vAlign w:val="center"/>
                </w:tcPr>
                <w:p w14:paraId="3006CA3F">
                  <w:pPr>
                    <w:jc w:val="center"/>
                    <w:rPr>
                      <w:rFonts w:hint="eastAsia" w:eastAsia="宋体"/>
                      <w:color w:val="auto"/>
                      <w:kern w:val="0"/>
                      <w:szCs w:val="21"/>
                      <w:highlight w:val="none"/>
                      <w:lang w:eastAsia="zh-CN"/>
                    </w:rPr>
                  </w:pPr>
                  <w:r>
                    <w:rPr>
                      <w:rFonts w:hint="eastAsia"/>
                      <w:color w:val="auto"/>
                      <w:kern w:val="0"/>
                      <w:szCs w:val="21"/>
                      <w:highlight w:val="none"/>
                      <w:lang w:eastAsia="zh-CN"/>
                    </w:rPr>
                    <w:t>彭家村</w:t>
                  </w:r>
                </w:p>
              </w:tc>
              <w:tc>
                <w:tcPr>
                  <w:tcW w:w="635" w:type="pct"/>
                  <w:vAlign w:val="center"/>
                </w:tcPr>
                <w:p w14:paraId="0F899068">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2B759E21">
                  <w:pPr>
                    <w:widowControl/>
                    <w:jc w:val="center"/>
                    <w:rPr>
                      <w:color w:val="auto"/>
                      <w:kern w:val="0"/>
                      <w:szCs w:val="21"/>
                      <w:highlight w:val="yellow"/>
                    </w:rPr>
                  </w:pPr>
                </w:p>
              </w:tc>
              <w:tc>
                <w:tcPr>
                  <w:tcW w:w="514" w:type="pct"/>
                  <w:vAlign w:val="center"/>
                </w:tcPr>
                <w:p w14:paraId="5A40223E">
                  <w:pPr>
                    <w:jc w:val="center"/>
                    <w:rPr>
                      <w:color w:val="auto"/>
                      <w:kern w:val="0"/>
                      <w:szCs w:val="21"/>
                      <w:highlight w:val="none"/>
                    </w:rPr>
                  </w:pPr>
                  <w:r>
                    <w:rPr>
                      <w:color w:val="auto"/>
                      <w:kern w:val="0"/>
                      <w:szCs w:val="21"/>
                      <w:highlight w:val="none"/>
                    </w:rPr>
                    <w:t>W</w:t>
                  </w:r>
                </w:p>
              </w:tc>
              <w:tc>
                <w:tcPr>
                  <w:tcW w:w="638" w:type="pct"/>
                  <w:vAlign w:val="center"/>
                </w:tcPr>
                <w:p w14:paraId="696E7E96">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132</w:t>
                  </w:r>
                </w:p>
              </w:tc>
            </w:tr>
            <w:tr w14:paraId="5FDBB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continue"/>
                  <w:vAlign w:val="center"/>
                </w:tcPr>
                <w:p w14:paraId="1416AA91">
                  <w:pPr>
                    <w:widowControl/>
                    <w:jc w:val="center"/>
                    <w:rPr>
                      <w:color w:val="auto"/>
                      <w:kern w:val="0"/>
                      <w:szCs w:val="21"/>
                      <w:highlight w:val="yellow"/>
                    </w:rPr>
                  </w:pPr>
                </w:p>
              </w:tc>
              <w:tc>
                <w:tcPr>
                  <w:tcW w:w="1500" w:type="pct"/>
                  <w:vAlign w:val="center"/>
                </w:tcPr>
                <w:p w14:paraId="449A4C06">
                  <w:pPr>
                    <w:jc w:val="center"/>
                    <w:rPr>
                      <w:rFonts w:hint="eastAsia" w:eastAsia="宋体"/>
                      <w:color w:val="auto"/>
                      <w:kern w:val="0"/>
                      <w:szCs w:val="21"/>
                      <w:highlight w:val="none"/>
                      <w:lang w:eastAsia="zh-CN"/>
                    </w:rPr>
                  </w:pPr>
                  <w:r>
                    <w:rPr>
                      <w:rFonts w:hint="eastAsia"/>
                      <w:color w:val="auto"/>
                      <w:kern w:val="0"/>
                      <w:szCs w:val="21"/>
                      <w:highlight w:val="none"/>
                      <w:lang w:eastAsia="zh-CN"/>
                    </w:rPr>
                    <w:t>金马村</w:t>
                  </w:r>
                </w:p>
              </w:tc>
              <w:tc>
                <w:tcPr>
                  <w:tcW w:w="635" w:type="pct"/>
                  <w:vAlign w:val="center"/>
                </w:tcPr>
                <w:p w14:paraId="6E6369BA">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76DC05D2">
                  <w:pPr>
                    <w:widowControl/>
                    <w:jc w:val="center"/>
                    <w:rPr>
                      <w:color w:val="auto"/>
                      <w:kern w:val="0"/>
                      <w:szCs w:val="21"/>
                      <w:highlight w:val="yellow"/>
                    </w:rPr>
                  </w:pPr>
                </w:p>
              </w:tc>
              <w:tc>
                <w:tcPr>
                  <w:tcW w:w="514" w:type="pct"/>
                  <w:vAlign w:val="center"/>
                </w:tcPr>
                <w:p w14:paraId="71D82FDD">
                  <w:pPr>
                    <w:jc w:val="center"/>
                    <w:rPr>
                      <w:color w:val="auto"/>
                      <w:kern w:val="0"/>
                      <w:szCs w:val="21"/>
                      <w:highlight w:val="none"/>
                    </w:rPr>
                  </w:pPr>
                  <w:r>
                    <w:rPr>
                      <w:color w:val="auto"/>
                      <w:kern w:val="0"/>
                      <w:szCs w:val="21"/>
                      <w:highlight w:val="none"/>
                    </w:rPr>
                    <w:t>E</w:t>
                  </w:r>
                </w:p>
              </w:tc>
              <w:tc>
                <w:tcPr>
                  <w:tcW w:w="638" w:type="pct"/>
                  <w:vAlign w:val="center"/>
                </w:tcPr>
                <w:p w14:paraId="0DB124C1">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374</w:t>
                  </w:r>
                </w:p>
              </w:tc>
            </w:tr>
            <w:tr w14:paraId="07AEC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continue"/>
                  <w:vAlign w:val="center"/>
                </w:tcPr>
                <w:p w14:paraId="0A013F7B">
                  <w:pPr>
                    <w:widowControl/>
                    <w:jc w:val="center"/>
                    <w:rPr>
                      <w:color w:val="auto"/>
                      <w:kern w:val="0"/>
                      <w:szCs w:val="21"/>
                      <w:highlight w:val="yellow"/>
                    </w:rPr>
                  </w:pPr>
                </w:p>
              </w:tc>
              <w:tc>
                <w:tcPr>
                  <w:tcW w:w="1500" w:type="pct"/>
                  <w:vAlign w:val="center"/>
                </w:tcPr>
                <w:p w14:paraId="6CED0276">
                  <w:pPr>
                    <w:jc w:val="center"/>
                    <w:rPr>
                      <w:rFonts w:hint="eastAsia" w:eastAsia="宋体"/>
                      <w:color w:val="auto"/>
                      <w:kern w:val="0"/>
                      <w:szCs w:val="21"/>
                      <w:highlight w:val="none"/>
                      <w:lang w:eastAsia="zh-CN"/>
                    </w:rPr>
                  </w:pPr>
                  <w:r>
                    <w:rPr>
                      <w:rFonts w:hint="eastAsia"/>
                      <w:color w:val="auto"/>
                      <w:kern w:val="0"/>
                      <w:szCs w:val="21"/>
                      <w:highlight w:val="none"/>
                      <w:lang w:eastAsia="zh-CN"/>
                    </w:rPr>
                    <w:t>法家村</w:t>
                  </w:r>
                </w:p>
              </w:tc>
              <w:tc>
                <w:tcPr>
                  <w:tcW w:w="635" w:type="pct"/>
                  <w:vAlign w:val="center"/>
                </w:tcPr>
                <w:p w14:paraId="5B844C39">
                  <w:pPr>
                    <w:autoSpaceDE w:val="0"/>
                    <w:autoSpaceDN w:val="0"/>
                    <w:jc w:val="center"/>
                    <w:rPr>
                      <w:color w:val="auto"/>
                      <w:kern w:val="0"/>
                      <w:szCs w:val="21"/>
                      <w:highlight w:val="none"/>
                    </w:rPr>
                  </w:pPr>
                  <w:r>
                    <w:rPr>
                      <w:color w:val="auto"/>
                      <w:kern w:val="0"/>
                      <w:szCs w:val="21"/>
                      <w:highlight w:val="none"/>
                    </w:rPr>
                    <w:t>居民</w:t>
                  </w:r>
                </w:p>
              </w:tc>
              <w:tc>
                <w:tcPr>
                  <w:tcW w:w="1222" w:type="pct"/>
                  <w:vMerge w:val="continue"/>
                  <w:vAlign w:val="center"/>
                </w:tcPr>
                <w:p w14:paraId="7D6CFB26">
                  <w:pPr>
                    <w:widowControl/>
                    <w:jc w:val="center"/>
                    <w:rPr>
                      <w:color w:val="auto"/>
                      <w:kern w:val="0"/>
                      <w:szCs w:val="21"/>
                      <w:highlight w:val="none"/>
                    </w:rPr>
                  </w:pPr>
                </w:p>
              </w:tc>
              <w:tc>
                <w:tcPr>
                  <w:tcW w:w="514" w:type="pct"/>
                  <w:vAlign w:val="center"/>
                </w:tcPr>
                <w:p w14:paraId="58EBD5D7">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w:t>
                  </w:r>
                </w:p>
              </w:tc>
              <w:tc>
                <w:tcPr>
                  <w:tcW w:w="638" w:type="pct"/>
                  <w:vAlign w:val="center"/>
                </w:tcPr>
                <w:p w14:paraId="6A778ED1">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75</w:t>
                  </w:r>
                </w:p>
              </w:tc>
            </w:tr>
            <w:tr w14:paraId="642BEF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Align w:val="center"/>
                </w:tcPr>
                <w:p w14:paraId="7AC0D1F9">
                  <w:pPr>
                    <w:widowControl/>
                    <w:jc w:val="center"/>
                    <w:rPr>
                      <w:color w:val="auto"/>
                      <w:kern w:val="0"/>
                      <w:szCs w:val="21"/>
                      <w:highlight w:val="none"/>
                    </w:rPr>
                  </w:pPr>
                  <w:r>
                    <w:rPr>
                      <w:color w:val="auto"/>
                      <w:kern w:val="0"/>
                      <w:szCs w:val="21"/>
                      <w:highlight w:val="none"/>
                    </w:rPr>
                    <w:t>声环境</w:t>
                  </w:r>
                </w:p>
              </w:tc>
              <w:tc>
                <w:tcPr>
                  <w:tcW w:w="2136" w:type="pct"/>
                  <w:gridSpan w:val="2"/>
                  <w:vAlign w:val="center"/>
                </w:tcPr>
                <w:p w14:paraId="1E5A7597">
                  <w:pPr>
                    <w:autoSpaceDE w:val="0"/>
                    <w:autoSpaceDN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50m范围内无声环境敏感目标</w:t>
                  </w:r>
                </w:p>
              </w:tc>
              <w:tc>
                <w:tcPr>
                  <w:tcW w:w="1222" w:type="pct"/>
                  <w:vAlign w:val="center"/>
                </w:tcPr>
                <w:p w14:paraId="0F5DE78B">
                  <w:pPr>
                    <w:autoSpaceDE w:val="0"/>
                    <w:autoSpaceDN w:val="0"/>
                    <w:jc w:val="center"/>
                    <w:rPr>
                      <w:color w:val="auto"/>
                      <w:kern w:val="0"/>
                      <w:szCs w:val="21"/>
                      <w:highlight w:val="none"/>
                    </w:rPr>
                  </w:pPr>
                  <w:r>
                    <w:rPr>
                      <w:color w:val="auto"/>
                      <w:szCs w:val="21"/>
                      <w:highlight w:val="none"/>
                    </w:rPr>
                    <w:t>《声环境质量标准》（GB3096-2008）的2类声环境功能区要求</w:t>
                  </w:r>
                </w:p>
              </w:tc>
              <w:tc>
                <w:tcPr>
                  <w:tcW w:w="514" w:type="pct"/>
                  <w:vAlign w:val="center"/>
                </w:tcPr>
                <w:p w14:paraId="20887020">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c>
                <w:tcPr>
                  <w:tcW w:w="638" w:type="pct"/>
                  <w:vAlign w:val="center"/>
                </w:tcPr>
                <w:p w14:paraId="2D42510B">
                  <w:pPr>
                    <w:jc w:val="center"/>
                    <w:rPr>
                      <w:rFonts w:hint="eastAsia" w:eastAsia="宋体"/>
                      <w:color w:val="auto"/>
                      <w:kern w:val="0"/>
                      <w:szCs w:val="21"/>
                      <w:highlight w:val="none"/>
                      <w:lang w:eastAsia="zh-CN"/>
                    </w:rPr>
                  </w:pPr>
                  <w:r>
                    <w:rPr>
                      <w:rFonts w:hint="eastAsia"/>
                      <w:color w:val="auto"/>
                      <w:kern w:val="0"/>
                      <w:szCs w:val="21"/>
                      <w:highlight w:val="none"/>
                      <w:lang w:val="en-US" w:eastAsia="zh-CN"/>
                    </w:rPr>
                    <w:t>/</w:t>
                  </w:r>
                </w:p>
              </w:tc>
            </w:tr>
            <w:tr w14:paraId="7B263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Align w:val="center"/>
                </w:tcPr>
                <w:p w14:paraId="0F56C2F2">
                  <w:pPr>
                    <w:widowControl/>
                    <w:jc w:val="center"/>
                    <w:rPr>
                      <w:color w:val="auto"/>
                      <w:kern w:val="0"/>
                      <w:szCs w:val="21"/>
                      <w:highlight w:val="none"/>
                    </w:rPr>
                  </w:pPr>
                  <w:r>
                    <w:rPr>
                      <w:color w:val="auto"/>
                      <w:kern w:val="0"/>
                      <w:szCs w:val="21"/>
                      <w:highlight w:val="none"/>
                    </w:rPr>
                    <w:t>地下水环境</w:t>
                  </w:r>
                </w:p>
              </w:tc>
              <w:tc>
                <w:tcPr>
                  <w:tcW w:w="2136" w:type="pct"/>
                  <w:gridSpan w:val="2"/>
                  <w:vAlign w:val="center"/>
                </w:tcPr>
                <w:p w14:paraId="0E816C26">
                  <w:pPr>
                    <w:widowControl/>
                    <w:jc w:val="center"/>
                    <w:rPr>
                      <w:color w:val="auto"/>
                      <w:kern w:val="0"/>
                      <w:szCs w:val="21"/>
                      <w:highlight w:val="none"/>
                    </w:rPr>
                  </w:pPr>
                  <w:r>
                    <w:rPr>
                      <w:color w:val="auto"/>
                      <w:kern w:val="0"/>
                      <w:szCs w:val="21"/>
                      <w:highlight w:val="none"/>
                    </w:rPr>
                    <w:t>厂界外500米范围内无地下水集中式饮用水源和热水、矿泉水、温泉等特殊地下水资源</w:t>
                  </w:r>
                </w:p>
              </w:tc>
              <w:tc>
                <w:tcPr>
                  <w:tcW w:w="1222" w:type="pct"/>
                  <w:vAlign w:val="center"/>
                </w:tcPr>
                <w:p w14:paraId="161EA40E">
                  <w:pPr>
                    <w:autoSpaceDE w:val="0"/>
                    <w:autoSpaceDN w:val="0"/>
                    <w:jc w:val="center"/>
                    <w:rPr>
                      <w:color w:val="auto"/>
                      <w:kern w:val="0"/>
                      <w:szCs w:val="21"/>
                      <w:highlight w:val="none"/>
                    </w:rPr>
                  </w:pPr>
                  <w:r>
                    <w:rPr>
                      <w:color w:val="auto"/>
                      <w:szCs w:val="21"/>
                      <w:highlight w:val="none"/>
                    </w:rPr>
                    <w:t>《地下水质量标准》（GB/T14848-2017）Ⅲ类标准</w:t>
                  </w:r>
                </w:p>
              </w:tc>
              <w:tc>
                <w:tcPr>
                  <w:tcW w:w="514" w:type="pct"/>
                  <w:vAlign w:val="center"/>
                </w:tcPr>
                <w:p w14:paraId="3088740B">
                  <w:pPr>
                    <w:autoSpaceDE w:val="0"/>
                    <w:autoSpaceDN w:val="0"/>
                    <w:jc w:val="center"/>
                    <w:rPr>
                      <w:color w:val="auto"/>
                      <w:kern w:val="0"/>
                      <w:szCs w:val="21"/>
                      <w:highlight w:val="none"/>
                    </w:rPr>
                  </w:pPr>
                  <w:r>
                    <w:rPr>
                      <w:color w:val="auto"/>
                      <w:kern w:val="0"/>
                      <w:szCs w:val="21"/>
                      <w:highlight w:val="none"/>
                    </w:rPr>
                    <w:t>/</w:t>
                  </w:r>
                </w:p>
              </w:tc>
              <w:tc>
                <w:tcPr>
                  <w:tcW w:w="638" w:type="pct"/>
                  <w:vAlign w:val="center"/>
                </w:tcPr>
                <w:p w14:paraId="7DD8A45B">
                  <w:pPr>
                    <w:autoSpaceDE w:val="0"/>
                    <w:autoSpaceDN w:val="0"/>
                    <w:jc w:val="center"/>
                    <w:rPr>
                      <w:color w:val="auto"/>
                      <w:kern w:val="0"/>
                      <w:szCs w:val="21"/>
                      <w:highlight w:val="none"/>
                    </w:rPr>
                  </w:pPr>
                  <w:r>
                    <w:rPr>
                      <w:color w:val="auto"/>
                      <w:kern w:val="0"/>
                      <w:szCs w:val="21"/>
                      <w:highlight w:val="none"/>
                    </w:rPr>
                    <w:t>/</w:t>
                  </w:r>
                </w:p>
              </w:tc>
            </w:tr>
            <w:tr w14:paraId="08C55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restart"/>
                  <w:vAlign w:val="center"/>
                </w:tcPr>
                <w:p w14:paraId="04791336">
                  <w:pPr>
                    <w:jc w:val="center"/>
                    <w:rPr>
                      <w:color w:val="auto"/>
                      <w:kern w:val="0"/>
                      <w:szCs w:val="21"/>
                      <w:highlight w:val="none"/>
                    </w:rPr>
                  </w:pPr>
                  <w:r>
                    <w:rPr>
                      <w:color w:val="auto"/>
                      <w:szCs w:val="21"/>
                      <w:highlight w:val="none"/>
                    </w:rPr>
                    <w:t>地表水</w:t>
                  </w:r>
                </w:p>
              </w:tc>
              <w:tc>
                <w:tcPr>
                  <w:tcW w:w="2136" w:type="pct"/>
                  <w:gridSpan w:val="2"/>
                  <w:shd w:val="clear" w:color="auto" w:fill="auto"/>
                  <w:vAlign w:val="center"/>
                </w:tcPr>
                <w:p w14:paraId="33E2B02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范阳河</w:t>
                  </w:r>
                </w:p>
              </w:tc>
              <w:tc>
                <w:tcPr>
                  <w:tcW w:w="1222" w:type="pct"/>
                  <w:shd w:val="clear" w:color="auto" w:fill="auto"/>
                  <w:vAlign w:val="center"/>
                </w:tcPr>
                <w:p w14:paraId="1A8C57C1">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《地表水环境质量标准》（GB3838-2002）</w:t>
                  </w:r>
                  <w:r>
                    <w:rPr>
                      <w:color w:val="auto"/>
                      <w:spacing w:val="-2"/>
                      <w:szCs w:val="21"/>
                      <w:highlight w:val="none"/>
                    </w:rPr>
                    <w:t>V</w:t>
                  </w:r>
                  <w:r>
                    <w:rPr>
                      <w:color w:val="auto"/>
                      <w:szCs w:val="21"/>
                      <w:highlight w:val="none"/>
                    </w:rPr>
                    <w:t>类标准</w:t>
                  </w:r>
                </w:p>
              </w:tc>
              <w:tc>
                <w:tcPr>
                  <w:tcW w:w="1153" w:type="pct"/>
                  <w:gridSpan w:val="2"/>
                  <w:shd w:val="clear" w:color="auto" w:fill="auto"/>
                  <w:vAlign w:val="center"/>
                </w:tcPr>
                <w:p w14:paraId="150F5890">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袁家河汇入范阳河</w:t>
                  </w:r>
                </w:p>
              </w:tc>
            </w:tr>
            <w:tr w14:paraId="2EC9AE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Merge w:val="continue"/>
                  <w:vAlign w:val="center"/>
                </w:tcPr>
                <w:p w14:paraId="14B97CB3">
                  <w:pPr>
                    <w:jc w:val="center"/>
                    <w:rPr>
                      <w:color w:val="auto"/>
                      <w:szCs w:val="21"/>
                      <w:highlight w:val="none"/>
                    </w:rPr>
                  </w:pPr>
                </w:p>
              </w:tc>
              <w:tc>
                <w:tcPr>
                  <w:tcW w:w="2136" w:type="pct"/>
                  <w:gridSpan w:val="2"/>
                  <w:shd w:val="clear" w:color="auto" w:fill="auto"/>
                  <w:vAlign w:val="center"/>
                </w:tcPr>
                <w:p w14:paraId="2AF1A9A8">
                  <w:pPr>
                    <w:jc w:val="center"/>
                    <w:rPr>
                      <w:rFonts w:ascii="Times New Roman" w:hAnsi="Times New Roman" w:eastAsia="宋体" w:cs="Times New Roman"/>
                      <w:color w:val="auto"/>
                      <w:kern w:val="0"/>
                      <w:sz w:val="21"/>
                      <w:szCs w:val="21"/>
                      <w:highlight w:val="none"/>
                      <w:lang w:val="en-US" w:eastAsia="zh-CN" w:bidi="ar-SA"/>
                    </w:rPr>
                  </w:pPr>
                  <w:r>
                    <w:rPr>
                      <w:color w:val="auto"/>
                      <w:kern w:val="0"/>
                      <w:szCs w:val="21"/>
                      <w:highlight w:val="none"/>
                    </w:rPr>
                    <w:t>孝妇河</w:t>
                  </w:r>
                </w:p>
              </w:tc>
              <w:tc>
                <w:tcPr>
                  <w:tcW w:w="1222" w:type="pct"/>
                  <w:shd w:val="clear" w:color="auto" w:fill="auto"/>
                  <w:vAlign w:val="center"/>
                </w:tcPr>
                <w:p w14:paraId="14066894">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《地表水环境质量标准》（GB3838-2002）IV类标准</w:t>
                  </w:r>
                </w:p>
              </w:tc>
              <w:tc>
                <w:tcPr>
                  <w:tcW w:w="1153" w:type="pct"/>
                  <w:gridSpan w:val="2"/>
                  <w:shd w:val="clear" w:color="auto" w:fill="auto"/>
                  <w:vAlign w:val="center"/>
                </w:tcPr>
                <w:p w14:paraId="54E6A15F">
                  <w:pPr>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eastAsia="zh-CN"/>
                    </w:rPr>
                    <w:t>范阳河</w:t>
                  </w:r>
                  <w:r>
                    <w:rPr>
                      <w:color w:val="auto"/>
                      <w:kern w:val="0"/>
                      <w:szCs w:val="21"/>
                      <w:highlight w:val="none"/>
                    </w:rPr>
                    <w:t>汇入孝妇河</w:t>
                  </w:r>
                </w:p>
              </w:tc>
            </w:tr>
            <w:tr w14:paraId="6F62B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7" w:type="pct"/>
                  <w:vAlign w:val="center"/>
                </w:tcPr>
                <w:p w14:paraId="0A42C60A">
                  <w:pPr>
                    <w:autoSpaceDE w:val="0"/>
                    <w:autoSpaceDN w:val="0"/>
                    <w:jc w:val="center"/>
                    <w:rPr>
                      <w:color w:val="auto"/>
                      <w:kern w:val="0"/>
                      <w:szCs w:val="21"/>
                      <w:highlight w:val="none"/>
                    </w:rPr>
                  </w:pPr>
                  <w:r>
                    <w:rPr>
                      <w:color w:val="auto"/>
                      <w:kern w:val="0"/>
                      <w:szCs w:val="21"/>
                      <w:highlight w:val="none"/>
                    </w:rPr>
                    <w:t>生态</w:t>
                  </w:r>
                </w:p>
                <w:p w14:paraId="3EB41485">
                  <w:pPr>
                    <w:autoSpaceDE w:val="0"/>
                    <w:autoSpaceDN w:val="0"/>
                    <w:jc w:val="center"/>
                    <w:rPr>
                      <w:color w:val="auto"/>
                      <w:kern w:val="0"/>
                      <w:szCs w:val="21"/>
                      <w:highlight w:val="none"/>
                    </w:rPr>
                  </w:pPr>
                  <w:r>
                    <w:rPr>
                      <w:color w:val="auto"/>
                      <w:kern w:val="0"/>
                      <w:szCs w:val="21"/>
                      <w:highlight w:val="none"/>
                    </w:rPr>
                    <w:t>环境</w:t>
                  </w:r>
                </w:p>
              </w:tc>
              <w:tc>
                <w:tcPr>
                  <w:tcW w:w="4512" w:type="pct"/>
                  <w:gridSpan w:val="5"/>
                  <w:vAlign w:val="center"/>
                </w:tcPr>
                <w:p w14:paraId="1D841693">
                  <w:pPr>
                    <w:widowControl/>
                    <w:jc w:val="center"/>
                    <w:rPr>
                      <w:color w:val="auto"/>
                      <w:kern w:val="0"/>
                      <w:szCs w:val="21"/>
                      <w:highlight w:val="none"/>
                    </w:rPr>
                  </w:pPr>
                  <w:r>
                    <w:rPr>
                      <w:color w:val="auto"/>
                      <w:szCs w:val="21"/>
                      <w:highlight w:val="none"/>
                    </w:rPr>
                    <w:t>项目生态评价范围内无受影响的重要物种、生态敏感区以及其他需要保护的物种、种群、生物群落及生态空间等</w:t>
                  </w:r>
                </w:p>
              </w:tc>
            </w:tr>
          </w:tbl>
          <w:p w14:paraId="058FBE10">
            <w:pPr>
              <w:numPr>
                <w:ilvl w:val="0"/>
                <w:numId w:val="7"/>
              </w:numPr>
              <w:snapToGrid w:val="0"/>
              <w:spacing w:line="360" w:lineRule="auto"/>
              <w:ind w:firstLine="480" w:firstLineChars="200"/>
              <w:rPr>
                <w:color w:val="auto"/>
                <w:sz w:val="24"/>
              </w:rPr>
            </w:pPr>
            <w:r>
              <w:rPr>
                <w:rFonts w:hint="eastAsia"/>
                <w:color w:val="auto"/>
                <w:sz w:val="24"/>
              </w:rPr>
              <w:t>小旦村排涝沟</w:t>
            </w:r>
          </w:p>
          <w:p w14:paraId="398F1F15">
            <w:pPr>
              <w:numPr>
                <w:ilvl w:val="0"/>
                <w:numId w:val="0"/>
              </w:numPr>
              <w:snapToGrid w:val="0"/>
              <w:spacing w:line="360" w:lineRule="auto"/>
              <w:jc w:val="center"/>
              <w:rPr>
                <w:color w:val="auto"/>
                <w:sz w:val="24"/>
              </w:rPr>
            </w:pPr>
            <w:r>
              <w:rPr>
                <w:b/>
                <w:bCs/>
                <w:color w:val="auto"/>
                <w:szCs w:val="21"/>
              </w:rPr>
              <w:t>表3-</w:t>
            </w:r>
            <w:r>
              <w:rPr>
                <w:rFonts w:hint="eastAsia"/>
                <w:b/>
                <w:bCs/>
                <w:color w:val="auto"/>
                <w:szCs w:val="21"/>
                <w:lang w:val="en-US" w:eastAsia="zh-CN"/>
              </w:rPr>
              <w:t>18</w:t>
            </w:r>
            <w:r>
              <w:rPr>
                <w:b/>
                <w:bCs/>
                <w:color w:val="auto"/>
                <w:szCs w:val="21"/>
              </w:rPr>
              <w:t xml:space="preserve">  经开区内</w:t>
            </w:r>
            <w:r>
              <w:rPr>
                <w:rFonts w:hint="eastAsia"/>
                <w:b/>
                <w:bCs/>
                <w:color w:val="auto"/>
                <w:szCs w:val="21"/>
                <w:lang w:eastAsia="zh-CN"/>
              </w:rPr>
              <w:t>小旦村排涝沟</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1"/>
              <w:gridCol w:w="2464"/>
              <w:gridCol w:w="1045"/>
              <w:gridCol w:w="2008"/>
              <w:gridCol w:w="844"/>
              <w:gridCol w:w="1060"/>
            </w:tblGrid>
            <w:tr w14:paraId="383691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2" w:type="pct"/>
                  <w:vAlign w:val="center"/>
                </w:tcPr>
                <w:p w14:paraId="68BF6D2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3F5742AB">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类别</w:t>
                  </w:r>
                </w:p>
              </w:tc>
              <w:tc>
                <w:tcPr>
                  <w:tcW w:w="1500" w:type="pct"/>
                  <w:vAlign w:val="center"/>
                </w:tcPr>
                <w:p w14:paraId="3302125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保护对象</w:t>
                  </w:r>
                </w:p>
              </w:tc>
              <w:tc>
                <w:tcPr>
                  <w:tcW w:w="635" w:type="pct"/>
                  <w:vAlign w:val="center"/>
                </w:tcPr>
                <w:p w14:paraId="417996B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w:t>
                  </w:r>
                </w:p>
                <w:p w14:paraId="0DD78D8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内容</w:t>
                  </w:r>
                </w:p>
              </w:tc>
              <w:tc>
                <w:tcPr>
                  <w:tcW w:w="1222" w:type="pct"/>
                  <w:vAlign w:val="center"/>
                </w:tcPr>
                <w:p w14:paraId="2746057B">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环境功能区</w:t>
                  </w:r>
                </w:p>
              </w:tc>
              <w:tc>
                <w:tcPr>
                  <w:tcW w:w="514" w:type="pct"/>
                  <w:vAlign w:val="center"/>
                </w:tcPr>
                <w:p w14:paraId="1ECAADE0">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相对河道方位</w:t>
                  </w:r>
                </w:p>
              </w:tc>
              <w:tc>
                <w:tcPr>
                  <w:tcW w:w="644" w:type="pct"/>
                  <w:vAlign w:val="center"/>
                </w:tcPr>
                <w:p w14:paraId="3399D23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相对河道</w:t>
                  </w:r>
                </w:p>
                <w:p w14:paraId="102AF0C9">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距离（m）</w:t>
                  </w:r>
                </w:p>
              </w:tc>
            </w:tr>
            <w:tr w14:paraId="01E21A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61A2F4C2">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w:t>
                  </w:r>
                </w:p>
                <w:p w14:paraId="7BDE9AE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tc>
              <w:tc>
                <w:tcPr>
                  <w:tcW w:w="1500" w:type="pct"/>
                  <w:shd w:val="clear" w:color="auto" w:fill="auto"/>
                  <w:vAlign w:val="center"/>
                </w:tcPr>
                <w:p w14:paraId="446D85BF">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小旦村</w:t>
                  </w:r>
                </w:p>
              </w:tc>
              <w:tc>
                <w:tcPr>
                  <w:tcW w:w="635" w:type="pct"/>
                  <w:shd w:val="clear" w:color="auto" w:fill="auto"/>
                  <w:vAlign w:val="center"/>
                </w:tcPr>
                <w:p w14:paraId="55568B7D">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restart"/>
                  <w:vAlign w:val="center"/>
                </w:tcPr>
                <w:p w14:paraId="1E14E19D">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《环境空气质量标准》（GB3095-20</w:t>
                  </w:r>
                  <w:r>
                    <w:rPr>
                      <w:rFonts w:hint="eastAsia" w:cs="Times New Roman"/>
                      <w:bCs/>
                      <w:color w:val="auto"/>
                      <w:sz w:val="21"/>
                      <w:szCs w:val="21"/>
                      <w:lang w:val="en-US" w:eastAsia="zh-CN"/>
                    </w:rPr>
                    <w:t>26</w:t>
                  </w:r>
                  <w:r>
                    <w:rPr>
                      <w:rFonts w:hint="default" w:ascii="Times New Roman" w:hAnsi="Times New Roman" w:eastAsia="宋体" w:cs="Times New Roman"/>
                      <w:bCs/>
                      <w:color w:val="auto"/>
                      <w:sz w:val="21"/>
                      <w:szCs w:val="21"/>
                    </w:rPr>
                    <w:t>）</w:t>
                  </w:r>
                  <w:r>
                    <w:rPr>
                      <w:rFonts w:hint="eastAsia"/>
                      <w:bCs/>
                      <w:color w:val="auto"/>
                      <w:szCs w:val="21"/>
                      <w:highlight w:val="none"/>
                      <w:lang w:eastAsia="zh-CN"/>
                    </w:rPr>
                    <w:t>过渡阶段</w:t>
                  </w:r>
                  <w:r>
                    <w:rPr>
                      <w:rFonts w:hint="default" w:ascii="Times New Roman" w:hAnsi="Times New Roman" w:eastAsia="宋体" w:cs="Times New Roman"/>
                      <w:bCs/>
                      <w:color w:val="auto"/>
                      <w:sz w:val="21"/>
                      <w:szCs w:val="21"/>
                    </w:rPr>
                    <w:t>二级标准</w:t>
                  </w:r>
                </w:p>
              </w:tc>
              <w:tc>
                <w:tcPr>
                  <w:tcW w:w="514" w:type="pct"/>
                  <w:shd w:val="clear" w:color="auto" w:fill="auto"/>
                  <w:vAlign w:val="center"/>
                </w:tcPr>
                <w:p w14:paraId="52EA3B9A">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w:t>
                  </w:r>
                </w:p>
              </w:tc>
              <w:tc>
                <w:tcPr>
                  <w:tcW w:w="644" w:type="pct"/>
                  <w:shd w:val="clear" w:color="auto" w:fill="auto"/>
                  <w:vAlign w:val="center"/>
                </w:tcPr>
                <w:p w14:paraId="734403D6">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25</w:t>
                  </w:r>
                </w:p>
              </w:tc>
            </w:tr>
            <w:tr w14:paraId="176C8B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69FC4CA4">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447134F4">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大旦村</w:t>
                  </w:r>
                </w:p>
              </w:tc>
              <w:tc>
                <w:tcPr>
                  <w:tcW w:w="635" w:type="pct"/>
                  <w:shd w:val="clear" w:color="auto" w:fill="auto"/>
                  <w:vAlign w:val="center"/>
                </w:tcPr>
                <w:p w14:paraId="059CAB84">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15C32F69">
                  <w:pPr>
                    <w:widowControl/>
                    <w:jc w:val="center"/>
                    <w:rPr>
                      <w:rFonts w:hint="default" w:ascii="Times New Roman" w:hAnsi="Times New Roman" w:eastAsia="宋体" w:cs="Times New Roman"/>
                      <w:color w:val="auto"/>
                      <w:kern w:val="0"/>
                      <w:sz w:val="21"/>
                      <w:szCs w:val="21"/>
                    </w:rPr>
                  </w:pPr>
                </w:p>
              </w:tc>
              <w:tc>
                <w:tcPr>
                  <w:tcW w:w="514" w:type="pct"/>
                  <w:shd w:val="clear" w:color="auto" w:fill="auto"/>
                  <w:vAlign w:val="center"/>
                </w:tcPr>
                <w:p w14:paraId="4A65AF37">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E</w:t>
                  </w:r>
                </w:p>
              </w:tc>
              <w:tc>
                <w:tcPr>
                  <w:tcW w:w="644" w:type="pct"/>
                  <w:shd w:val="clear" w:color="auto" w:fill="auto"/>
                  <w:vAlign w:val="center"/>
                </w:tcPr>
                <w:p w14:paraId="42D4A659">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120</w:t>
                  </w:r>
                </w:p>
              </w:tc>
            </w:tr>
            <w:tr w14:paraId="4ACEC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7AED066A">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36CCBB37">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漫泗河村</w:t>
                  </w:r>
                </w:p>
              </w:tc>
              <w:tc>
                <w:tcPr>
                  <w:tcW w:w="635" w:type="pct"/>
                  <w:shd w:val="clear" w:color="auto" w:fill="auto"/>
                  <w:vAlign w:val="center"/>
                </w:tcPr>
                <w:p w14:paraId="0860ED33">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04DDEDB5">
                  <w:pPr>
                    <w:widowControl/>
                    <w:jc w:val="center"/>
                    <w:rPr>
                      <w:rFonts w:hint="default" w:ascii="Times New Roman" w:hAnsi="Times New Roman" w:eastAsia="宋体" w:cs="Times New Roman"/>
                      <w:color w:val="auto"/>
                      <w:kern w:val="0"/>
                      <w:sz w:val="21"/>
                      <w:szCs w:val="21"/>
                    </w:rPr>
                  </w:pPr>
                </w:p>
              </w:tc>
              <w:tc>
                <w:tcPr>
                  <w:tcW w:w="514" w:type="pct"/>
                  <w:shd w:val="clear" w:color="auto" w:fill="auto"/>
                  <w:vAlign w:val="center"/>
                </w:tcPr>
                <w:p w14:paraId="3064476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N</w:t>
                  </w:r>
                </w:p>
              </w:tc>
              <w:tc>
                <w:tcPr>
                  <w:tcW w:w="644" w:type="pct"/>
                  <w:shd w:val="clear" w:color="auto" w:fill="auto"/>
                  <w:vAlign w:val="center"/>
                </w:tcPr>
                <w:p w14:paraId="1A1541BC">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r>
            <w:tr w14:paraId="40AE2E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7921533E">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声环境</w:t>
                  </w:r>
                </w:p>
              </w:tc>
              <w:tc>
                <w:tcPr>
                  <w:tcW w:w="1500" w:type="pct"/>
                  <w:shd w:val="clear" w:color="auto" w:fill="auto"/>
                  <w:vAlign w:val="center"/>
                </w:tcPr>
                <w:p w14:paraId="1D64C608">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小旦村</w:t>
                  </w:r>
                </w:p>
              </w:tc>
              <w:tc>
                <w:tcPr>
                  <w:tcW w:w="635" w:type="pct"/>
                  <w:shd w:val="clear" w:color="auto" w:fill="auto"/>
                  <w:vAlign w:val="center"/>
                </w:tcPr>
                <w:p w14:paraId="3AEB4512">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restart"/>
                  <w:vAlign w:val="center"/>
                </w:tcPr>
                <w:p w14:paraId="4EA16CE1">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《声环境质量标准》（GB3096-2008）的2类声环境功能区要求</w:t>
                  </w:r>
                </w:p>
              </w:tc>
              <w:tc>
                <w:tcPr>
                  <w:tcW w:w="514" w:type="pct"/>
                  <w:shd w:val="clear" w:color="auto" w:fill="auto"/>
                  <w:vAlign w:val="center"/>
                </w:tcPr>
                <w:p w14:paraId="39F9E6C1">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w:t>
                  </w:r>
                </w:p>
              </w:tc>
              <w:tc>
                <w:tcPr>
                  <w:tcW w:w="644" w:type="pct"/>
                  <w:shd w:val="clear" w:color="auto" w:fill="auto"/>
                  <w:vAlign w:val="center"/>
                </w:tcPr>
                <w:p w14:paraId="1236CB43">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25</w:t>
                  </w:r>
                </w:p>
              </w:tc>
            </w:tr>
            <w:tr w14:paraId="160117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31310C70">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4BC8862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大旦村</w:t>
                  </w:r>
                </w:p>
              </w:tc>
              <w:tc>
                <w:tcPr>
                  <w:tcW w:w="635" w:type="pct"/>
                  <w:shd w:val="clear" w:color="auto" w:fill="auto"/>
                  <w:vAlign w:val="center"/>
                </w:tcPr>
                <w:p w14:paraId="3E626727">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532F193C">
                  <w:pPr>
                    <w:autoSpaceDE w:val="0"/>
                    <w:autoSpaceDN w:val="0"/>
                    <w:jc w:val="center"/>
                    <w:rPr>
                      <w:rFonts w:hint="default" w:ascii="Times New Roman" w:hAnsi="Times New Roman" w:eastAsia="宋体" w:cs="Times New Roman"/>
                      <w:color w:val="auto"/>
                      <w:sz w:val="21"/>
                      <w:szCs w:val="21"/>
                    </w:rPr>
                  </w:pPr>
                </w:p>
              </w:tc>
              <w:tc>
                <w:tcPr>
                  <w:tcW w:w="514" w:type="pct"/>
                  <w:shd w:val="clear" w:color="auto" w:fill="auto"/>
                  <w:vAlign w:val="center"/>
                </w:tcPr>
                <w:p w14:paraId="6C7683DF">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E</w:t>
                  </w:r>
                </w:p>
              </w:tc>
              <w:tc>
                <w:tcPr>
                  <w:tcW w:w="644" w:type="pct"/>
                  <w:shd w:val="clear" w:color="auto" w:fill="auto"/>
                  <w:vAlign w:val="center"/>
                </w:tcPr>
                <w:p w14:paraId="62844E52">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120</w:t>
                  </w:r>
                </w:p>
              </w:tc>
            </w:tr>
            <w:tr w14:paraId="5C6EE5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0EA4F3B4">
                  <w:pPr>
                    <w:widowControl/>
                    <w:jc w:val="center"/>
                    <w:rPr>
                      <w:rFonts w:hint="default" w:ascii="Times New Roman" w:hAnsi="Times New Roman" w:eastAsia="宋体" w:cs="Times New Roman"/>
                      <w:color w:val="auto"/>
                      <w:kern w:val="0"/>
                      <w:sz w:val="21"/>
                      <w:szCs w:val="21"/>
                    </w:rPr>
                  </w:pPr>
                </w:p>
              </w:tc>
              <w:tc>
                <w:tcPr>
                  <w:tcW w:w="1500" w:type="pct"/>
                  <w:shd w:val="clear" w:color="auto" w:fill="auto"/>
                  <w:vAlign w:val="center"/>
                </w:tcPr>
                <w:p w14:paraId="70222B71">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漫泗河村</w:t>
                  </w:r>
                </w:p>
              </w:tc>
              <w:tc>
                <w:tcPr>
                  <w:tcW w:w="635" w:type="pct"/>
                  <w:shd w:val="clear" w:color="auto" w:fill="auto"/>
                  <w:vAlign w:val="center"/>
                </w:tcPr>
                <w:p w14:paraId="44E4852D">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居民</w:t>
                  </w:r>
                </w:p>
              </w:tc>
              <w:tc>
                <w:tcPr>
                  <w:tcW w:w="1222" w:type="pct"/>
                  <w:vMerge w:val="continue"/>
                  <w:vAlign w:val="center"/>
                </w:tcPr>
                <w:p w14:paraId="5B9C001E">
                  <w:pPr>
                    <w:autoSpaceDE w:val="0"/>
                    <w:autoSpaceDN w:val="0"/>
                    <w:jc w:val="center"/>
                    <w:rPr>
                      <w:rFonts w:hint="default" w:ascii="Times New Roman" w:hAnsi="Times New Roman" w:eastAsia="宋体" w:cs="Times New Roman"/>
                      <w:color w:val="auto"/>
                      <w:sz w:val="21"/>
                      <w:szCs w:val="21"/>
                    </w:rPr>
                  </w:pPr>
                </w:p>
              </w:tc>
              <w:tc>
                <w:tcPr>
                  <w:tcW w:w="514" w:type="pct"/>
                  <w:shd w:val="clear" w:color="auto" w:fill="auto"/>
                  <w:vAlign w:val="center"/>
                </w:tcPr>
                <w:p w14:paraId="1A2AF49C">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N</w:t>
                  </w:r>
                </w:p>
              </w:tc>
              <w:tc>
                <w:tcPr>
                  <w:tcW w:w="644" w:type="pct"/>
                  <w:shd w:val="clear" w:color="auto" w:fill="auto"/>
                  <w:vAlign w:val="center"/>
                </w:tcPr>
                <w:p w14:paraId="0133A96D">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15</w:t>
                  </w:r>
                </w:p>
              </w:tc>
            </w:tr>
            <w:tr w14:paraId="4B0F09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0AF21B54">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地下水环境</w:t>
                  </w:r>
                </w:p>
              </w:tc>
              <w:tc>
                <w:tcPr>
                  <w:tcW w:w="2136" w:type="pct"/>
                  <w:gridSpan w:val="2"/>
                  <w:vAlign w:val="center"/>
                </w:tcPr>
                <w:p w14:paraId="6CE0B928">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厂界外500米范围内无地下水集中式饮用水源和热水、矿泉水、温泉等特殊地下水资源</w:t>
                  </w:r>
                </w:p>
              </w:tc>
              <w:tc>
                <w:tcPr>
                  <w:tcW w:w="1222" w:type="pct"/>
                  <w:vAlign w:val="center"/>
                </w:tcPr>
                <w:p w14:paraId="75635582">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《地下水质量标准》（GB/T14848-2017）Ⅲ类标准</w:t>
                  </w:r>
                </w:p>
              </w:tc>
              <w:tc>
                <w:tcPr>
                  <w:tcW w:w="514" w:type="pct"/>
                  <w:vAlign w:val="center"/>
                </w:tcPr>
                <w:p w14:paraId="685450DF">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44" w:type="pct"/>
                  <w:vAlign w:val="center"/>
                </w:tcPr>
                <w:p w14:paraId="7EAAAEC4">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r>
            <w:tr w14:paraId="5A6DD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restart"/>
                  <w:vAlign w:val="center"/>
                </w:tcPr>
                <w:p w14:paraId="6FF2C2F8">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地表水</w:t>
                  </w:r>
                </w:p>
              </w:tc>
              <w:tc>
                <w:tcPr>
                  <w:tcW w:w="2136" w:type="pct"/>
                  <w:gridSpan w:val="2"/>
                  <w:vAlign w:val="center"/>
                </w:tcPr>
                <w:p w14:paraId="12C53F73">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漫泗河</w:t>
                  </w:r>
                </w:p>
              </w:tc>
              <w:tc>
                <w:tcPr>
                  <w:tcW w:w="1222" w:type="pct"/>
                  <w:vAlign w:val="center"/>
                </w:tcPr>
                <w:p w14:paraId="3A607D3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color w:val="auto"/>
                      <w:spacing w:val="-2"/>
                      <w:sz w:val="21"/>
                      <w:szCs w:val="21"/>
                    </w:rPr>
                    <w:t>V</w:t>
                  </w:r>
                  <w:r>
                    <w:rPr>
                      <w:rFonts w:hint="default" w:ascii="Times New Roman" w:hAnsi="Times New Roman" w:eastAsia="宋体" w:cs="Times New Roman"/>
                      <w:color w:val="auto"/>
                      <w:sz w:val="21"/>
                      <w:szCs w:val="21"/>
                    </w:rPr>
                    <w:t>类标准</w:t>
                  </w:r>
                </w:p>
              </w:tc>
              <w:tc>
                <w:tcPr>
                  <w:tcW w:w="1158" w:type="pct"/>
                  <w:gridSpan w:val="2"/>
                  <w:vAlign w:val="center"/>
                </w:tcPr>
                <w:p w14:paraId="3B9EEC00">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本次施工河道之一</w:t>
                  </w:r>
                </w:p>
              </w:tc>
            </w:tr>
            <w:tr w14:paraId="373114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Merge w:val="continue"/>
                  <w:vAlign w:val="center"/>
                </w:tcPr>
                <w:p w14:paraId="496EFE8D">
                  <w:pPr>
                    <w:jc w:val="center"/>
                    <w:rPr>
                      <w:rFonts w:hint="default" w:ascii="Times New Roman" w:hAnsi="Times New Roman" w:eastAsia="宋体" w:cs="Times New Roman"/>
                      <w:color w:val="auto"/>
                      <w:sz w:val="21"/>
                      <w:szCs w:val="21"/>
                    </w:rPr>
                  </w:pPr>
                </w:p>
              </w:tc>
              <w:tc>
                <w:tcPr>
                  <w:tcW w:w="2136" w:type="pct"/>
                  <w:gridSpan w:val="2"/>
                  <w:vAlign w:val="center"/>
                </w:tcPr>
                <w:p w14:paraId="3F293E02">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孝妇河</w:t>
                  </w:r>
                </w:p>
              </w:tc>
              <w:tc>
                <w:tcPr>
                  <w:tcW w:w="1222" w:type="pct"/>
                  <w:vAlign w:val="center"/>
                </w:tcPr>
                <w:p w14:paraId="68EC201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《地表水环境质量标准》（GB3838-2002）IV类标准</w:t>
                  </w:r>
                </w:p>
              </w:tc>
              <w:tc>
                <w:tcPr>
                  <w:tcW w:w="1158" w:type="pct"/>
                  <w:gridSpan w:val="2"/>
                  <w:vAlign w:val="center"/>
                </w:tcPr>
                <w:p w14:paraId="0035531A">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漫泗河汇入孝妇河</w:t>
                  </w:r>
                </w:p>
              </w:tc>
            </w:tr>
            <w:tr w14:paraId="5845E3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2" w:type="pct"/>
                  <w:vAlign w:val="center"/>
                </w:tcPr>
                <w:p w14:paraId="49983F1E">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p w14:paraId="717D028A">
                  <w:pPr>
                    <w:autoSpaceDE w:val="0"/>
                    <w:autoSpaceDN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tc>
              <w:tc>
                <w:tcPr>
                  <w:tcW w:w="4517" w:type="pct"/>
                  <w:gridSpan w:val="5"/>
                  <w:vAlign w:val="center"/>
                </w:tcPr>
                <w:p w14:paraId="180AF785">
                  <w:pPr>
                    <w:widowControl/>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项目生态评价范围内无受影响的重要物种、生态敏感区以及其他需要保护的物种、种群、生物群落及生态空间等</w:t>
                  </w:r>
                </w:p>
              </w:tc>
            </w:tr>
          </w:tbl>
          <w:p w14:paraId="2D164A96">
            <w:pPr>
              <w:widowControl/>
              <w:numPr>
                <w:ilvl w:val="0"/>
                <w:numId w:val="7"/>
              </w:numPr>
              <w:spacing w:line="360" w:lineRule="auto"/>
              <w:ind w:left="0" w:leftChars="0" w:firstLine="480" w:firstLineChars="200"/>
              <w:rPr>
                <w:color w:val="auto"/>
                <w:sz w:val="24"/>
              </w:rPr>
            </w:pPr>
            <w:r>
              <w:rPr>
                <w:color w:val="auto"/>
                <w:sz w:val="24"/>
              </w:rPr>
              <w:t>大高村排涝沟</w:t>
            </w:r>
          </w:p>
          <w:p w14:paraId="7589F432">
            <w:pPr>
              <w:widowControl/>
              <w:numPr>
                <w:ilvl w:val="0"/>
                <w:numId w:val="0"/>
              </w:numPr>
              <w:spacing w:line="360" w:lineRule="auto"/>
              <w:ind w:leftChars="200"/>
              <w:jc w:val="center"/>
              <w:rPr>
                <w:b/>
                <w:bCs/>
                <w:color w:val="auto"/>
                <w:kern w:val="0"/>
                <w:sz w:val="24"/>
                <w:highlight w:val="yellow"/>
                <w:lang w:bidi="ar"/>
              </w:rPr>
            </w:pPr>
            <w:r>
              <w:rPr>
                <w:b/>
                <w:bCs/>
                <w:color w:val="auto"/>
                <w:szCs w:val="21"/>
              </w:rPr>
              <w:t>表3-</w:t>
            </w:r>
            <w:r>
              <w:rPr>
                <w:rFonts w:hint="eastAsia"/>
                <w:b/>
                <w:bCs/>
                <w:color w:val="auto"/>
                <w:szCs w:val="21"/>
                <w:lang w:val="en-US" w:eastAsia="zh-CN"/>
              </w:rPr>
              <w:t>19</w:t>
            </w:r>
            <w:r>
              <w:rPr>
                <w:b/>
                <w:bCs/>
                <w:color w:val="auto"/>
                <w:szCs w:val="21"/>
              </w:rPr>
              <w:t xml:space="preserve">  经开区内</w:t>
            </w:r>
            <w:r>
              <w:rPr>
                <w:rFonts w:hint="eastAsia"/>
                <w:b/>
                <w:bCs/>
                <w:color w:val="auto"/>
                <w:szCs w:val="21"/>
                <w:lang w:eastAsia="zh-CN"/>
              </w:rPr>
              <w:t>大高村排涝沟</w:t>
            </w:r>
            <w:r>
              <w:rPr>
                <w:b/>
                <w:bCs/>
                <w:color w:val="auto"/>
                <w:szCs w:val="21"/>
              </w:rPr>
              <w:t>工程主要环境保护目标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95"/>
              <w:gridCol w:w="2464"/>
              <w:gridCol w:w="1045"/>
              <w:gridCol w:w="2008"/>
              <w:gridCol w:w="844"/>
              <w:gridCol w:w="1056"/>
            </w:tblGrid>
            <w:tr w14:paraId="0A85DD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28" w:hRule="atLeast"/>
                <w:jc w:val="center"/>
              </w:trPr>
              <w:tc>
                <w:tcPr>
                  <w:tcW w:w="484" w:type="pct"/>
                  <w:vAlign w:val="center"/>
                </w:tcPr>
                <w:p w14:paraId="486A25BD">
                  <w:pPr>
                    <w:autoSpaceDE w:val="0"/>
                    <w:autoSpaceDN w:val="0"/>
                    <w:jc w:val="center"/>
                    <w:rPr>
                      <w:color w:val="auto"/>
                      <w:kern w:val="0"/>
                      <w:szCs w:val="21"/>
                    </w:rPr>
                  </w:pPr>
                  <w:r>
                    <w:rPr>
                      <w:color w:val="auto"/>
                      <w:kern w:val="0"/>
                      <w:szCs w:val="21"/>
                    </w:rPr>
                    <w:t>保护</w:t>
                  </w:r>
                </w:p>
                <w:p w14:paraId="2B369C01">
                  <w:pPr>
                    <w:autoSpaceDE w:val="0"/>
                    <w:autoSpaceDN w:val="0"/>
                    <w:jc w:val="center"/>
                    <w:rPr>
                      <w:color w:val="auto"/>
                      <w:kern w:val="0"/>
                      <w:szCs w:val="21"/>
                    </w:rPr>
                  </w:pPr>
                  <w:r>
                    <w:rPr>
                      <w:color w:val="auto"/>
                      <w:kern w:val="0"/>
                      <w:szCs w:val="21"/>
                    </w:rPr>
                    <w:t>类别</w:t>
                  </w:r>
                </w:p>
              </w:tc>
              <w:tc>
                <w:tcPr>
                  <w:tcW w:w="1500" w:type="pct"/>
                  <w:vAlign w:val="center"/>
                </w:tcPr>
                <w:p w14:paraId="690B8BC2">
                  <w:pPr>
                    <w:autoSpaceDE w:val="0"/>
                    <w:autoSpaceDN w:val="0"/>
                    <w:jc w:val="center"/>
                    <w:rPr>
                      <w:color w:val="auto"/>
                      <w:kern w:val="0"/>
                      <w:szCs w:val="21"/>
                    </w:rPr>
                  </w:pPr>
                  <w:r>
                    <w:rPr>
                      <w:color w:val="auto"/>
                      <w:kern w:val="0"/>
                      <w:szCs w:val="21"/>
                    </w:rPr>
                    <w:t>保护对象</w:t>
                  </w:r>
                </w:p>
              </w:tc>
              <w:tc>
                <w:tcPr>
                  <w:tcW w:w="635" w:type="pct"/>
                  <w:vAlign w:val="center"/>
                </w:tcPr>
                <w:p w14:paraId="7AFD708F">
                  <w:pPr>
                    <w:autoSpaceDE w:val="0"/>
                    <w:autoSpaceDN w:val="0"/>
                    <w:jc w:val="center"/>
                    <w:rPr>
                      <w:color w:val="auto"/>
                      <w:kern w:val="0"/>
                      <w:szCs w:val="21"/>
                    </w:rPr>
                  </w:pPr>
                  <w:r>
                    <w:rPr>
                      <w:color w:val="auto"/>
                      <w:kern w:val="0"/>
                      <w:szCs w:val="21"/>
                    </w:rPr>
                    <w:t>保护</w:t>
                  </w:r>
                </w:p>
                <w:p w14:paraId="67D40B0B">
                  <w:pPr>
                    <w:autoSpaceDE w:val="0"/>
                    <w:autoSpaceDN w:val="0"/>
                    <w:jc w:val="center"/>
                    <w:rPr>
                      <w:color w:val="auto"/>
                      <w:kern w:val="0"/>
                      <w:szCs w:val="21"/>
                    </w:rPr>
                  </w:pPr>
                  <w:r>
                    <w:rPr>
                      <w:color w:val="auto"/>
                      <w:kern w:val="0"/>
                      <w:szCs w:val="21"/>
                    </w:rPr>
                    <w:t>内容</w:t>
                  </w:r>
                </w:p>
              </w:tc>
              <w:tc>
                <w:tcPr>
                  <w:tcW w:w="1222" w:type="pct"/>
                  <w:vAlign w:val="center"/>
                </w:tcPr>
                <w:p w14:paraId="4CB890D1">
                  <w:pPr>
                    <w:autoSpaceDE w:val="0"/>
                    <w:autoSpaceDN w:val="0"/>
                    <w:jc w:val="center"/>
                    <w:rPr>
                      <w:color w:val="auto"/>
                      <w:kern w:val="0"/>
                      <w:szCs w:val="21"/>
                    </w:rPr>
                  </w:pPr>
                  <w:r>
                    <w:rPr>
                      <w:color w:val="auto"/>
                      <w:kern w:val="0"/>
                      <w:szCs w:val="21"/>
                    </w:rPr>
                    <w:t>环境功能区</w:t>
                  </w:r>
                </w:p>
              </w:tc>
              <w:tc>
                <w:tcPr>
                  <w:tcW w:w="514" w:type="pct"/>
                  <w:vAlign w:val="center"/>
                </w:tcPr>
                <w:p w14:paraId="5F988A60">
                  <w:pPr>
                    <w:autoSpaceDE w:val="0"/>
                    <w:autoSpaceDN w:val="0"/>
                    <w:jc w:val="center"/>
                    <w:rPr>
                      <w:color w:val="auto"/>
                      <w:kern w:val="0"/>
                      <w:szCs w:val="21"/>
                    </w:rPr>
                  </w:pPr>
                  <w:r>
                    <w:rPr>
                      <w:color w:val="auto"/>
                      <w:kern w:val="0"/>
                      <w:szCs w:val="21"/>
                    </w:rPr>
                    <w:t>相对河道方位</w:t>
                  </w:r>
                </w:p>
              </w:tc>
              <w:tc>
                <w:tcPr>
                  <w:tcW w:w="642" w:type="pct"/>
                  <w:vAlign w:val="center"/>
                </w:tcPr>
                <w:p w14:paraId="7A0166A7">
                  <w:pPr>
                    <w:autoSpaceDE w:val="0"/>
                    <w:autoSpaceDN w:val="0"/>
                    <w:jc w:val="center"/>
                    <w:rPr>
                      <w:color w:val="auto"/>
                      <w:kern w:val="0"/>
                      <w:szCs w:val="21"/>
                    </w:rPr>
                  </w:pPr>
                  <w:r>
                    <w:rPr>
                      <w:color w:val="auto"/>
                      <w:kern w:val="0"/>
                      <w:szCs w:val="21"/>
                    </w:rPr>
                    <w:t>相对河道</w:t>
                  </w:r>
                </w:p>
                <w:p w14:paraId="22CC1672">
                  <w:pPr>
                    <w:autoSpaceDE w:val="0"/>
                    <w:autoSpaceDN w:val="0"/>
                    <w:jc w:val="center"/>
                    <w:rPr>
                      <w:color w:val="auto"/>
                      <w:kern w:val="0"/>
                      <w:szCs w:val="21"/>
                    </w:rPr>
                  </w:pPr>
                  <w:r>
                    <w:rPr>
                      <w:color w:val="auto"/>
                      <w:kern w:val="0"/>
                      <w:szCs w:val="21"/>
                    </w:rPr>
                    <w:t>距离（m）</w:t>
                  </w:r>
                </w:p>
              </w:tc>
            </w:tr>
            <w:tr w14:paraId="7D05B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vMerge w:val="restart"/>
                  <w:vAlign w:val="center"/>
                </w:tcPr>
                <w:p w14:paraId="4CA142AB">
                  <w:pPr>
                    <w:autoSpaceDE w:val="0"/>
                    <w:autoSpaceDN w:val="0"/>
                    <w:jc w:val="center"/>
                    <w:rPr>
                      <w:color w:val="auto"/>
                      <w:kern w:val="0"/>
                      <w:szCs w:val="21"/>
                    </w:rPr>
                  </w:pPr>
                  <w:r>
                    <w:rPr>
                      <w:color w:val="auto"/>
                      <w:kern w:val="0"/>
                      <w:szCs w:val="21"/>
                    </w:rPr>
                    <w:t>大气</w:t>
                  </w:r>
                </w:p>
                <w:p w14:paraId="61877036">
                  <w:pPr>
                    <w:autoSpaceDE w:val="0"/>
                    <w:autoSpaceDN w:val="0"/>
                    <w:jc w:val="center"/>
                    <w:rPr>
                      <w:color w:val="auto"/>
                      <w:kern w:val="0"/>
                      <w:szCs w:val="21"/>
                    </w:rPr>
                  </w:pPr>
                  <w:r>
                    <w:rPr>
                      <w:color w:val="auto"/>
                      <w:kern w:val="0"/>
                      <w:szCs w:val="21"/>
                    </w:rPr>
                    <w:t>环境</w:t>
                  </w:r>
                </w:p>
              </w:tc>
              <w:tc>
                <w:tcPr>
                  <w:tcW w:w="1500" w:type="pct"/>
                  <w:vAlign w:val="center"/>
                </w:tcPr>
                <w:p w14:paraId="23E8BC82">
                  <w:pPr>
                    <w:jc w:val="center"/>
                    <w:rPr>
                      <w:color w:val="auto"/>
                      <w:kern w:val="0"/>
                      <w:szCs w:val="21"/>
                    </w:rPr>
                  </w:pPr>
                  <w:r>
                    <w:rPr>
                      <w:color w:val="auto"/>
                      <w:kern w:val="0"/>
                      <w:szCs w:val="21"/>
                    </w:rPr>
                    <w:t>仇家村</w:t>
                  </w:r>
                </w:p>
              </w:tc>
              <w:tc>
                <w:tcPr>
                  <w:tcW w:w="635" w:type="pct"/>
                  <w:vAlign w:val="center"/>
                </w:tcPr>
                <w:p w14:paraId="3294887E">
                  <w:pPr>
                    <w:autoSpaceDE w:val="0"/>
                    <w:autoSpaceDN w:val="0"/>
                    <w:jc w:val="center"/>
                    <w:rPr>
                      <w:color w:val="auto"/>
                      <w:kern w:val="0"/>
                      <w:szCs w:val="21"/>
                    </w:rPr>
                  </w:pPr>
                  <w:r>
                    <w:rPr>
                      <w:color w:val="auto"/>
                      <w:kern w:val="0"/>
                      <w:szCs w:val="21"/>
                    </w:rPr>
                    <w:t>居民</w:t>
                  </w:r>
                </w:p>
              </w:tc>
              <w:tc>
                <w:tcPr>
                  <w:tcW w:w="1222" w:type="pct"/>
                  <w:vMerge w:val="restart"/>
                  <w:vAlign w:val="center"/>
                </w:tcPr>
                <w:p w14:paraId="07450545">
                  <w:pPr>
                    <w:autoSpaceDE w:val="0"/>
                    <w:autoSpaceDN w:val="0"/>
                    <w:jc w:val="center"/>
                    <w:rPr>
                      <w:color w:val="auto"/>
                      <w:kern w:val="0"/>
                      <w:szCs w:val="21"/>
                    </w:rPr>
                  </w:pPr>
                  <w:r>
                    <w:rPr>
                      <w:bCs/>
                      <w:color w:val="auto"/>
                      <w:szCs w:val="21"/>
                    </w:rPr>
                    <w:t>《环境空气质量标准》（GB3095-20</w:t>
                  </w:r>
                  <w:r>
                    <w:rPr>
                      <w:rFonts w:hint="eastAsia"/>
                      <w:bCs/>
                      <w:color w:val="auto"/>
                      <w:szCs w:val="21"/>
                      <w:lang w:val="en-US" w:eastAsia="zh-CN"/>
                    </w:rPr>
                    <w:t>26</w:t>
                  </w:r>
                  <w:r>
                    <w:rPr>
                      <w:bCs/>
                      <w:color w:val="auto"/>
                      <w:szCs w:val="21"/>
                    </w:rPr>
                    <w:t>）</w:t>
                  </w:r>
                  <w:r>
                    <w:rPr>
                      <w:rFonts w:hint="eastAsia"/>
                      <w:bCs/>
                      <w:color w:val="auto"/>
                      <w:szCs w:val="21"/>
                      <w:highlight w:val="none"/>
                      <w:lang w:eastAsia="zh-CN"/>
                    </w:rPr>
                    <w:t>过渡阶段</w:t>
                  </w:r>
                  <w:r>
                    <w:rPr>
                      <w:bCs/>
                      <w:color w:val="auto"/>
                      <w:szCs w:val="21"/>
                    </w:rPr>
                    <w:t>二级标准</w:t>
                  </w:r>
                </w:p>
              </w:tc>
              <w:tc>
                <w:tcPr>
                  <w:tcW w:w="514" w:type="pct"/>
                  <w:vAlign w:val="center"/>
                </w:tcPr>
                <w:p w14:paraId="7DE7E415">
                  <w:pPr>
                    <w:jc w:val="center"/>
                    <w:rPr>
                      <w:color w:val="auto"/>
                      <w:kern w:val="0"/>
                      <w:szCs w:val="21"/>
                    </w:rPr>
                  </w:pPr>
                  <w:r>
                    <w:rPr>
                      <w:color w:val="auto"/>
                      <w:kern w:val="0"/>
                      <w:szCs w:val="21"/>
                    </w:rPr>
                    <w:t>WN</w:t>
                  </w:r>
                </w:p>
              </w:tc>
              <w:tc>
                <w:tcPr>
                  <w:tcW w:w="642" w:type="pct"/>
                  <w:vAlign w:val="center"/>
                </w:tcPr>
                <w:p w14:paraId="4425E66D">
                  <w:pPr>
                    <w:jc w:val="center"/>
                    <w:rPr>
                      <w:color w:val="auto"/>
                      <w:kern w:val="0"/>
                      <w:szCs w:val="21"/>
                    </w:rPr>
                  </w:pPr>
                  <w:r>
                    <w:rPr>
                      <w:color w:val="auto"/>
                      <w:kern w:val="0"/>
                      <w:szCs w:val="21"/>
                    </w:rPr>
                    <w:t>464</w:t>
                  </w:r>
                </w:p>
              </w:tc>
            </w:tr>
            <w:tr w14:paraId="53DC0D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vMerge w:val="continue"/>
                  <w:vAlign w:val="center"/>
                </w:tcPr>
                <w:p w14:paraId="5EC5D46E">
                  <w:pPr>
                    <w:widowControl/>
                    <w:jc w:val="center"/>
                    <w:rPr>
                      <w:color w:val="auto"/>
                      <w:kern w:val="0"/>
                      <w:szCs w:val="21"/>
                    </w:rPr>
                  </w:pPr>
                </w:p>
              </w:tc>
              <w:tc>
                <w:tcPr>
                  <w:tcW w:w="1500" w:type="pct"/>
                  <w:vAlign w:val="center"/>
                </w:tcPr>
                <w:p w14:paraId="66736064">
                  <w:pPr>
                    <w:jc w:val="center"/>
                    <w:rPr>
                      <w:color w:val="auto"/>
                      <w:kern w:val="0"/>
                      <w:szCs w:val="21"/>
                    </w:rPr>
                  </w:pPr>
                  <w:r>
                    <w:rPr>
                      <w:color w:val="auto"/>
                      <w:kern w:val="0"/>
                      <w:szCs w:val="21"/>
                    </w:rPr>
                    <w:t>大高村</w:t>
                  </w:r>
                </w:p>
              </w:tc>
              <w:tc>
                <w:tcPr>
                  <w:tcW w:w="635" w:type="pct"/>
                  <w:vAlign w:val="center"/>
                </w:tcPr>
                <w:p w14:paraId="7345D3C3">
                  <w:pPr>
                    <w:autoSpaceDE w:val="0"/>
                    <w:autoSpaceDN w:val="0"/>
                    <w:jc w:val="center"/>
                    <w:rPr>
                      <w:color w:val="auto"/>
                      <w:kern w:val="0"/>
                      <w:szCs w:val="21"/>
                    </w:rPr>
                  </w:pPr>
                  <w:r>
                    <w:rPr>
                      <w:color w:val="auto"/>
                      <w:kern w:val="0"/>
                      <w:szCs w:val="21"/>
                    </w:rPr>
                    <w:t>居民</w:t>
                  </w:r>
                </w:p>
              </w:tc>
              <w:tc>
                <w:tcPr>
                  <w:tcW w:w="1222" w:type="pct"/>
                  <w:vMerge w:val="continue"/>
                  <w:vAlign w:val="center"/>
                </w:tcPr>
                <w:p w14:paraId="58D9CE35">
                  <w:pPr>
                    <w:widowControl/>
                    <w:jc w:val="center"/>
                    <w:rPr>
                      <w:color w:val="auto"/>
                      <w:kern w:val="0"/>
                      <w:szCs w:val="21"/>
                    </w:rPr>
                  </w:pPr>
                </w:p>
              </w:tc>
              <w:tc>
                <w:tcPr>
                  <w:tcW w:w="514" w:type="pct"/>
                  <w:vAlign w:val="center"/>
                </w:tcPr>
                <w:p w14:paraId="36C8B686">
                  <w:pPr>
                    <w:jc w:val="center"/>
                    <w:rPr>
                      <w:color w:val="auto"/>
                      <w:kern w:val="0"/>
                      <w:szCs w:val="21"/>
                    </w:rPr>
                  </w:pPr>
                  <w:r>
                    <w:rPr>
                      <w:color w:val="auto"/>
                      <w:kern w:val="0"/>
                      <w:szCs w:val="21"/>
                    </w:rPr>
                    <w:t>S</w:t>
                  </w:r>
                </w:p>
              </w:tc>
              <w:tc>
                <w:tcPr>
                  <w:tcW w:w="642" w:type="pct"/>
                  <w:vAlign w:val="center"/>
                </w:tcPr>
                <w:p w14:paraId="4D0F0267">
                  <w:pPr>
                    <w:jc w:val="center"/>
                    <w:rPr>
                      <w:color w:val="auto"/>
                      <w:kern w:val="0"/>
                      <w:szCs w:val="21"/>
                    </w:rPr>
                  </w:pPr>
                  <w:r>
                    <w:rPr>
                      <w:color w:val="auto"/>
                      <w:kern w:val="0"/>
                      <w:szCs w:val="21"/>
                    </w:rPr>
                    <w:t>321</w:t>
                  </w:r>
                </w:p>
              </w:tc>
            </w:tr>
            <w:tr w14:paraId="4B450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vAlign w:val="center"/>
                </w:tcPr>
                <w:p w14:paraId="3BFCBB10">
                  <w:pPr>
                    <w:widowControl/>
                    <w:jc w:val="center"/>
                    <w:rPr>
                      <w:color w:val="auto"/>
                      <w:kern w:val="0"/>
                      <w:szCs w:val="21"/>
                    </w:rPr>
                  </w:pPr>
                  <w:r>
                    <w:rPr>
                      <w:color w:val="auto"/>
                      <w:kern w:val="0"/>
                      <w:szCs w:val="21"/>
                    </w:rPr>
                    <w:t>声环境</w:t>
                  </w:r>
                </w:p>
              </w:tc>
              <w:tc>
                <w:tcPr>
                  <w:tcW w:w="2136" w:type="pct"/>
                  <w:gridSpan w:val="2"/>
                  <w:vAlign w:val="center"/>
                </w:tcPr>
                <w:p w14:paraId="69A116D2">
                  <w:pPr>
                    <w:autoSpaceDE w:val="0"/>
                    <w:autoSpaceDN w:val="0"/>
                    <w:jc w:val="center"/>
                    <w:rPr>
                      <w:color w:val="auto"/>
                      <w:kern w:val="0"/>
                      <w:szCs w:val="21"/>
                    </w:rPr>
                  </w:pPr>
                  <w:r>
                    <w:rPr>
                      <w:color w:val="auto"/>
                      <w:kern w:val="0"/>
                      <w:szCs w:val="21"/>
                    </w:rPr>
                    <w:t>50m范围内无声敏感目标</w:t>
                  </w:r>
                </w:p>
              </w:tc>
              <w:tc>
                <w:tcPr>
                  <w:tcW w:w="1222" w:type="pct"/>
                  <w:vAlign w:val="center"/>
                </w:tcPr>
                <w:p w14:paraId="63F57777">
                  <w:pPr>
                    <w:autoSpaceDE w:val="0"/>
                    <w:autoSpaceDN w:val="0"/>
                    <w:jc w:val="center"/>
                    <w:rPr>
                      <w:color w:val="auto"/>
                      <w:kern w:val="0"/>
                      <w:szCs w:val="21"/>
                    </w:rPr>
                  </w:pPr>
                  <w:r>
                    <w:rPr>
                      <w:color w:val="auto"/>
                      <w:szCs w:val="21"/>
                    </w:rPr>
                    <w:t>《声环境质量标准》（GB3096-2008）的2类声环境功能区要求</w:t>
                  </w:r>
                </w:p>
              </w:tc>
              <w:tc>
                <w:tcPr>
                  <w:tcW w:w="514" w:type="pct"/>
                  <w:vAlign w:val="center"/>
                </w:tcPr>
                <w:p w14:paraId="5AF4EFC3">
                  <w:pPr>
                    <w:jc w:val="center"/>
                    <w:rPr>
                      <w:color w:val="auto"/>
                      <w:kern w:val="0"/>
                      <w:szCs w:val="21"/>
                    </w:rPr>
                  </w:pPr>
                  <w:r>
                    <w:rPr>
                      <w:color w:val="auto"/>
                      <w:kern w:val="0"/>
                      <w:szCs w:val="21"/>
                    </w:rPr>
                    <w:t>/</w:t>
                  </w:r>
                </w:p>
              </w:tc>
              <w:tc>
                <w:tcPr>
                  <w:tcW w:w="642" w:type="pct"/>
                  <w:vAlign w:val="center"/>
                </w:tcPr>
                <w:p w14:paraId="019EFC63">
                  <w:pPr>
                    <w:jc w:val="center"/>
                    <w:rPr>
                      <w:color w:val="auto"/>
                      <w:kern w:val="0"/>
                      <w:szCs w:val="21"/>
                    </w:rPr>
                  </w:pPr>
                  <w:r>
                    <w:rPr>
                      <w:color w:val="auto"/>
                      <w:kern w:val="0"/>
                      <w:szCs w:val="21"/>
                    </w:rPr>
                    <w:t>/</w:t>
                  </w:r>
                </w:p>
              </w:tc>
            </w:tr>
            <w:tr w14:paraId="07881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vAlign w:val="center"/>
                </w:tcPr>
                <w:p w14:paraId="3351AD5D">
                  <w:pPr>
                    <w:widowControl/>
                    <w:jc w:val="center"/>
                    <w:rPr>
                      <w:color w:val="auto"/>
                      <w:kern w:val="0"/>
                      <w:szCs w:val="21"/>
                    </w:rPr>
                  </w:pPr>
                  <w:r>
                    <w:rPr>
                      <w:color w:val="auto"/>
                      <w:kern w:val="0"/>
                      <w:szCs w:val="21"/>
                    </w:rPr>
                    <w:t>地下水环境</w:t>
                  </w:r>
                </w:p>
              </w:tc>
              <w:tc>
                <w:tcPr>
                  <w:tcW w:w="2136" w:type="pct"/>
                  <w:gridSpan w:val="2"/>
                  <w:vAlign w:val="center"/>
                </w:tcPr>
                <w:p w14:paraId="5F74A0E6">
                  <w:pPr>
                    <w:widowControl/>
                    <w:jc w:val="center"/>
                    <w:rPr>
                      <w:color w:val="auto"/>
                      <w:kern w:val="0"/>
                      <w:szCs w:val="21"/>
                    </w:rPr>
                  </w:pPr>
                  <w:r>
                    <w:rPr>
                      <w:color w:val="auto"/>
                      <w:kern w:val="0"/>
                      <w:szCs w:val="21"/>
                    </w:rPr>
                    <w:t>厂界外500米范围内无地下水集中式饮用水源和热水、矿泉水、温泉等特殊地下水资源</w:t>
                  </w:r>
                </w:p>
              </w:tc>
              <w:tc>
                <w:tcPr>
                  <w:tcW w:w="1222" w:type="pct"/>
                  <w:vAlign w:val="center"/>
                </w:tcPr>
                <w:p w14:paraId="184D88C6">
                  <w:pPr>
                    <w:autoSpaceDE w:val="0"/>
                    <w:autoSpaceDN w:val="0"/>
                    <w:jc w:val="center"/>
                    <w:rPr>
                      <w:color w:val="auto"/>
                      <w:kern w:val="0"/>
                      <w:szCs w:val="21"/>
                    </w:rPr>
                  </w:pPr>
                  <w:r>
                    <w:rPr>
                      <w:color w:val="auto"/>
                      <w:szCs w:val="21"/>
                    </w:rPr>
                    <w:t>《地下水质量标准》（GB/T14848-2017）Ⅲ类标准</w:t>
                  </w:r>
                </w:p>
              </w:tc>
              <w:tc>
                <w:tcPr>
                  <w:tcW w:w="514" w:type="pct"/>
                  <w:vAlign w:val="center"/>
                </w:tcPr>
                <w:p w14:paraId="7184D903">
                  <w:pPr>
                    <w:autoSpaceDE w:val="0"/>
                    <w:autoSpaceDN w:val="0"/>
                    <w:jc w:val="center"/>
                    <w:rPr>
                      <w:color w:val="auto"/>
                      <w:kern w:val="0"/>
                      <w:szCs w:val="21"/>
                    </w:rPr>
                  </w:pPr>
                  <w:r>
                    <w:rPr>
                      <w:color w:val="auto"/>
                      <w:kern w:val="0"/>
                      <w:szCs w:val="21"/>
                    </w:rPr>
                    <w:t>/</w:t>
                  </w:r>
                </w:p>
              </w:tc>
              <w:tc>
                <w:tcPr>
                  <w:tcW w:w="642" w:type="pct"/>
                  <w:vAlign w:val="center"/>
                </w:tcPr>
                <w:p w14:paraId="10863411">
                  <w:pPr>
                    <w:autoSpaceDE w:val="0"/>
                    <w:autoSpaceDN w:val="0"/>
                    <w:jc w:val="center"/>
                    <w:rPr>
                      <w:color w:val="auto"/>
                      <w:kern w:val="0"/>
                      <w:szCs w:val="21"/>
                    </w:rPr>
                  </w:pPr>
                  <w:r>
                    <w:rPr>
                      <w:color w:val="auto"/>
                      <w:kern w:val="0"/>
                      <w:szCs w:val="21"/>
                    </w:rPr>
                    <w:t>/</w:t>
                  </w:r>
                </w:p>
              </w:tc>
            </w:tr>
            <w:tr w14:paraId="1E4F9F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shd w:val="clear" w:color="auto" w:fill="auto"/>
                  <w:vAlign w:val="center"/>
                </w:tcPr>
                <w:p w14:paraId="0B56E028">
                  <w:pPr>
                    <w:widowControl/>
                    <w:jc w:val="center"/>
                    <w:rPr>
                      <w:color w:val="auto"/>
                      <w:kern w:val="0"/>
                      <w:szCs w:val="21"/>
                    </w:rPr>
                  </w:pPr>
                  <w:r>
                    <w:rPr>
                      <w:color w:val="auto"/>
                      <w:kern w:val="0"/>
                      <w:szCs w:val="21"/>
                    </w:rPr>
                    <w:t>地表水</w:t>
                  </w:r>
                </w:p>
                <w:p w14:paraId="1EE21036">
                  <w:pPr>
                    <w:jc w:val="center"/>
                    <w:rPr>
                      <w:color w:val="auto"/>
                      <w:kern w:val="0"/>
                      <w:szCs w:val="21"/>
                      <w:highlight w:val="yellow"/>
                    </w:rPr>
                  </w:pPr>
                </w:p>
              </w:tc>
              <w:tc>
                <w:tcPr>
                  <w:tcW w:w="2136" w:type="pct"/>
                  <w:gridSpan w:val="2"/>
                  <w:shd w:val="clear" w:color="auto" w:fill="auto"/>
                  <w:vAlign w:val="center"/>
                </w:tcPr>
                <w:p w14:paraId="6194AB80">
                  <w:pPr>
                    <w:jc w:val="center"/>
                    <w:rPr>
                      <w:color w:val="auto"/>
                      <w:kern w:val="0"/>
                      <w:szCs w:val="21"/>
                    </w:rPr>
                  </w:pPr>
                  <w:r>
                    <w:rPr>
                      <w:color w:val="auto"/>
                      <w:kern w:val="0"/>
                      <w:szCs w:val="21"/>
                    </w:rPr>
                    <w:t>涝淄河</w:t>
                  </w:r>
                </w:p>
              </w:tc>
              <w:tc>
                <w:tcPr>
                  <w:tcW w:w="1222" w:type="pct"/>
                  <w:shd w:val="clear" w:color="auto" w:fill="auto"/>
                  <w:vAlign w:val="center"/>
                </w:tcPr>
                <w:p w14:paraId="1F843D12">
                  <w:pPr>
                    <w:jc w:val="center"/>
                    <w:rPr>
                      <w:color w:val="auto"/>
                      <w:szCs w:val="21"/>
                    </w:rPr>
                  </w:pPr>
                  <w:r>
                    <w:rPr>
                      <w:color w:val="auto"/>
                      <w:szCs w:val="21"/>
                    </w:rPr>
                    <w:t>《地表水环境质量标准》（GB3838-2002）</w:t>
                  </w:r>
                  <w:r>
                    <w:rPr>
                      <w:bCs/>
                      <w:color w:val="auto"/>
                      <w:szCs w:val="21"/>
                    </w:rPr>
                    <w:t>V</w:t>
                  </w:r>
                  <w:r>
                    <w:rPr>
                      <w:bCs/>
                      <w:color w:val="auto"/>
                      <w:szCs w:val="21"/>
                      <w:lang w:val="zh-CN"/>
                    </w:rPr>
                    <w:t>类</w:t>
                  </w:r>
                  <w:r>
                    <w:rPr>
                      <w:color w:val="auto"/>
                      <w:szCs w:val="21"/>
                    </w:rPr>
                    <w:t>标准</w:t>
                  </w:r>
                </w:p>
              </w:tc>
              <w:tc>
                <w:tcPr>
                  <w:tcW w:w="1156" w:type="pct"/>
                  <w:gridSpan w:val="2"/>
                  <w:shd w:val="clear" w:color="auto" w:fill="auto"/>
                  <w:vAlign w:val="center"/>
                </w:tcPr>
                <w:p w14:paraId="2F27A0C6">
                  <w:pPr>
                    <w:jc w:val="center"/>
                    <w:rPr>
                      <w:color w:val="auto"/>
                      <w:kern w:val="0"/>
                      <w:szCs w:val="21"/>
                    </w:rPr>
                  </w:pPr>
                  <w:r>
                    <w:rPr>
                      <w:color w:val="auto"/>
                      <w:kern w:val="0"/>
                      <w:szCs w:val="21"/>
                    </w:rPr>
                    <w:t>本次施工河道之一</w:t>
                  </w:r>
                </w:p>
              </w:tc>
            </w:tr>
            <w:tr w14:paraId="51691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484" w:type="pct"/>
                  <w:vAlign w:val="center"/>
                </w:tcPr>
                <w:p w14:paraId="6FA5D319">
                  <w:pPr>
                    <w:autoSpaceDE w:val="0"/>
                    <w:autoSpaceDN w:val="0"/>
                    <w:jc w:val="center"/>
                    <w:rPr>
                      <w:color w:val="auto"/>
                      <w:kern w:val="0"/>
                      <w:szCs w:val="21"/>
                    </w:rPr>
                  </w:pPr>
                  <w:r>
                    <w:rPr>
                      <w:color w:val="auto"/>
                      <w:kern w:val="0"/>
                      <w:szCs w:val="21"/>
                    </w:rPr>
                    <w:t>生态</w:t>
                  </w:r>
                </w:p>
                <w:p w14:paraId="47A066BC">
                  <w:pPr>
                    <w:autoSpaceDE w:val="0"/>
                    <w:autoSpaceDN w:val="0"/>
                    <w:jc w:val="center"/>
                    <w:rPr>
                      <w:color w:val="auto"/>
                      <w:kern w:val="0"/>
                      <w:szCs w:val="21"/>
                    </w:rPr>
                  </w:pPr>
                  <w:r>
                    <w:rPr>
                      <w:color w:val="auto"/>
                      <w:kern w:val="0"/>
                      <w:szCs w:val="21"/>
                    </w:rPr>
                    <w:t>环境</w:t>
                  </w:r>
                </w:p>
              </w:tc>
              <w:tc>
                <w:tcPr>
                  <w:tcW w:w="4515" w:type="pct"/>
                  <w:gridSpan w:val="5"/>
                  <w:vAlign w:val="center"/>
                </w:tcPr>
                <w:p w14:paraId="6F920F7D">
                  <w:pPr>
                    <w:widowControl/>
                    <w:jc w:val="center"/>
                    <w:rPr>
                      <w:color w:val="auto"/>
                      <w:kern w:val="0"/>
                      <w:szCs w:val="21"/>
                    </w:rPr>
                  </w:pPr>
                  <w:r>
                    <w:rPr>
                      <w:color w:val="auto"/>
                      <w:szCs w:val="21"/>
                    </w:rPr>
                    <w:t>项目生态评价范围内无受影响的重要物种、生态敏感区以及其他需要保护的物种、种群、生物群落及生态空间等</w:t>
                  </w:r>
                </w:p>
              </w:tc>
            </w:tr>
          </w:tbl>
          <w:p w14:paraId="48738E22">
            <w:pPr>
              <w:adjustRightInd w:val="0"/>
              <w:snapToGrid w:val="0"/>
              <w:rPr>
                <w:color w:val="auto"/>
                <w:kern w:val="0"/>
                <w:szCs w:val="21"/>
                <w:highlight w:val="yellow"/>
              </w:rPr>
            </w:pPr>
          </w:p>
        </w:tc>
      </w:tr>
      <w:tr w14:paraId="10EDAE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443" w:type="pct"/>
            <w:vAlign w:val="center"/>
          </w:tcPr>
          <w:p w14:paraId="3F9CAB65">
            <w:pPr>
              <w:adjustRightInd w:val="0"/>
              <w:snapToGrid w:val="0"/>
              <w:jc w:val="center"/>
              <w:rPr>
                <w:color w:val="auto"/>
                <w:kern w:val="0"/>
                <w:sz w:val="24"/>
              </w:rPr>
            </w:pPr>
            <w:r>
              <w:rPr>
                <w:color w:val="auto"/>
                <w:kern w:val="0"/>
                <w:sz w:val="24"/>
              </w:rPr>
              <w:t>评价</w:t>
            </w:r>
          </w:p>
          <w:p w14:paraId="78681934">
            <w:pPr>
              <w:adjustRightInd w:val="0"/>
              <w:snapToGrid w:val="0"/>
              <w:jc w:val="center"/>
              <w:rPr>
                <w:color w:val="auto"/>
                <w:kern w:val="0"/>
                <w:szCs w:val="21"/>
                <w:highlight w:val="yellow"/>
              </w:rPr>
            </w:pPr>
            <w:r>
              <w:rPr>
                <w:color w:val="auto"/>
                <w:kern w:val="0"/>
                <w:sz w:val="24"/>
              </w:rPr>
              <w:t>标准</w:t>
            </w:r>
          </w:p>
        </w:tc>
        <w:tc>
          <w:tcPr>
            <w:tcW w:w="4556" w:type="pct"/>
            <w:vAlign w:val="center"/>
          </w:tcPr>
          <w:p w14:paraId="4C9BE616">
            <w:pPr>
              <w:spacing w:before="120" w:beforeLines="50" w:line="360" w:lineRule="auto"/>
              <w:ind w:firstLine="482" w:firstLineChars="200"/>
              <w:rPr>
                <w:b/>
                <w:bCs/>
                <w:snapToGrid w:val="0"/>
                <w:color w:val="auto"/>
                <w:kern w:val="0"/>
                <w:sz w:val="24"/>
              </w:rPr>
            </w:pPr>
            <w:r>
              <w:rPr>
                <w:b/>
                <w:bCs/>
                <w:snapToGrid w:val="0"/>
                <w:color w:val="auto"/>
                <w:kern w:val="0"/>
                <w:sz w:val="24"/>
              </w:rPr>
              <w:t>一、环境质量标准：</w:t>
            </w:r>
          </w:p>
          <w:p w14:paraId="13D6C01F">
            <w:pPr>
              <w:spacing w:line="360" w:lineRule="auto"/>
              <w:ind w:firstLine="482" w:firstLineChars="200"/>
              <w:rPr>
                <w:b/>
                <w:bCs/>
                <w:snapToGrid w:val="0"/>
                <w:color w:val="auto"/>
                <w:kern w:val="0"/>
                <w:sz w:val="24"/>
              </w:rPr>
            </w:pPr>
            <w:r>
              <w:rPr>
                <w:b/>
                <w:bCs/>
                <w:snapToGrid w:val="0"/>
                <w:color w:val="auto"/>
                <w:kern w:val="0"/>
                <w:sz w:val="24"/>
              </w:rPr>
              <w:t>（一）水环境</w:t>
            </w:r>
          </w:p>
          <w:p w14:paraId="613D0357">
            <w:pPr>
              <w:widowControl/>
              <w:spacing w:line="360" w:lineRule="auto"/>
              <w:ind w:firstLine="480" w:firstLineChars="200"/>
              <w:rPr>
                <w:color w:val="auto"/>
                <w:kern w:val="0"/>
                <w:sz w:val="24"/>
                <w:lang w:bidi="ar"/>
              </w:rPr>
            </w:pPr>
            <w:r>
              <w:rPr>
                <w:color w:val="auto"/>
                <w:kern w:val="0"/>
                <w:sz w:val="24"/>
                <w:lang w:bidi="ar"/>
              </w:rPr>
              <w:t>1、地表水环境：</w:t>
            </w:r>
          </w:p>
          <w:p w14:paraId="125C60D2">
            <w:pPr>
              <w:widowControl/>
              <w:spacing w:line="360" w:lineRule="auto"/>
              <w:ind w:firstLine="480" w:firstLineChars="200"/>
              <w:rPr>
                <w:b/>
                <w:color w:val="auto"/>
                <w:szCs w:val="21"/>
                <w:highlight w:val="none"/>
              </w:rPr>
            </w:pPr>
            <w:r>
              <w:rPr>
                <w:rFonts w:hint="eastAsia"/>
                <w:color w:val="auto"/>
                <w:kern w:val="0"/>
                <w:sz w:val="24"/>
                <w:lang w:eastAsia="zh-CN" w:bidi="ar"/>
              </w:rPr>
              <w:t>区域孝妇</w:t>
            </w:r>
            <w:r>
              <w:rPr>
                <w:rFonts w:hint="eastAsia"/>
                <w:color w:val="auto"/>
                <w:kern w:val="0"/>
                <w:sz w:val="24"/>
                <w:highlight w:val="none"/>
                <w:lang w:eastAsia="zh-CN" w:bidi="ar"/>
              </w:rPr>
              <w:t>河执行</w:t>
            </w:r>
            <w:r>
              <w:rPr>
                <w:color w:val="auto"/>
                <w:kern w:val="0"/>
                <w:sz w:val="24"/>
                <w:highlight w:val="none"/>
                <w:lang w:bidi="ar"/>
              </w:rPr>
              <w:t>《地表水环境质量标准》（GB3838-2002）</w:t>
            </w:r>
            <w:r>
              <w:rPr>
                <w:color w:val="auto"/>
                <w:kern w:val="0"/>
                <w:sz w:val="24"/>
                <w:highlight w:val="none"/>
                <w:lang w:bidi="ar"/>
              </w:rPr>
              <w:fldChar w:fldCharType="begin"/>
            </w:r>
            <w:r>
              <w:rPr>
                <w:color w:val="auto"/>
                <w:kern w:val="0"/>
                <w:sz w:val="24"/>
                <w:highlight w:val="none"/>
                <w:lang w:bidi="ar"/>
              </w:rPr>
              <w:instrText xml:space="preserve"> = 4 \* ROMAN \* MERGEFORMAT </w:instrText>
            </w:r>
            <w:r>
              <w:rPr>
                <w:color w:val="auto"/>
                <w:kern w:val="0"/>
                <w:sz w:val="24"/>
                <w:highlight w:val="none"/>
                <w:lang w:bidi="ar"/>
              </w:rPr>
              <w:fldChar w:fldCharType="separate"/>
            </w:r>
            <w:r>
              <w:rPr>
                <w:color w:val="auto"/>
                <w:highlight w:val="none"/>
              </w:rPr>
              <w:t>IV</w:t>
            </w:r>
            <w:r>
              <w:rPr>
                <w:color w:val="auto"/>
                <w:kern w:val="0"/>
                <w:sz w:val="24"/>
                <w:highlight w:val="none"/>
                <w:lang w:bidi="ar"/>
              </w:rPr>
              <w:fldChar w:fldCharType="end"/>
            </w:r>
            <w:r>
              <w:rPr>
                <w:color w:val="auto"/>
                <w:sz w:val="24"/>
                <w:highlight w:val="none"/>
              </w:rPr>
              <w:t>类</w:t>
            </w:r>
            <w:r>
              <w:rPr>
                <w:color w:val="auto"/>
                <w:kern w:val="0"/>
                <w:sz w:val="24"/>
                <w:highlight w:val="none"/>
                <w:lang w:bidi="ar"/>
              </w:rPr>
              <w:t>水质标准</w:t>
            </w:r>
            <w:r>
              <w:rPr>
                <w:rFonts w:hint="eastAsia"/>
                <w:color w:val="auto"/>
                <w:kern w:val="0"/>
                <w:sz w:val="24"/>
                <w:highlight w:val="none"/>
                <w:lang w:eastAsia="zh-CN" w:bidi="ar"/>
              </w:rPr>
              <w:t>，东猪龙河、涝淄河执行</w:t>
            </w:r>
            <w:r>
              <w:rPr>
                <w:color w:val="auto"/>
                <w:kern w:val="0"/>
                <w:sz w:val="24"/>
                <w:highlight w:val="none"/>
                <w:lang w:bidi="ar"/>
              </w:rPr>
              <w:t>《地表水环境质量标准》（GB3838-2002）V</w:t>
            </w:r>
            <w:r>
              <w:rPr>
                <w:color w:val="auto"/>
                <w:sz w:val="24"/>
                <w:highlight w:val="none"/>
              </w:rPr>
              <w:t>类</w:t>
            </w:r>
            <w:r>
              <w:rPr>
                <w:color w:val="auto"/>
                <w:kern w:val="0"/>
                <w:sz w:val="24"/>
                <w:highlight w:val="none"/>
                <w:lang w:bidi="ar"/>
              </w:rPr>
              <w:t>水质标准。</w:t>
            </w:r>
          </w:p>
          <w:p w14:paraId="6632D62E">
            <w:pPr>
              <w:jc w:val="center"/>
              <w:rPr>
                <w:bCs/>
                <w:color w:val="auto"/>
                <w:szCs w:val="21"/>
              </w:rPr>
            </w:pPr>
            <w:r>
              <w:rPr>
                <w:b/>
                <w:color w:val="auto"/>
                <w:szCs w:val="21"/>
              </w:rPr>
              <w:t>表3-</w:t>
            </w:r>
            <w:r>
              <w:rPr>
                <w:rFonts w:hint="eastAsia"/>
                <w:b/>
                <w:color w:val="auto"/>
                <w:szCs w:val="21"/>
                <w:lang w:val="en-US" w:eastAsia="zh-CN"/>
              </w:rPr>
              <w:t>20</w:t>
            </w:r>
            <w:r>
              <w:rPr>
                <w:b/>
                <w:color w:val="auto"/>
                <w:szCs w:val="21"/>
              </w:rPr>
              <w:t xml:space="preserve">  地表水环境质量标准     单位：mg/L，pH值、粪大肠菌群除外</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39"/>
              <w:gridCol w:w="2334"/>
              <w:gridCol w:w="2336"/>
            </w:tblGrid>
            <w:tr w14:paraId="10DBC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474F8804">
                  <w:pPr>
                    <w:jc w:val="center"/>
                    <w:rPr>
                      <w:color w:val="auto"/>
                      <w:szCs w:val="21"/>
                    </w:rPr>
                  </w:pPr>
                  <w:r>
                    <w:rPr>
                      <w:color w:val="auto"/>
                      <w:szCs w:val="21"/>
                    </w:rPr>
                    <w:t>项目</w:t>
                  </w:r>
                </w:p>
              </w:tc>
              <w:tc>
                <w:tcPr>
                  <w:tcW w:w="1421" w:type="pct"/>
                  <w:vAlign w:val="center"/>
                </w:tcPr>
                <w:p w14:paraId="5121CB1B">
                  <w:pPr>
                    <w:jc w:val="center"/>
                    <w:rPr>
                      <w:color w:val="auto"/>
                      <w:szCs w:val="21"/>
                    </w:rPr>
                  </w:pPr>
                  <w:r>
                    <w:rPr>
                      <w:color w:val="auto"/>
                      <w:szCs w:val="21"/>
                    </w:rPr>
                    <w:t>浓度限值</w:t>
                  </w:r>
                </w:p>
              </w:tc>
              <w:tc>
                <w:tcPr>
                  <w:tcW w:w="1422" w:type="pct"/>
                  <w:vAlign w:val="center"/>
                </w:tcPr>
                <w:p w14:paraId="1879B9DB">
                  <w:pPr>
                    <w:jc w:val="center"/>
                    <w:rPr>
                      <w:color w:val="auto"/>
                      <w:szCs w:val="21"/>
                    </w:rPr>
                  </w:pPr>
                  <w:r>
                    <w:rPr>
                      <w:color w:val="auto"/>
                      <w:szCs w:val="21"/>
                    </w:rPr>
                    <w:t>标准名称</w:t>
                  </w:r>
                </w:p>
              </w:tc>
            </w:tr>
            <w:tr w14:paraId="14FCA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980C6BE">
                  <w:pPr>
                    <w:jc w:val="center"/>
                    <w:rPr>
                      <w:rFonts w:ascii="Times New Roman" w:hAnsi="Times New Roman" w:eastAsia="宋体" w:cs="Times New Roman"/>
                      <w:color w:val="auto"/>
                      <w:kern w:val="2"/>
                      <w:sz w:val="21"/>
                      <w:szCs w:val="21"/>
                      <w:lang w:val="en-US" w:eastAsia="zh-CN" w:bidi="ar-SA"/>
                    </w:rPr>
                  </w:pPr>
                  <w:r>
                    <w:rPr>
                      <w:color w:val="auto"/>
                      <w:szCs w:val="21"/>
                    </w:rPr>
                    <w:t>pH值（无量纲）</w:t>
                  </w:r>
                </w:p>
              </w:tc>
              <w:tc>
                <w:tcPr>
                  <w:tcW w:w="1421" w:type="pct"/>
                  <w:shd w:val="clear" w:color="auto" w:fill="auto"/>
                  <w:vAlign w:val="center"/>
                </w:tcPr>
                <w:p w14:paraId="3AA821E0">
                  <w:pPr>
                    <w:jc w:val="center"/>
                    <w:rPr>
                      <w:rFonts w:ascii="Times New Roman" w:hAnsi="Times New Roman" w:eastAsia="宋体" w:cs="Times New Roman"/>
                      <w:color w:val="auto"/>
                      <w:kern w:val="2"/>
                      <w:sz w:val="21"/>
                      <w:szCs w:val="21"/>
                      <w:lang w:val="en-US" w:eastAsia="zh-CN" w:bidi="ar-SA"/>
                    </w:rPr>
                  </w:pPr>
                  <w:r>
                    <w:rPr>
                      <w:color w:val="auto"/>
                      <w:szCs w:val="21"/>
                    </w:rPr>
                    <w:t>6-9</w:t>
                  </w:r>
                </w:p>
              </w:tc>
              <w:tc>
                <w:tcPr>
                  <w:tcW w:w="1422" w:type="pct"/>
                  <w:vMerge w:val="restart"/>
                  <w:vAlign w:val="center"/>
                </w:tcPr>
                <w:p w14:paraId="0DCB8BA5">
                  <w:pPr>
                    <w:jc w:val="center"/>
                    <w:rPr>
                      <w:color w:val="auto"/>
                      <w:szCs w:val="21"/>
                    </w:rPr>
                  </w:pPr>
                  <w:r>
                    <w:rPr>
                      <w:color w:val="auto"/>
                      <w:szCs w:val="21"/>
                    </w:rPr>
                    <w:t>地表水环境质量标准（GB3838-2002）</w:t>
                  </w:r>
                  <w:r>
                    <w:rPr>
                      <w:color w:val="auto"/>
                      <w:szCs w:val="21"/>
                    </w:rPr>
                    <w:fldChar w:fldCharType="begin"/>
                  </w:r>
                  <w:r>
                    <w:rPr>
                      <w:color w:val="auto"/>
                      <w:szCs w:val="21"/>
                    </w:rPr>
                    <w:instrText xml:space="preserve"> = 4 \* ROMAN \* MERGEFORMAT </w:instrText>
                  </w:r>
                  <w:r>
                    <w:rPr>
                      <w:color w:val="auto"/>
                      <w:szCs w:val="21"/>
                    </w:rPr>
                    <w:fldChar w:fldCharType="separate"/>
                  </w:r>
                  <w:r>
                    <w:rPr>
                      <w:color w:val="auto"/>
                    </w:rPr>
                    <w:t>IV</w:t>
                  </w:r>
                  <w:r>
                    <w:rPr>
                      <w:color w:val="auto"/>
                      <w:szCs w:val="21"/>
                    </w:rPr>
                    <w:fldChar w:fldCharType="end"/>
                  </w:r>
                  <w:r>
                    <w:rPr>
                      <w:color w:val="auto"/>
                      <w:szCs w:val="21"/>
                    </w:rPr>
                    <w:t>类标准</w:t>
                  </w:r>
                </w:p>
              </w:tc>
            </w:tr>
            <w:tr w14:paraId="7559CC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C7C6277">
                  <w:pPr>
                    <w:jc w:val="center"/>
                    <w:rPr>
                      <w:rFonts w:ascii="Times New Roman" w:hAnsi="Times New Roman" w:eastAsia="宋体" w:cs="Times New Roman"/>
                      <w:color w:val="auto"/>
                      <w:kern w:val="2"/>
                      <w:sz w:val="21"/>
                      <w:szCs w:val="21"/>
                      <w:lang w:val="en-US" w:eastAsia="zh-CN" w:bidi="ar-SA"/>
                    </w:rPr>
                  </w:pPr>
                  <w:r>
                    <w:rPr>
                      <w:color w:val="auto"/>
                      <w:szCs w:val="21"/>
                    </w:rPr>
                    <w:t>溶解氧≥</w:t>
                  </w:r>
                </w:p>
              </w:tc>
              <w:tc>
                <w:tcPr>
                  <w:tcW w:w="1421" w:type="pct"/>
                  <w:shd w:val="clear" w:color="auto" w:fill="auto"/>
                  <w:vAlign w:val="center"/>
                </w:tcPr>
                <w:p w14:paraId="759B0B20">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w:t>
                  </w:r>
                </w:p>
              </w:tc>
              <w:tc>
                <w:tcPr>
                  <w:tcW w:w="1422" w:type="pct"/>
                  <w:vMerge w:val="continue"/>
                  <w:vAlign w:val="center"/>
                </w:tcPr>
                <w:p w14:paraId="54212EC9">
                  <w:pPr>
                    <w:jc w:val="center"/>
                    <w:rPr>
                      <w:color w:val="auto"/>
                      <w:szCs w:val="21"/>
                    </w:rPr>
                  </w:pPr>
                </w:p>
              </w:tc>
            </w:tr>
            <w:tr w14:paraId="327D77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18D8D0B2">
                  <w:pPr>
                    <w:jc w:val="center"/>
                    <w:rPr>
                      <w:rFonts w:ascii="Times New Roman" w:hAnsi="Times New Roman" w:eastAsia="宋体" w:cs="Times New Roman"/>
                      <w:color w:val="auto"/>
                      <w:kern w:val="2"/>
                      <w:sz w:val="21"/>
                      <w:szCs w:val="21"/>
                      <w:lang w:val="en-US" w:eastAsia="zh-CN" w:bidi="ar-SA"/>
                    </w:rPr>
                  </w:pPr>
                  <w:r>
                    <w:rPr>
                      <w:color w:val="auto"/>
                      <w:szCs w:val="21"/>
                    </w:rPr>
                    <w:t>高锰酸盐指数≤</w:t>
                  </w:r>
                </w:p>
              </w:tc>
              <w:tc>
                <w:tcPr>
                  <w:tcW w:w="1421" w:type="pct"/>
                  <w:shd w:val="clear" w:color="auto" w:fill="auto"/>
                  <w:vAlign w:val="center"/>
                </w:tcPr>
                <w:p w14:paraId="6C4D98CF">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w:t>
                  </w:r>
                </w:p>
              </w:tc>
              <w:tc>
                <w:tcPr>
                  <w:tcW w:w="1422" w:type="pct"/>
                  <w:vMerge w:val="continue"/>
                  <w:vAlign w:val="center"/>
                </w:tcPr>
                <w:p w14:paraId="2C7D1648">
                  <w:pPr>
                    <w:jc w:val="center"/>
                    <w:rPr>
                      <w:color w:val="auto"/>
                      <w:szCs w:val="21"/>
                    </w:rPr>
                  </w:pPr>
                </w:p>
              </w:tc>
            </w:tr>
            <w:tr w14:paraId="69A1EE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55F991E2">
                  <w:pPr>
                    <w:jc w:val="center"/>
                    <w:rPr>
                      <w:rFonts w:ascii="Times New Roman" w:hAnsi="Times New Roman" w:eastAsia="宋体" w:cs="Times New Roman"/>
                      <w:color w:val="auto"/>
                      <w:kern w:val="2"/>
                      <w:sz w:val="21"/>
                      <w:szCs w:val="21"/>
                      <w:lang w:val="en-US" w:eastAsia="zh-CN" w:bidi="ar-SA"/>
                    </w:rPr>
                  </w:pPr>
                  <w:r>
                    <w:rPr>
                      <w:color w:val="auto"/>
                      <w:szCs w:val="21"/>
                    </w:rPr>
                    <w:t>化学需氧量≤</w:t>
                  </w:r>
                </w:p>
              </w:tc>
              <w:tc>
                <w:tcPr>
                  <w:tcW w:w="1421" w:type="pct"/>
                  <w:shd w:val="clear" w:color="auto" w:fill="auto"/>
                  <w:vAlign w:val="center"/>
                </w:tcPr>
                <w:p w14:paraId="25DC8FA9">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30</w:t>
                  </w:r>
                </w:p>
              </w:tc>
              <w:tc>
                <w:tcPr>
                  <w:tcW w:w="1422" w:type="pct"/>
                  <w:vMerge w:val="continue"/>
                  <w:vAlign w:val="center"/>
                </w:tcPr>
                <w:p w14:paraId="0DDA64D2">
                  <w:pPr>
                    <w:jc w:val="center"/>
                    <w:rPr>
                      <w:color w:val="auto"/>
                      <w:szCs w:val="21"/>
                    </w:rPr>
                  </w:pPr>
                </w:p>
              </w:tc>
            </w:tr>
            <w:tr w14:paraId="553885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823ADC1">
                  <w:pPr>
                    <w:jc w:val="center"/>
                    <w:rPr>
                      <w:rFonts w:ascii="Times New Roman" w:hAnsi="Times New Roman" w:eastAsia="宋体" w:cs="Times New Roman"/>
                      <w:color w:val="auto"/>
                      <w:kern w:val="2"/>
                      <w:sz w:val="21"/>
                      <w:szCs w:val="21"/>
                      <w:lang w:val="en-US" w:eastAsia="zh-CN" w:bidi="ar-SA"/>
                    </w:rPr>
                  </w:pPr>
                  <w:r>
                    <w:rPr>
                      <w:color w:val="auto"/>
                      <w:szCs w:val="21"/>
                    </w:rPr>
                    <w:t>五日生化需氧量≤</w:t>
                  </w:r>
                </w:p>
              </w:tc>
              <w:tc>
                <w:tcPr>
                  <w:tcW w:w="1421" w:type="pct"/>
                  <w:shd w:val="clear" w:color="auto" w:fill="auto"/>
                  <w:vAlign w:val="center"/>
                </w:tcPr>
                <w:p w14:paraId="33BCD1A8">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w:t>
                  </w:r>
                </w:p>
              </w:tc>
              <w:tc>
                <w:tcPr>
                  <w:tcW w:w="1422" w:type="pct"/>
                  <w:vMerge w:val="continue"/>
                  <w:vAlign w:val="center"/>
                </w:tcPr>
                <w:p w14:paraId="02A76B9A">
                  <w:pPr>
                    <w:jc w:val="center"/>
                    <w:rPr>
                      <w:color w:val="auto"/>
                      <w:szCs w:val="21"/>
                    </w:rPr>
                  </w:pPr>
                </w:p>
              </w:tc>
            </w:tr>
            <w:tr w14:paraId="1C472F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4F2B426D">
                  <w:pPr>
                    <w:jc w:val="center"/>
                    <w:rPr>
                      <w:rFonts w:ascii="Times New Roman" w:hAnsi="Times New Roman" w:eastAsia="宋体" w:cs="Times New Roman"/>
                      <w:color w:val="auto"/>
                      <w:kern w:val="2"/>
                      <w:sz w:val="21"/>
                      <w:szCs w:val="21"/>
                      <w:lang w:val="en-US" w:eastAsia="zh-CN" w:bidi="ar-SA"/>
                    </w:rPr>
                  </w:pPr>
                  <w:r>
                    <w:rPr>
                      <w:color w:val="auto"/>
                      <w:szCs w:val="21"/>
                    </w:rPr>
                    <w:t>氨氮≤</w:t>
                  </w:r>
                </w:p>
              </w:tc>
              <w:tc>
                <w:tcPr>
                  <w:tcW w:w="1421" w:type="pct"/>
                  <w:shd w:val="clear" w:color="auto" w:fill="auto"/>
                  <w:vAlign w:val="center"/>
                </w:tcPr>
                <w:p w14:paraId="0942F358">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w:t>
                  </w:r>
                </w:p>
              </w:tc>
              <w:tc>
                <w:tcPr>
                  <w:tcW w:w="1422" w:type="pct"/>
                  <w:vMerge w:val="continue"/>
                  <w:vAlign w:val="center"/>
                </w:tcPr>
                <w:p w14:paraId="6CF6D9C6">
                  <w:pPr>
                    <w:jc w:val="center"/>
                    <w:rPr>
                      <w:color w:val="auto"/>
                      <w:szCs w:val="21"/>
                    </w:rPr>
                  </w:pPr>
                </w:p>
              </w:tc>
            </w:tr>
            <w:tr w14:paraId="22AA94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3E5F89AD">
                  <w:pPr>
                    <w:jc w:val="center"/>
                    <w:rPr>
                      <w:rFonts w:ascii="Times New Roman" w:hAnsi="Times New Roman" w:eastAsia="宋体" w:cs="Times New Roman"/>
                      <w:color w:val="auto"/>
                      <w:kern w:val="2"/>
                      <w:sz w:val="21"/>
                      <w:szCs w:val="21"/>
                      <w:lang w:val="en-US" w:eastAsia="zh-CN" w:bidi="ar-SA"/>
                    </w:rPr>
                  </w:pPr>
                  <w:r>
                    <w:rPr>
                      <w:color w:val="auto"/>
                      <w:szCs w:val="21"/>
                    </w:rPr>
                    <w:t>总磷≤</w:t>
                  </w:r>
                </w:p>
              </w:tc>
              <w:tc>
                <w:tcPr>
                  <w:tcW w:w="1421" w:type="pct"/>
                  <w:shd w:val="clear" w:color="auto" w:fill="auto"/>
                  <w:vAlign w:val="center"/>
                </w:tcPr>
                <w:p w14:paraId="7D9997DD">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w:t>
                  </w:r>
                </w:p>
              </w:tc>
              <w:tc>
                <w:tcPr>
                  <w:tcW w:w="1422" w:type="pct"/>
                  <w:vMerge w:val="continue"/>
                  <w:vAlign w:val="center"/>
                </w:tcPr>
                <w:p w14:paraId="0C075393">
                  <w:pPr>
                    <w:jc w:val="center"/>
                    <w:rPr>
                      <w:color w:val="auto"/>
                      <w:szCs w:val="21"/>
                    </w:rPr>
                  </w:pPr>
                </w:p>
              </w:tc>
            </w:tr>
            <w:tr w14:paraId="08341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641EE1B3">
                  <w:pPr>
                    <w:jc w:val="center"/>
                    <w:rPr>
                      <w:rFonts w:ascii="Times New Roman" w:hAnsi="Times New Roman" w:eastAsia="宋体" w:cs="Times New Roman"/>
                      <w:color w:val="auto"/>
                      <w:kern w:val="2"/>
                      <w:sz w:val="21"/>
                      <w:szCs w:val="21"/>
                      <w:lang w:val="en-US" w:eastAsia="zh-CN" w:bidi="ar-SA"/>
                    </w:rPr>
                  </w:pPr>
                  <w:r>
                    <w:rPr>
                      <w:color w:val="auto"/>
                      <w:szCs w:val="21"/>
                    </w:rPr>
                    <w:t>总氮≤</w:t>
                  </w:r>
                </w:p>
              </w:tc>
              <w:tc>
                <w:tcPr>
                  <w:tcW w:w="1421" w:type="pct"/>
                  <w:shd w:val="clear" w:color="auto" w:fill="auto"/>
                  <w:vAlign w:val="center"/>
                </w:tcPr>
                <w:p w14:paraId="1FDFD86D">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w:t>
                  </w:r>
                </w:p>
              </w:tc>
              <w:tc>
                <w:tcPr>
                  <w:tcW w:w="1422" w:type="pct"/>
                  <w:vMerge w:val="continue"/>
                  <w:vAlign w:val="center"/>
                </w:tcPr>
                <w:p w14:paraId="40379D5E">
                  <w:pPr>
                    <w:jc w:val="center"/>
                    <w:rPr>
                      <w:color w:val="auto"/>
                      <w:szCs w:val="21"/>
                    </w:rPr>
                  </w:pPr>
                </w:p>
              </w:tc>
            </w:tr>
            <w:tr w14:paraId="0E2927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5855C4EF">
                  <w:pPr>
                    <w:jc w:val="center"/>
                    <w:rPr>
                      <w:rFonts w:ascii="Times New Roman" w:hAnsi="Times New Roman" w:eastAsia="宋体" w:cs="Times New Roman"/>
                      <w:color w:val="auto"/>
                      <w:kern w:val="2"/>
                      <w:sz w:val="21"/>
                      <w:szCs w:val="21"/>
                      <w:lang w:val="en-US" w:eastAsia="zh-CN" w:bidi="ar-SA"/>
                    </w:rPr>
                  </w:pPr>
                  <w:r>
                    <w:rPr>
                      <w:color w:val="auto"/>
                      <w:szCs w:val="21"/>
                    </w:rPr>
                    <w:t>铜≤</w:t>
                  </w:r>
                </w:p>
              </w:tc>
              <w:tc>
                <w:tcPr>
                  <w:tcW w:w="1421" w:type="pct"/>
                  <w:shd w:val="clear" w:color="auto" w:fill="auto"/>
                  <w:vAlign w:val="center"/>
                </w:tcPr>
                <w:p w14:paraId="34A2FE8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422" w:type="pct"/>
                  <w:vMerge w:val="continue"/>
                  <w:vAlign w:val="center"/>
                </w:tcPr>
                <w:p w14:paraId="004C6987">
                  <w:pPr>
                    <w:jc w:val="center"/>
                    <w:rPr>
                      <w:color w:val="auto"/>
                      <w:szCs w:val="21"/>
                    </w:rPr>
                  </w:pPr>
                </w:p>
              </w:tc>
            </w:tr>
            <w:tr w14:paraId="061CE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513716C8">
                  <w:pPr>
                    <w:jc w:val="center"/>
                    <w:rPr>
                      <w:rFonts w:ascii="Times New Roman" w:hAnsi="Times New Roman" w:eastAsia="宋体" w:cs="Times New Roman"/>
                      <w:color w:val="auto"/>
                      <w:kern w:val="2"/>
                      <w:sz w:val="21"/>
                      <w:szCs w:val="21"/>
                      <w:lang w:val="en-US" w:eastAsia="zh-CN" w:bidi="ar-SA"/>
                    </w:rPr>
                  </w:pPr>
                  <w:r>
                    <w:rPr>
                      <w:color w:val="auto"/>
                      <w:szCs w:val="21"/>
                    </w:rPr>
                    <w:t>锌≤</w:t>
                  </w:r>
                </w:p>
              </w:tc>
              <w:tc>
                <w:tcPr>
                  <w:tcW w:w="1421" w:type="pct"/>
                  <w:shd w:val="clear" w:color="auto" w:fill="auto"/>
                  <w:vAlign w:val="center"/>
                </w:tcPr>
                <w:p w14:paraId="5C801037">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w:t>
                  </w:r>
                </w:p>
              </w:tc>
              <w:tc>
                <w:tcPr>
                  <w:tcW w:w="1422" w:type="pct"/>
                  <w:vMerge w:val="continue"/>
                  <w:vAlign w:val="center"/>
                </w:tcPr>
                <w:p w14:paraId="6AA47A7A">
                  <w:pPr>
                    <w:jc w:val="center"/>
                    <w:rPr>
                      <w:color w:val="auto"/>
                      <w:szCs w:val="21"/>
                    </w:rPr>
                  </w:pPr>
                </w:p>
              </w:tc>
            </w:tr>
            <w:tr w14:paraId="71CAB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2811D8F">
                  <w:pPr>
                    <w:jc w:val="center"/>
                    <w:rPr>
                      <w:rFonts w:ascii="Times New Roman" w:hAnsi="Times New Roman" w:eastAsia="宋体" w:cs="Times New Roman"/>
                      <w:color w:val="auto"/>
                      <w:kern w:val="2"/>
                      <w:sz w:val="21"/>
                      <w:szCs w:val="21"/>
                      <w:lang w:val="en-US" w:eastAsia="zh-CN" w:bidi="ar-SA"/>
                    </w:rPr>
                  </w:pPr>
                  <w:r>
                    <w:rPr>
                      <w:color w:val="auto"/>
                      <w:szCs w:val="21"/>
                    </w:rPr>
                    <w:t>氟化物≤</w:t>
                  </w:r>
                </w:p>
              </w:tc>
              <w:tc>
                <w:tcPr>
                  <w:tcW w:w="1421" w:type="pct"/>
                  <w:shd w:val="clear" w:color="auto" w:fill="auto"/>
                  <w:vAlign w:val="center"/>
                </w:tcPr>
                <w:p w14:paraId="7A99DD5B">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w:t>
                  </w:r>
                </w:p>
              </w:tc>
              <w:tc>
                <w:tcPr>
                  <w:tcW w:w="1422" w:type="pct"/>
                  <w:vMerge w:val="continue"/>
                  <w:vAlign w:val="center"/>
                </w:tcPr>
                <w:p w14:paraId="4360FC89">
                  <w:pPr>
                    <w:jc w:val="center"/>
                    <w:rPr>
                      <w:color w:val="auto"/>
                      <w:szCs w:val="21"/>
                    </w:rPr>
                  </w:pPr>
                </w:p>
              </w:tc>
            </w:tr>
            <w:tr w14:paraId="5CC925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3B08B84A">
                  <w:pPr>
                    <w:jc w:val="center"/>
                    <w:rPr>
                      <w:rFonts w:ascii="Times New Roman" w:hAnsi="Times New Roman" w:eastAsia="宋体" w:cs="Times New Roman"/>
                      <w:color w:val="auto"/>
                      <w:kern w:val="2"/>
                      <w:sz w:val="21"/>
                      <w:szCs w:val="21"/>
                      <w:lang w:val="en-US" w:eastAsia="zh-CN" w:bidi="ar-SA"/>
                    </w:rPr>
                  </w:pPr>
                  <w:r>
                    <w:rPr>
                      <w:color w:val="auto"/>
                      <w:szCs w:val="21"/>
                    </w:rPr>
                    <w:t>砷≤</w:t>
                  </w:r>
                </w:p>
              </w:tc>
              <w:tc>
                <w:tcPr>
                  <w:tcW w:w="1421" w:type="pct"/>
                  <w:shd w:val="clear" w:color="auto" w:fill="auto"/>
                  <w:vAlign w:val="center"/>
                </w:tcPr>
                <w:p w14:paraId="2B2DA639">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w:t>
                  </w:r>
                </w:p>
              </w:tc>
              <w:tc>
                <w:tcPr>
                  <w:tcW w:w="1422" w:type="pct"/>
                  <w:vMerge w:val="continue"/>
                  <w:vAlign w:val="center"/>
                </w:tcPr>
                <w:p w14:paraId="5DC8088D">
                  <w:pPr>
                    <w:jc w:val="center"/>
                    <w:rPr>
                      <w:color w:val="auto"/>
                      <w:szCs w:val="21"/>
                    </w:rPr>
                  </w:pPr>
                </w:p>
              </w:tc>
            </w:tr>
            <w:tr w14:paraId="4D80C8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7760B32F">
                  <w:pPr>
                    <w:jc w:val="center"/>
                    <w:rPr>
                      <w:rFonts w:ascii="Times New Roman" w:hAnsi="Times New Roman" w:eastAsia="宋体" w:cs="Times New Roman"/>
                      <w:color w:val="auto"/>
                      <w:kern w:val="2"/>
                      <w:sz w:val="21"/>
                      <w:szCs w:val="21"/>
                      <w:lang w:val="en-US" w:eastAsia="zh-CN" w:bidi="ar-SA"/>
                    </w:rPr>
                  </w:pPr>
                  <w:r>
                    <w:rPr>
                      <w:color w:val="auto"/>
                      <w:szCs w:val="21"/>
                    </w:rPr>
                    <w:t>硒≤</w:t>
                  </w:r>
                </w:p>
              </w:tc>
              <w:tc>
                <w:tcPr>
                  <w:tcW w:w="1421" w:type="pct"/>
                  <w:shd w:val="clear" w:color="auto" w:fill="auto"/>
                  <w:vAlign w:val="center"/>
                </w:tcPr>
                <w:p w14:paraId="36092679">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0.02</w:t>
                  </w:r>
                </w:p>
              </w:tc>
              <w:tc>
                <w:tcPr>
                  <w:tcW w:w="1422" w:type="pct"/>
                  <w:vMerge w:val="continue"/>
                  <w:vAlign w:val="center"/>
                </w:tcPr>
                <w:p w14:paraId="28F1DD09">
                  <w:pPr>
                    <w:jc w:val="center"/>
                    <w:rPr>
                      <w:color w:val="auto"/>
                      <w:szCs w:val="21"/>
                    </w:rPr>
                  </w:pPr>
                </w:p>
              </w:tc>
            </w:tr>
            <w:tr w14:paraId="23C7E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176F61D9">
                  <w:pPr>
                    <w:jc w:val="center"/>
                    <w:rPr>
                      <w:rFonts w:ascii="Times New Roman" w:hAnsi="Times New Roman" w:eastAsia="宋体" w:cs="Times New Roman"/>
                      <w:color w:val="auto"/>
                      <w:kern w:val="2"/>
                      <w:sz w:val="21"/>
                      <w:szCs w:val="21"/>
                      <w:lang w:val="en-US" w:eastAsia="zh-CN" w:bidi="ar-SA"/>
                    </w:rPr>
                  </w:pPr>
                  <w:r>
                    <w:rPr>
                      <w:color w:val="auto"/>
                      <w:szCs w:val="21"/>
                    </w:rPr>
                    <w:t>汞≤</w:t>
                  </w:r>
                </w:p>
              </w:tc>
              <w:tc>
                <w:tcPr>
                  <w:tcW w:w="1421" w:type="pct"/>
                  <w:shd w:val="clear" w:color="auto" w:fill="auto"/>
                  <w:vAlign w:val="center"/>
                </w:tcPr>
                <w:p w14:paraId="215D8DDE">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0.001</w:t>
                  </w:r>
                </w:p>
              </w:tc>
              <w:tc>
                <w:tcPr>
                  <w:tcW w:w="1422" w:type="pct"/>
                  <w:vMerge w:val="continue"/>
                  <w:vAlign w:val="center"/>
                </w:tcPr>
                <w:p w14:paraId="5A114262">
                  <w:pPr>
                    <w:jc w:val="center"/>
                    <w:rPr>
                      <w:color w:val="auto"/>
                      <w:szCs w:val="21"/>
                    </w:rPr>
                  </w:pPr>
                </w:p>
              </w:tc>
            </w:tr>
            <w:tr w14:paraId="7BA399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24C70BE5">
                  <w:pPr>
                    <w:jc w:val="center"/>
                    <w:rPr>
                      <w:rFonts w:ascii="Times New Roman" w:hAnsi="Times New Roman" w:eastAsia="宋体" w:cs="Times New Roman"/>
                      <w:color w:val="auto"/>
                      <w:kern w:val="2"/>
                      <w:sz w:val="21"/>
                      <w:szCs w:val="21"/>
                      <w:lang w:val="en-US" w:eastAsia="zh-CN" w:bidi="ar-SA"/>
                    </w:rPr>
                  </w:pPr>
                  <w:r>
                    <w:rPr>
                      <w:color w:val="auto"/>
                      <w:szCs w:val="21"/>
                    </w:rPr>
                    <w:t>镉≤</w:t>
                  </w:r>
                </w:p>
              </w:tc>
              <w:tc>
                <w:tcPr>
                  <w:tcW w:w="1421" w:type="pct"/>
                  <w:shd w:val="clear" w:color="auto" w:fill="auto"/>
                  <w:vAlign w:val="center"/>
                </w:tcPr>
                <w:p w14:paraId="520DE8C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0.005</w:t>
                  </w:r>
                </w:p>
              </w:tc>
              <w:tc>
                <w:tcPr>
                  <w:tcW w:w="1422" w:type="pct"/>
                  <w:vMerge w:val="continue"/>
                  <w:vAlign w:val="center"/>
                </w:tcPr>
                <w:p w14:paraId="6B8EDD84">
                  <w:pPr>
                    <w:jc w:val="center"/>
                    <w:rPr>
                      <w:color w:val="auto"/>
                      <w:szCs w:val="21"/>
                    </w:rPr>
                  </w:pPr>
                </w:p>
              </w:tc>
            </w:tr>
            <w:tr w14:paraId="026D9C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6553F471">
                  <w:pPr>
                    <w:jc w:val="center"/>
                    <w:rPr>
                      <w:rFonts w:ascii="Times New Roman" w:hAnsi="Times New Roman" w:eastAsia="宋体" w:cs="Times New Roman"/>
                      <w:color w:val="auto"/>
                      <w:kern w:val="2"/>
                      <w:sz w:val="21"/>
                      <w:szCs w:val="21"/>
                      <w:lang w:val="en-US" w:eastAsia="zh-CN" w:bidi="ar-SA"/>
                    </w:rPr>
                  </w:pPr>
                  <w:r>
                    <w:rPr>
                      <w:color w:val="auto"/>
                      <w:szCs w:val="21"/>
                    </w:rPr>
                    <w:t>六价铬≤</w:t>
                  </w:r>
                </w:p>
              </w:tc>
              <w:tc>
                <w:tcPr>
                  <w:tcW w:w="1421" w:type="pct"/>
                  <w:shd w:val="clear" w:color="auto" w:fill="auto"/>
                  <w:vAlign w:val="center"/>
                </w:tcPr>
                <w:p w14:paraId="2A3C6BD5">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0.05</w:t>
                  </w:r>
                </w:p>
              </w:tc>
              <w:tc>
                <w:tcPr>
                  <w:tcW w:w="1422" w:type="pct"/>
                  <w:vMerge w:val="continue"/>
                  <w:vAlign w:val="center"/>
                </w:tcPr>
                <w:p w14:paraId="77E7860A">
                  <w:pPr>
                    <w:jc w:val="center"/>
                    <w:rPr>
                      <w:color w:val="auto"/>
                      <w:szCs w:val="21"/>
                    </w:rPr>
                  </w:pPr>
                </w:p>
              </w:tc>
            </w:tr>
            <w:tr w14:paraId="4A0B9A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3DF2461">
                  <w:pPr>
                    <w:jc w:val="center"/>
                    <w:rPr>
                      <w:rFonts w:ascii="Times New Roman" w:hAnsi="Times New Roman" w:eastAsia="宋体" w:cs="Times New Roman"/>
                      <w:color w:val="auto"/>
                      <w:kern w:val="2"/>
                      <w:sz w:val="21"/>
                      <w:szCs w:val="21"/>
                      <w:lang w:val="en-US" w:eastAsia="zh-CN" w:bidi="ar-SA"/>
                    </w:rPr>
                  </w:pPr>
                  <w:r>
                    <w:rPr>
                      <w:color w:val="auto"/>
                      <w:szCs w:val="21"/>
                    </w:rPr>
                    <w:t>铅≤</w:t>
                  </w:r>
                </w:p>
              </w:tc>
              <w:tc>
                <w:tcPr>
                  <w:tcW w:w="1421" w:type="pct"/>
                  <w:shd w:val="clear" w:color="auto" w:fill="auto"/>
                  <w:vAlign w:val="center"/>
                </w:tcPr>
                <w:p w14:paraId="5D6F043D">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0.05</w:t>
                  </w:r>
                </w:p>
              </w:tc>
              <w:tc>
                <w:tcPr>
                  <w:tcW w:w="1422" w:type="pct"/>
                  <w:vMerge w:val="continue"/>
                  <w:vAlign w:val="center"/>
                </w:tcPr>
                <w:p w14:paraId="233448EE">
                  <w:pPr>
                    <w:jc w:val="center"/>
                    <w:rPr>
                      <w:color w:val="auto"/>
                      <w:szCs w:val="21"/>
                    </w:rPr>
                  </w:pPr>
                </w:p>
              </w:tc>
            </w:tr>
            <w:tr w14:paraId="675D7E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3D8B625">
                  <w:pPr>
                    <w:jc w:val="center"/>
                    <w:rPr>
                      <w:rFonts w:ascii="Times New Roman" w:hAnsi="Times New Roman" w:eastAsia="宋体" w:cs="Times New Roman"/>
                      <w:color w:val="auto"/>
                      <w:kern w:val="2"/>
                      <w:sz w:val="21"/>
                      <w:szCs w:val="21"/>
                      <w:lang w:val="en-US" w:eastAsia="zh-CN" w:bidi="ar-SA"/>
                    </w:rPr>
                  </w:pPr>
                  <w:r>
                    <w:rPr>
                      <w:color w:val="auto"/>
                      <w:szCs w:val="21"/>
                    </w:rPr>
                    <w:t>氰化物≤</w:t>
                  </w:r>
                </w:p>
              </w:tc>
              <w:tc>
                <w:tcPr>
                  <w:tcW w:w="1421" w:type="pct"/>
                  <w:shd w:val="clear" w:color="auto" w:fill="auto"/>
                  <w:vAlign w:val="center"/>
                </w:tcPr>
                <w:p w14:paraId="50B59DF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w:t>
                  </w:r>
                </w:p>
              </w:tc>
              <w:tc>
                <w:tcPr>
                  <w:tcW w:w="1422" w:type="pct"/>
                  <w:vMerge w:val="continue"/>
                  <w:vAlign w:val="center"/>
                </w:tcPr>
                <w:p w14:paraId="35252930">
                  <w:pPr>
                    <w:jc w:val="center"/>
                    <w:rPr>
                      <w:color w:val="auto"/>
                      <w:szCs w:val="21"/>
                    </w:rPr>
                  </w:pPr>
                </w:p>
              </w:tc>
            </w:tr>
            <w:tr w14:paraId="4B82BB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0028215">
                  <w:pPr>
                    <w:jc w:val="center"/>
                    <w:rPr>
                      <w:rFonts w:ascii="Times New Roman" w:hAnsi="Times New Roman" w:eastAsia="宋体" w:cs="Times New Roman"/>
                      <w:color w:val="auto"/>
                      <w:kern w:val="2"/>
                      <w:sz w:val="21"/>
                      <w:szCs w:val="21"/>
                      <w:lang w:val="en-US" w:eastAsia="zh-CN" w:bidi="ar-SA"/>
                    </w:rPr>
                  </w:pPr>
                  <w:r>
                    <w:rPr>
                      <w:color w:val="auto"/>
                      <w:szCs w:val="21"/>
                    </w:rPr>
                    <w:t>挥发酚≤</w:t>
                  </w:r>
                </w:p>
              </w:tc>
              <w:tc>
                <w:tcPr>
                  <w:tcW w:w="1421" w:type="pct"/>
                  <w:shd w:val="clear" w:color="auto" w:fill="auto"/>
                  <w:vAlign w:val="center"/>
                </w:tcPr>
                <w:p w14:paraId="34C3DE0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0.01</w:t>
                  </w:r>
                </w:p>
              </w:tc>
              <w:tc>
                <w:tcPr>
                  <w:tcW w:w="1422" w:type="pct"/>
                  <w:vMerge w:val="continue"/>
                  <w:vAlign w:val="center"/>
                </w:tcPr>
                <w:p w14:paraId="34E6EA7D">
                  <w:pPr>
                    <w:jc w:val="center"/>
                    <w:rPr>
                      <w:color w:val="auto"/>
                      <w:szCs w:val="21"/>
                    </w:rPr>
                  </w:pPr>
                </w:p>
              </w:tc>
            </w:tr>
            <w:tr w14:paraId="4C25A3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08ABD013">
                  <w:pPr>
                    <w:jc w:val="center"/>
                    <w:rPr>
                      <w:rFonts w:ascii="Times New Roman" w:hAnsi="Times New Roman" w:eastAsia="宋体" w:cs="Times New Roman"/>
                      <w:color w:val="auto"/>
                      <w:kern w:val="2"/>
                      <w:sz w:val="21"/>
                      <w:szCs w:val="21"/>
                      <w:lang w:val="en-US" w:eastAsia="zh-CN" w:bidi="ar-SA"/>
                    </w:rPr>
                  </w:pPr>
                  <w:r>
                    <w:rPr>
                      <w:color w:val="auto"/>
                      <w:szCs w:val="21"/>
                    </w:rPr>
                    <w:t>石油类≤</w:t>
                  </w:r>
                </w:p>
              </w:tc>
              <w:tc>
                <w:tcPr>
                  <w:tcW w:w="1421" w:type="pct"/>
                  <w:shd w:val="clear" w:color="auto" w:fill="auto"/>
                  <w:vAlign w:val="center"/>
                </w:tcPr>
                <w:p w14:paraId="66B58094">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w:t>
                  </w:r>
                </w:p>
              </w:tc>
              <w:tc>
                <w:tcPr>
                  <w:tcW w:w="1422" w:type="pct"/>
                  <w:vMerge w:val="continue"/>
                  <w:vAlign w:val="center"/>
                </w:tcPr>
                <w:p w14:paraId="4F6367F2">
                  <w:pPr>
                    <w:jc w:val="center"/>
                    <w:rPr>
                      <w:color w:val="auto"/>
                      <w:szCs w:val="21"/>
                    </w:rPr>
                  </w:pPr>
                </w:p>
              </w:tc>
            </w:tr>
            <w:tr w14:paraId="0F55FA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7B4659E7">
                  <w:pPr>
                    <w:jc w:val="center"/>
                    <w:rPr>
                      <w:rFonts w:ascii="Times New Roman" w:hAnsi="Times New Roman" w:eastAsia="宋体" w:cs="Times New Roman"/>
                      <w:color w:val="auto"/>
                      <w:kern w:val="2"/>
                      <w:sz w:val="21"/>
                      <w:szCs w:val="21"/>
                      <w:lang w:val="en-US" w:eastAsia="zh-CN" w:bidi="ar-SA"/>
                    </w:rPr>
                  </w:pPr>
                  <w:r>
                    <w:rPr>
                      <w:color w:val="auto"/>
                      <w:szCs w:val="21"/>
                    </w:rPr>
                    <w:t>硫化物≤</w:t>
                  </w:r>
                </w:p>
              </w:tc>
              <w:tc>
                <w:tcPr>
                  <w:tcW w:w="1421" w:type="pct"/>
                  <w:shd w:val="clear" w:color="auto" w:fill="auto"/>
                  <w:vAlign w:val="center"/>
                </w:tcPr>
                <w:p w14:paraId="167A919C">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w:t>
                  </w:r>
                </w:p>
              </w:tc>
              <w:tc>
                <w:tcPr>
                  <w:tcW w:w="1422" w:type="pct"/>
                  <w:vMerge w:val="continue"/>
                  <w:vAlign w:val="center"/>
                </w:tcPr>
                <w:p w14:paraId="5A6F8B0E">
                  <w:pPr>
                    <w:jc w:val="center"/>
                    <w:rPr>
                      <w:color w:val="auto"/>
                      <w:szCs w:val="21"/>
                    </w:rPr>
                  </w:pPr>
                </w:p>
              </w:tc>
            </w:tr>
            <w:tr w14:paraId="5DEB66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68D426C6">
                  <w:pPr>
                    <w:jc w:val="center"/>
                    <w:rPr>
                      <w:rFonts w:ascii="Times New Roman" w:hAnsi="Times New Roman" w:eastAsia="宋体" w:cs="Times New Roman"/>
                      <w:color w:val="auto"/>
                      <w:kern w:val="2"/>
                      <w:sz w:val="21"/>
                      <w:szCs w:val="21"/>
                      <w:lang w:val="en-US" w:eastAsia="zh-CN" w:bidi="ar-SA"/>
                    </w:rPr>
                  </w:pPr>
                  <w:r>
                    <w:rPr>
                      <w:color w:val="auto"/>
                      <w:szCs w:val="21"/>
                    </w:rPr>
                    <w:t>阴离子表面活性剂≤</w:t>
                  </w:r>
                </w:p>
              </w:tc>
              <w:tc>
                <w:tcPr>
                  <w:tcW w:w="1421" w:type="pct"/>
                  <w:shd w:val="clear" w:color="auto" w:fill="auto"/>
                  <w:vAlign w:val="center"/>
                </w:tcPr>
                <w:p w14:paraId="1EBC4A71">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0.3</w:t>
                  </w:r>
                </w:p>
              </w:tc>
              <w:tc>
                <w:tcPr>
                  <w:tcW w:w="1422" w:type="pct"/>
                  <w:vMerge w:val="continue"/>
                  <w:vAlign w:val="center"/>
                </w:tcPr>
                <w:p w14:paraId="51DCE832">
                  <w:pPr>
                    <w:jc w:val="center"/>
                    <w:rPr>
                      <w:color w:val="auto"/>
                      <w:szCs w:val="21"/>
                    </w:rPr>
                  </w:pPr>
                </w:p>
              </w:tc>
            </w:tr>
            <w:tr w14:paraId="1E2BDF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shd w:val="clear" w:color="auto" w:fill="auto"/>
                  <w:vAlign w:val="center"/>
                </w:tcPr>
                <w:p w14:paraId="6080BB95">
                  <w:pPr>
                    <w:jc w:val="center"/>
                    <w:rPr>
                      <w:rFonts w:ascii="Times New Roman" w:hAnsi="Times New Roman" w:eastAsia="宋体" w:cs="Times New Roman"/>
                      <w:color w:val="auto"/>
                      <w:kern w:val="2"/>
                      <w:sz w:val="21"/>
                      <w:szCs w:val="21"/>
                      <w:lang w:val="en-US" w:eastAsia="zh-CN" w:bidi="ar-SA"/>
                    </w:rPr>
                  </w:pPr>
                  <w:r>
                    <w:rPr>
                      <w:color w:val="auto"/>
                      <w:szCs w:val="21"/>
                    </w:rPr>
                    <w:t>粪大肠菌群（个/L）≤</w:t>
                  </w:r>
                </w:p>
              </w:tc>
              <w:tc>
                <w:tcPr>
                  <w:tcW w:w="1421" w:type="pct"/>
                  <w:shd w:val="clear" w:color="auto" w:fill="auto"/>
                  <w:vAlign w:val="center"/>
                </w:tcPr>
                <w:p w14:paraId="11B04734">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20000</w:t>
                  </w:r>
                </w:p>
              </w:tc>
              <w:tc>
                <w:tcPr>
                  <w:tcW w:w="1422" w:type="pct"/>
                  <w:vMerge w:val="continue"/>
                  <w:vAlign w:val="center"/>
                </w:tcPr>
                <w:p w14:paraId="2A909427">
                  <w:pPr>
                    <w:jc w:val="center"/>
                    <w:rPr>
                      <w:color w:val="auto"/>
                      <w:szCs w:val="21"/>
                    </w:rPr>
                  </w:pPr>
                </w:p>
              </w:tc>
            </w:tr>
            <w:tr w14:paraId="72C34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59967044">
                  <w:pPr>
                    <w:jc w:val="center"/>
                    <w:rPr>
                      <w:color w:val="auto"/>
                      <w:szCs w:val="21"/>
                    </w:rPr>
                  </w:pPr>
                  <w:r>
                    <w:rPr>
                      <w:color w:val="auto"/>
                      <w:szCs w:val="21"/>
                    </w:rPr>
                    <w:t>pH值（无量纲）</w:t>
                  </w:r>
                </w:p>
              </w:tc>
              <w:tc>
                <w:tcPr>
                  <w:tcW w:w="1421" w:type="pct"/>
                  <w:vAlign w:val="center"/>
                </w:tcPr>
                <w:p w14:paraId="7B5DCC39">
                  <w:pPr>
                    <w:jc w:val="center"/>
                    <w:rPr>
                      <w:color w:val="auto"/>
                      <w:szCs w:val="21"/>
                    </w:rPr>
                  </w:pPr>
                  <w:r>
                    <w:rPr>
                      <w:color w:val="auto"/>
                      <w:szCs w:val="21"/>
                    </w:rPr>
                    <w:t>6-9</w:t>
                  </w:r>
                </w:p>
              </w:tc>
              <w:tc>
                <w:tcPr>
                  <w:tcW w:w="1422" w:type="pct"/>
                  <w:vMerge w:val="restart"/>
                  <w:vAlign w:val="center"/>
                </w:tcPr>
                <w:p w14:paraId="587099A5">
                  <w:pPr>
                    <w:jc w:val="center"/>
                    <w:rPr>
                      <w:color w:val="auto"/>
                      <w:szCs w:val="21"/>
                    </w:rPr>
                  </w:pPr>
                  <w:r>
                    <w:rPr>
                      <w:color w:val="auto"/>
                      <w:szCs w:val="21"/>
                    </w:rPr>
                    <w:t>地表水环境质量标准（GB3838-2002）V类标准</w:t>
                  </w:r>
                </w:p>
              </w:tc>
            </w:tr>
            <w:tr w14:paraId="6EB1D6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47AF27E9">
                  <w:pPr>
                    <w:jc w:val="center"/>
                    <w:rPr>
                      <w:color w:val="auto"/>
                      <w:szCs w:val="21"/>
                    </w:rPr>
                  </w:pPr>
                  <w:r>
                    <w:rPr>
                      <w:color w:val="auto"/>
                      <w:szCs w:val="21"/>
                    </w:rPr>
                    <w:t>溶解氧≥</w:t>
                  </w:r>
                </w:p>
              </w:tc>
              <w:tc>
                <w:tcPr>
                  <w:tcW w:w="1421" w:type="pct"/>
                  <w:vAlign w:val="center"/>
                </w:tcPr>
                <w:p w14:paraId="259AE632">
                  <w:pPr>
                    <w:jc w:val="center"/>
                    <w:rPr>
                      <w:color w:val="auto"/>
                      <w:szCs w:val="21"/>
                    </w:rPr>
                  </w:pPr>
                  <w:r>
                    <w:rPr>
                      <w:color w:val="auto"/>
                      <w:szCs w:val="21"/>
                    </w:rPr>
                    <w:t>2</w:t>
                  </w:r>
                </w:p>
              </w:tc>
              <w:tc>
                <w:tcPr>
                  <w:tcW w:w="1422" w:type="pct"/>
                  <w:vMerge w:val="continue"/>
                  <w:vAlign w:val="center"/>
                </w:tcPr>
                <w:p w14:paraId="427DC9C1">
                  <w:pPr>
                    <w:jc w:val="center"/>
                    <w:rPr>
                      <w:color w:val="auto"/>
                      <w:szCs w:val="21"/>
                    </w:rPr>
                  </w:pPr>
                </w:p>
              </w:tc>
            </w:tr>
            <w:tr w14:paraId="57E818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3789EFE1">
                  <w:pPr>
                    <w:jc w:val="center"/>
                    <w:rPr>
                      <w:color w:val="auto"/>
                      <w:szCs w:val="21"/>
                    </w:rPr>
                  </w:pPr>
                  <w:r>
                    <w:rPr>
                      <w:color w:val="auto"/>
                      <w:szCs w:val="21"/>
                    </w:rPr>
                    <w:t>高锰酸盐指数≤</w:t>
                  </w:r>
                </w:p>
              </w:tc>
              <w:tc>
                <w:tcPr>
                  <w:tcW w:w="1421" w:type="pct"/>
                  <w:vAlign w:val="center"/>
                </w:tcPr>
                <w:p w14:paraId="41C4652D">
                  <w:pPr>
                    <w:jc w:val="center"/>
                    <w:rPr>
                      <w:color w:val="auto"/>
                      <w:szCs w:val="21"/>
                    </w:rPr>
                  </w:pPr>
                  <w:r>
                    <w:rPr>
                      <w:color w:val="auto"/>
                      <w:szCs w:val="21"/>
                    </w:rPr>
                    <w:t>15</w:t>
                  </w:r>
                </w:p>
              </w:tc>
              <w:tc>
                <w:tcPr>
                  <w:tcW w:w="1422" w:type="pct"/>
                  <w:vMerge w:val="continue"/>
                  <w:vAlign w:val="center"/>
                </w:tcPr>
                <w:p w14:paraId="266A5268">
                  <w:pPr>
                    <w:jc w:val="center"/>
                    <w:rPr>
                      <w:color w:val="auto"/>
                      <w:szCs w:val="21"/>
                    </w:rPr>
                  </w:pPr>
                </w:p>
              </w:tc>
            </w:tr>
            <w:tr w14:paraId="3345FB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7DF5541C">
                  <w:pPr>
                    <w:jc w:val="center"/>
                    <w:rPr>
                      <w:color w:val="auto"/>
                      <w:szCs w:val="21"/>
                    </w:rPr>
                  </w:pPr>
                  <w:r>
                    <w:rPr>
                      <w:color w:val="auto"/>
                      <w:szCs w:val="21"/>
                    </w:rPr>
                    <w:t>化学需氧量≤</w:t>
                  </w:r>
                </w:p>
              </w:tc>
              <w:tc>
                <w:tcPr>
                  <w:tcW w:w="1421" w:type="pct"/>
                  <w:vAlign w:val="center"/>
                </w:tcPr>
                <w:p w14:paraId="47A8B27A">
                  <w:pPr>
                    <w:jc w:val="center"/>
                    <w:rPr>
                      <w:color w:val="auto"/>
                      <w:szCs w:val="21"/>
                    </w:rPr>
                  </w:pPr>
                  <w:r>
                    <w:rPr>
                      <w:color w:val="auto"/>
                      <w:szCs w:val="21"/>
                    </w:rPr>
                    <w:t>40</w:t>
                  </w:r>
                </w:p>
              </w:tc>
              <w:tc>
                <w:tcPr>
                  <w:tcW w:w="1422" w:type="pct"/>
                  <w:vMerge w:val="continue"/>
                  <w:vAlign w:val="center"/>
                </w:tcPr>
                <w:p w14:paraId="2DD3D959">
                  <w:pPr>
                    <w:jc w:val="center"/>
                    <w:rPr>
                      <w:color w:val="auto"/>
                      <w:szCs w:val="21"/>
                    </w:rPr>
                  </w:pPr>
                </w:p>
              </w:tc>
            </w:tr>
            <w:tr w14:paraId="478A12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1ED9EAD3">
                  <w:pPr>
                    <w:jc w:val="center"/>
                    <w:rPr>
                      <w:color w:val="auto"/>
                      <w:szCs w:val="21"/>
                    </w:rPr>
                  </w:pPr>
                  <w:r>
                    <w:rPr>
                      <w:color w:val="auto"/>
                      <w:szCs w:val="21"/>
                    </w:rPr>
                    <w:t>五日生化需氧量≤</w:t>
                  </w:r>
                </w:p>
              </w:tc>
              <w:tc>
                <w:tcPr>
                  <w:tcW w:w="1421" w:type="pct"/>
                  <w:vAlign w:val="center"/>
                </w:tcPr>
                <w:p w14:paraId="29126417">
                  <w:pPr>
                    <w:jc w:val="center"/>
                    <w:rPr>
                      <w:color w:val="auto"/>
                      <w:szCs w:val="21"/>
                    </w:rPr>
                  </w:pPr>
                  <w:r>
                    <w:rPr>
                      <w:color w:val="auto"/>
                      <w:szCs w:val="21"/>
                    </w:rPr>
                    <w:t>10</w:t>
                  </w:r>
                </w:p>
              </w:tc>
              <w:tc>
                <w:tcPr>
                  <w:tcW w:w="1422" w:type="pct"/>
                  <w:vMerge w:val="continue"/>
                  <w:vAlign w:val="center"/>
                </w:tcPr>
                <w:p w14:paraId="41968C1D">
                  <w:pPr>
                    <w:jc w:val="center"/>
                    <w:rPr>
                      <w:color w:val="auto"/>
                      <w:szCs w:val="21"/>
                    </w:rPr>
                  </w:pPr>
                </w:p>
              </w:tc>
            </w:tr>
            <w:tr w14:paraId="7C60F0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16F46370">
                  <w:pPr>
                    <w:jc w:val="center"/>
                    <w:rPr>
                      <w:color w:val="auto"/>
                      <w:szCs w:val="21"/>
                    </w:rPr>
                  </w:pPr>
                  <w:r>
                    <w:rPr>
                      <w:color w:val="auto"/>
                      <w:szCs w:val="21"/>
                    </w:rPr>
                    <w:t>氨氮≤</w:t>
                  </w:r>
                </w:p>
              </w:tc>
              <w:tc>
                <w:tcPr>
                  <w:tcW w:w="1421" w:type="pct"/>
                  <w:vAlign w:val="center"/>
                </w:tcPr>
                <w:p w14:paraId="3897763C">
                  <w:pPr>
                    <w:jc w:val="center"/>
                    <w:rPr>
                      <w:color w:val="auto"/>
                      <w:szCs w:val="21"/>
                    </w:rPr>
                  </w:pPr>
                  <w:r>
                    <w:rPr>
                      <w:color w:val="auto"/>
                      <w:szCs w:val="21"/>
                    </w:rPr>
                    <w:t>2.0</w:t>
                  </w:r>
                </w:p>
              </w:tc>
              <w:tc>
                <w:tcPr>
                  <w:tcW w:w="1422" w:type="pct"/>
                  <w:vMerge w:val="continue"/>
                  <w:vAlign w:val="center"/>
                </w:tcPr>
                <w:p w14:paraId="259FBEA1">
                  <w:pPr>
                    <w:jc w:val="center"/>
                    <w:rPr>
                      <w:color w:val="auto"/>
                      <w:szCs w:val="21"/>
                    </w:rPr>
                  </w:pPr>
                </w:p>
              </w:tc>
            </w:tr>
            <w:tr w14:paraId="319A9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2DF223BC">
                  <w:pPr>
                    <w:jc w:val="center"/>
                    <w:rPr>
                      <w:color w:val="auto"/>
                      <w:szCs w:val="21"/>
                    </w:rPr>
                  </w:pPr>
                  <w:r>
                    <w:rPr>
                      <w:color w:val="auto"/>
                      <w:szCs w:val="21"/>
                    </w:rPr>
                    <w:t>总磷≤</w:t>
                  </w:r>
                </w:p>
              </w:tc>
              <w:tc>
                <w:tcPr>
                  <w:tcW w:w="1421" w:type="pct"/>
                  <w:vAlign w:val="center"/>
                </w:tcPr>
                <w:p w14:paraId="3D51B831">
                  <w:pPr>
                    <w:jc w:val="center"/>
                    <w:rPr>
                      <w:color w:val="auto"/>
                      <w:szCs w:val="21"/>
                    </w:rPr>
                  </w:pPr>
                  <w:r>
                    <w:rPr>
                      <w:color w:val="auto"/>
                      <w:szCs w:val="21"/>
                    </w:rPr>
                    <w:t>0.4</w:t>
                  </w:r>
                </w:p>
              </w:tc>
              <w:tc>
                <w:tcPr>
                  <w:tcW w:w="1422" w:type="pct"/>
                  <w:vMerge w:val="continue"/>
                  <w:vAlign w:val="center"/>
                </w:tcPr>
                <w:p w14:paraId="031401ED">
                  <w:pPr>
                    <w:jc w:val="center"/>
                    <w:rPr>
                      <w:color w:val="auto"/>
                      <w:szCs w:val="21"/>
                    </w:rPr>
                  </w:pPr>
                </w:p>
              </w:tc>
            </w:tr>
            <w:tr w14:paraId="3CC162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12B597E8">
                  <w:pPr>
                    <w:jc w:val="center"/>
                    <w:rPr>
                      <w:color w:val="auto"/>
                      <w:szCs w:val="21"/>
                    </w:rPr>
                  </w:pPr>
                  <w:r>
                    <w:rPr>
                      <w:color w:val="auto"/>
                      <w:szCs w:val="21"/>
                    </w:rPr>
                    <w:t>总氮≤</w:t>
                  </w:r>
                </w:p>
              </w:tc>
              <w:tc>
                <w:tcPr>
                  <w:tcW w:w="1421" w:type="pct"/>
                  <w:vAlign w:val="center"/>
                </w:tcPr>
                <w:p w14:paraId="5B915DEC">
                  <w:pPr>
                    <w:jc w:val="center"/>
                    <w:rPr>
                      <w:color w:val="auto"/>
                      <w:szCs w:val="21"/>
                    </w:rPr>
                  </w:pPr>
                  <w:r>
                    <w:rPr>
                      <w:color w:val="auto"/>
                      <w:szCs w:val="21"/>
                    </w:rPr>
                    <w:t>2.0</w:t>
                  </w:r>
                </w:p>
              </w:tc>
              <w:tc>
                <w:tcPr>
                  <w:tcW w:w="1422" w:type="pct"/>
                  <w:vMerge w:val="continue"/>
                  <w:vAlign w:val="center"/>
                </w:tcPr>
                <w:p w14:paraId="72CCFAE0">
                  <w:pPr>
                    <w:jc w:val="center"/>
                    <w:rPr>
                      <w:color w:val="auto"/>
                      <w:szCs w:val="21"/>
                    </w:rPr>
                  </w:pPr>
                </w:p>
              </w:tc>
            </w:tr>
            <w:tr w14:paraId="70B83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61FC17C0">
                  <w:pPr>
                    <w:jc w:val="center"/>
                    <w:rPr>
                      <w:color w:val="auto"/>
                      <w:szCs w:val="21"/>
                    </w:rPr>
                  </w:pPr>
                  <w:r>
                    <w:rPr>
                      <w:color w:val="auto"/>
                      <w:szCs w:val="21"/>
                    </w:rPr>
                    <w:t>铜≤</w:t>
                  </w:r>
                </w:p>
              </w:tc>
              <w:tc>
                <w:tcPr>
                  <w:tcW w:w="1421" w:type="pct"/>
                  <w:vAlign w:val="center"/>
                </w:tcPr>
                <w:p w14:paraId="1F2806CE">
                  <w:pPr>
                    <w:jc w:val="center"/>
                    <w:rPr>
                      <w:color w:val="auto"/>
                      <w:szCs w:val="21"/>
                    </w:rPr>
                  </w:pPr>
                  <w:r>
                    <w:rPr>
                      <w:color w:val="auto"/>
                      <w:szCs w:val="21"/>
                    </w:rPr>
                    <w:t>1.0</w:t>
                  </w:r>
                </w:p>
              </w:tc>
              <w:tc>
                <w:tcPr>
                  <w:tcW w:w="1422" w:type="pct"/>
                  <w:vMerge w:val="continue"/>
                  <w:vAlign w:val="center"/>
                </w:tcPr>
                <w:p w14:paraId="5D99CF72">
                  <w:pPr>
                    <w:jc w:val="center"/>
                    <w:rPr>
                      <w:color w:val="auto"/>
                      <w:szCs w:val="21"/>
                    </w:rPr>
                  </w:pPr>
                </w:p>
              </w:tc>
            </w:tr>
            <w:tr w14:paraId="0344F4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65C72999">
                  <w:pPr>
                    <w:jc w:val="center"/>
                    <w:rPr>
                      <w:color w:val="auto"/>
                      <w:szCs w:val="21"/>
                    </w:rPr>
                  </w:pPr>
                  <w:r>
                    <w:rPr>
                      <w:color w:val="auto"/>
                      <w:szCs w:val="21"/>
                    </w:rPr>
                    <w:t>锌≤</w:t>
                  </w:r>
                </w:p>
              </w:tc>
              <w:tc>
                <w:tcPr>
                  <w:tcW w:w="1421" w:type="pct"/>
                  <w:vAlign w:val="center"/>
                </w:tcPr>
                <w:p w14:paraId="2493C633">
                  <w:pPr>
                    <w:jc w:val="center"/>
                    <w:rPr>
                      <w:color w:val="auto"/>
                      <w:szCs w:val="21"/>
                    </w:rPr>
                  </w:pPr>
                  <w:r>
                    <w:rPr>
                      <w:color w:val="auto"/>
                      <w:szCs w:val="21"/>
                    </w:rPr>
                    <w:t>2.0</w:t>
                  </w:r>
                </w:p>
              </w:tc>
              <w:tc>
                <w:tcPr>
                  <w:tcW w:w="1422" w:type="pct"/>
                  <w:vMerge w:val="continue"/>
                  <w:vAlign w:val="center"/>
                </w:tcPr>
                <w:p w14:paraId="5427506B">
                  <w:pPr>
                    <w:jc w:val="center"/>
                    <w:rPr>
                      <w:color w:val="auto"/>
                      <w:szCs w:val="21"/>
                    </w:rPr>
                  </w:pPr>
                </w:p>
              </w:tc>
            </w:tr>
            <w:tr w14:paraId="45C6F0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0753BF77">
                  <w:pPr>
                    <w:jc w:val="center"/>
                    <w:rPr>
                      <w:color w:val="auto"/>
                      <w:szCs w:val="21"/>
                    </w:rPr>
                  </w:pPr>
                  <w:r>
                    <w:rPr>
                      <w:color w:val="auto"/>
                      <w:szCs w:val="21"/>
                    </w:rPr>
                    <w:t>氟化物≤</w:t>
                  </w:r>
                </w:p>
              </w:tc>
              <w:tc>
                <w:tcPr>
                  <w:tcW w:w="1421" w:type="pct"/>
                  <w:vAlign w:val="center"/>
                </w:tcPr>
                <w:p w14:paraId="32E4EDCF">
                  <w:pPr>
                    <w:jc w:val="center"/>
                    <w:rPr>
                      <w:color w:val="auto"/>
                      <w:szCs w:val="21"/>
                    </w:rPr>
                  </w:pPr>
                  <w:r>
                    <w:rPr>
                      <w:color w:val="auto"/>
                      <w:szCs w:val="21"/>
                    </w:rPr>
                    <w:t>1.5</w:t>
                  </w:r>
                </w:p>
              </w:tc>
              <w:tc>
                <w:tcPr>
                  <w:tcW w:w="1422" w:type="pct"/>
                  <w:vMerge w:val="continue"/>
                  <w:vAlign w:val="center"/>
                </w:tcPr>
                <w:p w14:paraId="1383E3CD">
                  <w:pPr>
                    <w:jc w:val="center"/>
                    <w:rPr>
                      <w:color w:val="auto"/>
                      <w:szCs w:val="21"/>
                    </w:rPr>
                  </w:pPr>
                </w:p>
              </w:tc>
            </w:tr>
            <w:tr w14:paraId="1E4B3A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7BFB8EFE">
                  <w:pPr>
                    <w:jc w:val="center"/>
                    <w:rPr>
                      <w:color w:val="auto"/>
                      <w:szCs w:val="21"/>
                    </w:rPr>
                  </w:pPr>
                  <w:r>
                    <w:rPr>
                      <w:color w:val="auto"/>
                      <w:szCs w:val="21"/>
                    </w:rPr>
                    <w:t>砷≤</w:t>
                  </w:r>
                </w:p>
              </w:tc>
              <w:tc>
                <w:tcPr>
                  <w:tcW w:w="1421" w:type="pct"/>
                  <w:vAlign w:val="center"/>
                </w:tcPr>
                <w:p w14:paraId="7CA99038">
                  <w:pPr>
                    <w:jc w:val="center"/>
                    <w:rPr>
                      <w:color w:val="auto"/>
                      <w:szCs w:val="21"/>
                    </w:rPr>
                  </w:pPr>
                  <w:r>
                    <w:rPr>
                      <w:color w:val="auto"/>
                      <w:szCs w:val="21"/>
                    </w:rPr>
                    <w:t>0.1</w:t>
                  </w:r>
                </w:p>
              </w:tc>
              <w:tc>
                <w:tcPr>
                  <w:tcW w:w="1422" w:type="pct"/>
                  <w:vMerge w:val="continue"/>
                  <w:vAlign w:val="center"/>
                </w:tcPr>
                <w:p w14:paraId="100EAE8E">
                  <w:pPr>
                    <w:jc w:val="center"/>
                    <w:rPr>
                      <w:color w:val="auto"/>
                      <w:szCs w:val="21"/>
                    </w:rPr>
                  </w:pPr>
                </w:p>
              </w:tc>
            </w:tr>
            <w:tr w14:paraId="3163D9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4721736A">
                  <w:pPr>
                    <w:jc w:val="center"/>
                    <w:rPr>
                      <w:color w:val="auto"/>
                      <w:szCs w:val="21"/>
                    </w:rPr>
                  </w:pPr>
                  <w:r>
                    <w:rPr>
                      <w:color w:val="auto"/>
                      <w:szCs w:val="21"/>
                    </w:rPr>
                    <w:t>硒≤</w:t>
                  </w:r>
                </w:p>
              </w:tc>
              <w:tc>
                <w:tcPr>
                  <w:tcW w:w="1421" w:type="pct"/>
                  <w:vAlign w:val="center"/>
                </w:tcPr>
                <w:p w14:paraId="69557C00">
                  <w:pPr>
                    <w:jc w:val="center"/>
                    <w:rPr>
                      <w:color w:val="auto"/>
                      <w:szCs w:val="21"/>
                    </w:rPr>
                  </w:pPr>
                  <w:r>
                    <w:rPr>
                      <w:color w:val="auto"/>
                      <w:szCs w:val="21"/>
                    </w:rPr>
                    <w:t>0.02</w:t>
                  </w:r>
                </w:p>
              </w:tc>
              <w:tc>
                <w:tcPr>
                  <w:tcW w:w="1422" w:type="pct"/>
                  <w:vMerge w:val="continue"/>
                  <w:vAlign w:val="center"/>
                </w:tcPr>
                <w:p w14:paraId="0F830BAE">
                  <w:pPr>
                    <w:jc w:val="center"/>
                    <w:rPr>
                      <w:color w:val="auto"/>
                      <w:szCs w:val="21"/>
                    </w:rPr>
                  </w:pPr>
                </w:p>
              </w:tc>
            </w:tr>
            <w:tr w14:paraId="7B309C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5E9AA077">
                  <w:pPr>
                    <w:jc w:val="center"/>
                    <w:rPr>
                      <w:color w:val="auto"/>
                      <w:szCs w:val="21"/>
                    </w:rPr>
                  </w:pPr>
                  <w:r>
                    <w:rPr>
                      <w:color w:val="auto"/>
                      <w:szCs w:val="21"/>
                    </w:rPr>
                    <w:t>汞≤</w:t>
                  </w:r>
                </w:p>
              </w:tc>
              <w:tc>
                <w:tcPr>
                  <w:tcW w:w="1421" w:type="pct"/>
                  <w:vAlign w:val="center"/>
                </w:tcPr>
                <w:p w14:paraId="6D0AE732">
                  <w:pPr>
                    <w:jc w:val="center"/>
                    <w:rPr>
                      <w:color w:val="auto"/>
                      <w:szCs w:val="21"/>
                    </w:rPr>
                  </w:pPr>
                  <w:r>
                    <w:rPr>
                      <w:color w:val="auto"/>
                      <w:szCs w:val="21"/>
                    </w:rPr>
                    <w:t>0.001</w:t>
                  </w:r>
                </w:p>
              </w:tc>
              <w:tc>
                <w:tcPr>
                  <w:tcW w:w="1422" w:type="pct"/>
                  <w:vMerge w:val="continue"/>
                  <w:vAlign w:val="center"/>
                </w:tcPr>
                <w:p w14:paraId="56544D91">
                  <w:pPr>
                    <w:jc w:val="center"/>
                    <w:rPr>
                      <w:color w:val="auto"/>
                      <w:szCs w:val="21"/>
                    </w:rPr>
                  </w:pPr>
                </w:p>
              </w:tc>
            </w:tr>
            <w:tr w14:paraId="332066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12FC383F">
                  <w:pPr>
                    <w:jc w:val="center"/>
                    <w:rPr>
                      <w:color w:val="auto"/>
                      <w:szCs w:val="21"/>
                    </w:rPr>
                  </w:pPr>
                  <w:r>
                    <w:rPr>
                      <w:color w:val="auto"/>
                      <w:szCs w:val="21"/>
                    </w:rPr>
                    <w:t>镉≤</w:t>
                  </w:r>
                </w:p>
              </w:tc>
              <w:tc>
                <w:tcPr>
                  <w:tcW w:w="1421" w:type="pct"/>
                  <w:vAlign w:val="center"/>
                </w:tcPr>
                <w:p w14:paraId="71067F5B">
                  <w:pPr>
                    <w:jc w:val="center"/>
                    <w:rPr>
                      <w:color w:val="auto"/>
                      <w:szCs w:val="21"/>
                    </w:rPr>
                  </w:pPr>
                  <w:r>
                    <w:rPr>
                      <w:color w:val="auto"/>
                      <w:szCs w:val="21"/>
                    </w:rPr>
                    <w:t>0.01</w:t>
                  </w:r>
                </w:p>
              </w:tc>
              <w:tc>
                <w:tcPr>
                  <w:tcW w:w="1422" w:type="pct"/>
                  <w:vMerge w:val="continue"/>
                  <w:vAlign w:val="center"/>
                </w:tcPr>
                <w:p w14:paraId="2150C849">
                  <w:pPr>
                    <w:jc w:val="center"/>
                    <w:rPr>
                      <w:color w:val="auto"/>
                      <w:szCs w:val="21"/>
                    </w:rPr>
                  </w:pPr>
                </w:p>
              </w:tc>
            </w:tr>
            <w:tr w14:paraId="7B5452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7D0F9944">
                  <w:pPr>
                    <w:jc w:val="center"/>
                    <w:rPr>
                      <w:color w:val="auto"/>
                      <w:szCs w:val="21"/>
                    </w:rPr>
                  </w:pPr>
                  <w:r>
                    <w:rPr>
                      <w:color w:val="auto"/>
                      <w:szCs w:val="21"/>
                    </w:rPr>
                    <w:t>六价铬≤</w:t>
                  </w:r>
                </w:p>
              </w:tc>
              <w:tc>
                <w:tcPr>
                  <w:tcW w:w="1421" w:type="pct"/>
                  <w:vAlign w:val="center"/>
                </w:tcPr>
                <w:p w14:paraId="5A77BC2A">
                  <w:pPr>
                    <w:jc w:val="center"/>
                    <w:rPr>
                      <w:color w:val="auto"/>
                      <w:szCs w:val="21"/>
                    </w:rPr>
                  </w:pPr>
                  <w:r>
                    <w:rPr>
                      <w:color w:val="auto"/>
                      <w:szCs w:val="21"/>
                    </w:rPr>
                    <w:t>0.1</w:t>
                  </w:r>
                </w:p>
              </w:tc>
              <w:tc>
                <w:tcPr>
                  <w:tcW w:w="1422" w:type="pct"/>
                  <w:vMerge w:val="continue"/>
                  <w:vAlign w:val="center"/>
                </w:tcPr>
                <w:p w14:paraId="3E7A77D7">
                  <w:pPr>
                    <w:jc w:val="center"/>
                    <w:rPr>
                      <w:color w:val="auto"/>
                      <w:szCs w:val="21"/>
                    </w:rPr>
                  </w:pPr>
                </w:p>
              </w:tc>
            </w:tr>
            <w:tr w14:paraId="39FFD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6CDF08A9">
                  <w:pPr>
                    <w:jc w:val="center"/>
                    <w:rPr>
                      <w:color w:val="auto"/>
                      <w:szCs w:val="21"/>
                    </w:rPr>
                  </w:pPr>
                  <w:r>
                    <w:rPr>
                      <w:color w:val="auto"/>
                      <w:szCs w:val="21"/>
                    </w:rPr>
                    <w:t>铅≤</w:t>
                  </w:r>
                </w:p>
              </w:tc>
              <w:tc>
                <w:tcPr>
                  <w:tcW w:w="1421" w:type="pct"/>
                  <w:vAlign w:val="center"/>
                </w:tcPr>
                <w:p w14:paraId="435C2B6A">
                  <w:pPr>
                    <w:jc w:val="center"/>
                    <w:rPr>
                      <w:color w:val="auto"/>
                      <w:szCs w:val="21"/>
                    </w:rPr>
                  </w:pPr>
                  <w:r>
                    <w:rPr>
                      <w:color w:val="auto"/>
                      <w:szCs w:val="21"/>
                    </w:rPr>
                    <w:t>0.1</w:t>
                  </w:r>
                </w:p>
              </w:tc>
              <w:tc>
                <w:tcPr>
                  <w:tcW w:w="1422" w:type="pct"/>
                  <w:vMerge w:val="continue"/>
                  <w:vAlign w:val="center"/>
                </w:tcPr>
                <w:p w14:paraId="41FA4A43">
                  <w:pPr>
                    <w:jc w:val="center"/>
                    <w:rPr>
                      <w:color w:val="auto"/>
                      <w:szCs w:val="21"/>
                    </w:rPr>
                  </w:pPr>
                </w:p>
              </w:tc>
            </w:tr>
            <w:tr w14:paraId="01A24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2687ABAF">
                  <w:pPr>
                    <w:jc w:val="center"/>
                    <w:rPr>
                      <w:color w:val="auto"/>
                      <w:szCs w:val="21"/>
                    </w:rPr>
                  </w:pPr>
                  <w:r>
                    <w:rPr>
                      <w:color w:val="auto"/>
                      <w:szCs w:val="21"/>
                    </w:rPr>
                    <w:t>氰化物≤</w:t>
                  </w:r>
                </w:p>
              </w:tc>
              <w:tc>
                <w:tcPr>
                  <w:tcW w:w="1421" w:type="pct"/>
                  <w:vAlign w:val="center"/>
                </w:tcPr>
                <w:p w14:paraId="3DD21E1C">
                  <w:pPr>
                    <w:jc w:val="center"/>
                    <w:rPr>
                      <w:color w:val="auto"/>
                      <w:szCs w:val="21"/>
                    </w:rPr>
                  </w:pPr>
                  <w:r>
                    <w:rPr>
                      <w:color w:val="auto"/>
                      <w:szCs w:val="21"/>
                    </w:rPr>
                    <w:t>0.2</w:t>
                  </w:r>
                </w:p>
              </w:tc>
              <w:tc>
                <w:tcPr>
                  <w:tcW w:w="1422" w:type="pct"/>
                  <w:vMerge w:val="continue"/>
                  <w:vAlign w:val="center"/>
                </w:tcPr>
                <w:p w14:paraId="40D9E13A">
                  <w:pPr>
                    <w:jc w:val="center"/>
                    <w:rPr>
                      <w:color w:val="auto"/>
                      <w:szCs w:val="21"/>
                    </w:rPr>
                  </w:pPr>
                </w:p>
              </w:tc>
            </w:tr>
            <w:tr w14:paraId="5E2276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4A4020B8">
                  <w:pPr>
                    <w:jc w:val="center"/>
                    <w:rPr>
                      <w:color w:val="auto"/>
                      <w:szCs w:val="21"/>
                    </w:rPr>
                  </w:pPr>
                  <w:r>
                    <w:rPr>
                      <w:color w:val="auto"/>
                      <w:szCs w:val="21"/>
                    </w:rPr>
                    <w:t>挥发酚≤</w:t>
                  </w:r>
                </w:p>
              </w:tc>
              <w:tc>
                <w:tcPr>
                  <w:tcW w:w="1421" w:type="pct"/>
                  <w:vAlign w:val="center"/>
                </w:tcPr>
                <w:p w14:paraId="1934203E">
                  <w:pPr>
                    <w:jc w:val="center"/>
                    <w:rPr>
                      <w:color w:val="auto"/>
                      <w:szCs w:val="21"/>
                    </w:rPr>
                  </w:pPr>
                  <w:r>
                    <w:rPr>
                      <w:color w:val="auto"/>
                      <w:szCs w:val="21"/>
                    </w:rPr>
                    <w:t>0.1</w:t>
                  </w:r>
                </w:p>
              </w:tc>
              <w:tc>
                <w:tcPr>
                  <w:tcW w:w="1422" w:type="pct"/>
                  <w:vMerge w:val="continue"/>
                  <w:vAlign w:val="center"/>
                </w:tcPr>
                <w:p w14:paraId="7FC5B0F4">
                  <w:pPr>
                    <w:jc w:val="center"/>
                    <w:rPr>
                      <w:color w:val="auto"/>
                      <w:szCs w:val="21"/>
                    </w:rPr>
                  </w:pPr>
                </w:p>
              </w:tc>
            </w:tr>
            <w:tr w14:paraId="3BB96A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6B3A4149">
                  <w:pPr>
                    <w:jc w:val="center"/>
                    <w:rPr>
                      <w:color w:val="auto"/>
                      <w:szCs w:val="21"/>
                    </w:rPr>
                  </w:pPr>
                  <w:r>
                    <w:rPr>
                      <w:color w:val="auto"/>
                      <w:szCs w:val="21"/>
                    </w:rPr>
                    <w:t>石油类≤</w:t>
                  </w:r>
                </w:p>
              </w:tc>
              <w:tc>
                <w:tcPr>
                  <w:tcW w:w="1421" w:type="pct"/>
                  <w:vAlign w:val="center"/>
                </w:tcPr>
                <w:p w14:paraId="34E774C6">
                  <w:pPr>
                    <w:jc w:val="center"/>
                    <w:rPr>
                      <w:color w:val="auto"/>
                      <w:szCs w:val="21"/>
                    </w:rPr>
                  </w:pPr>
                  <w:r>
                    <w:rPr>
                      <w:color w:val="auto"/>
                      <w:szCs w:val="21"/>
                    </w:rPr>
                    <w:t>1.0</w:t>
                  </w:r>
                </w:p>
              </w:tc>
              <w:tc>
                <w:tcPr>
                  <w:tcW w:w="1422" w:type="pct"/>
                  <w:vMerge w:val="continue"/>
                  <w:vAlign w:val="center"/>
                </w:tcPr>
                <w:p w14:paraId="2E778F18">
                  <w:pPr>
                    <w:jc w:val="center"/>
                    <w:rPr>
                      <w:color w:val="auto"/>
                      <w:szCs w:val="21"/>
                    </w:rPr>
                  </w:pPr>
                </w:p>
              </w:tc>
            </w:tr>
            <w:tr w14:paraId="7D81C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532F0879">
                  <w:pPr>
                    <w:jc w:val="center"/>
                    <w:rPr>
                      <w:color w:val="auto"/>
                      <w:szCs w:val="21"/>
                    </w:rPr>
                  </w:pPr>
                  <w:r>
                    <w:rPr>
                      <w:color w:val="auto"/>
                      <w:szCs w:val="21"/>
                    </w:rPr>
                    <w:t>硫化物≤</w:t>
                  </w:r>
                </w:p>
              </w:tc>
              <w:tc>
                <w:tcPr>
                  <w:tcW w:w="1421" w:type="pct"/>
                  <w:vAlign w:val="center"/>
                </w:tcPr>
                <w:p w14:paraId="4E64EC43">
                  <w:pPr>
                    <w:jc w:val="center"/>
                    <w:rPr>
                      <w:color w:val="auto"/>
                      <w:szCs w:val="21"/>
                    </w:rPr>
                  </w:pPr>
                  <w:r>
                    <w:rPr>
                      <w:color w:val="auto"/>
                      <w:szCs w:val="21"/>
                    </w:rPr>
                    <w:t>1.0</w:t>
                  </w:r>
                </w:p>
              </w:tc>
              <w:tc>
                <w:tcPr>
                  <w:tcW w:w="1422" w:type="pct"/>
                  <w:vMerge w:val="continue"/>
                  <w:vAlign w:val="center"/>
                </w:tcPr>
                <w:p w14:paraId="10C8AC2C">
                  <w:pPr>
                    <w:jc w:val="center"/>
                    <w:rPr>
                      <w:color w:val="auto"/>
                      <w:szCs w:val="21"/>
                    </w:rPr>
                  </w:pPr>
                </w:p>
              </w:tc>
            </w:tr>
            <w:tr w14:paraId="783122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75F0757F">
                  <w:pPr>
                    <w:jc w:val="center"/>
                    <w:rPr>
                      <w:color w:val="auto"/>
                      <w:szCs w:val="21"/>
                    </w:rPr>
                  </w:pPr>
                  <w:r>
                    <w:rPr>
                      <w:color w:val="auto"/>
                      <w:szCs w:val="21"/>
                    </w:rPr>
                    <w:t>阴离子表面活性剂≤</w:t>
                  </w:r>
                </w:p>
              </w:tc>
              <w:tc>
                <w:tcPr>
                  <w:tcW w:w="1421" w:type="pct"/>
                  <w:vAlign w:val="center"/>
                </w:tcPr>
                <w:p w14:paraId="24D86D05">
                  <w:pPr>
                    <w:jc w:val="center"/>
                    <w:rPr>
                      <w:color w:val="auto"/>
                      <w:szCs w:val="21"/>
                    </w:rPr>
                  </w:pPr>
                  <w:r>
                    <w:rPr>
                      <w:color w:val="auto"/>
                      <w:szCs w:val="21"/>
                    </w:rPr>
                    <w:t>0.3</w:t>
                  </w:r>
                </w:p>
              </w:tc>
              <w:tc>
                <w:tcPr>
                  <w:tcW w:w="1422" w:type="pct"/>
                  <w:vMerge w:val="continue"/>
                  <w:vAlign w:val="center"/>
                </w:tcPr>
                <w:p w14:paraId="1DDB113D">
                  <w:pPr>
                    <w:jc w:val="center"/>
                    <w:rPr>
                      <w:color w:val="auto"/>
                      <w:szCs w:val="21"/>
                    </w:rPr>
                  </w:pPr>
                </w:p>
              </w:tc>
            </w:tr>
            <w:tr w14:paraId="5CCB1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155" w:type="pct"/>
                  <w:vAlign w:val="center"/>
                </w:tcPr>
                <w:p w14:paraId="1000DF8C">
                  <w:pPr>
                    <w:jc w:val="center"/>
                    <w:rPr>
                      <w:color w:val="auto"/>
                      <w:szCs w:val="21"/>
                    </w:rPr>
                  </w:pPr>
                  <w:r>
                    <w:rPr>
                      <w:color w:val="auto"/>
                      <w:szCs w:val="21"/>
                    </w:rPr>
                    <w:t>粪大肠菌群（个/L）≤</w:t>
                  </w:r>
                </w:p>
              </w:tc>
              <w:tc>
                <w:tcPr>
                  <w:tcW w:w="1421" w:type="pct"/>
                  <w:vAlign w:val="center"/>
                </w:tcPr>
                <w:p w14:paraId="0C8CBE87">
                  <w:pPr>
                    <w:jc w:val="center"/>
                    <w:rPr>
                      <w:color w:val="auto"/>
                      <w:szCs w:val="21"/>
                    </w:rPr>
                  </w:pPr>
                  <w:r>
                    <w:rPr>
                      <w:color w:val="auto"/>
                      <w:szCs w:val="21"/>
                    </w:rPr>
                    <w:t>40000</w:t>
                  </w:r>
                </w:p>
              </w:tc>
              <w:tc>
                <w:tcPr>
                  <w:tcW w:w="1422" w:type="pct"/>
                  <w:vMerge w:val="continue"/>
                  <w:vAlign w:val="center"/>
                </w:tcPr>
                <w:p w14:paraId="0E75EB28">
                  <w:pPr>
                    <w:jc w:val="center"/>
                    <w:rPr>
                      <w:color w:val="auto"/>
                      <w:szCs w:val="21"/>
                    </w:rPr>
                  </w:pPr>
                </w:p>
              </w:tc>
            </w:tr>
          </w:tbl>
          <w:p w14:paraId="75D105F7">
            <w:pPr>
              <w:widowControl/>
              <w:spacing w:before="120" w:beforeLines="50" w:line="360" w:lineRule="auto"/>
              <w:ind w:firstLine="480" w:firstLineChars="200"/>
              <w:rPr>
                <w:color w:val="auto"/>
                <w:kern w:val="0"/>
                <w:sz w:val="24"/>
                <w:lang w:bidi="ar"/>
              </w:rPr>
            </w:pPr>
            <w:r>
              <w:rPr>
                <w:color w:val="auto"/>
                <w:kern w:val="0"/>
                <w:sz w:val="24"/>
                <w:lang w:bidi="ar"/>
              </w:rPr>
              <w:t>2、地下水环境：执行《地下水质量标准》(GB/T14848-2017)中Ⅲ类标准。</w:t>
            </w:r>
          </w:p>
          <w:p w14:paraId="6EDEC0D9">
            <w:pPr>
              <w:jc w:val="center"/>
              <w:rPr>
                <w:bCs/>
                <w:color w:val="auto"/>
                <w:szCs w:val="21"/>
              </w:rPr>
            </w:pPr>
            <w:r>
              <w:rPr>
                <w:b/>
                <w:color w:val="auto"/>
                <w:szCs w:val="21"/>
              </w:rPr>
              <w:t>表3-</w:t>
            </w:r>
            <w:r>
              <w:rPr>
                <w:rFonts w:hint="eastAsia"/>
                <w:b/>
                <w:color w:val="auto"/>
                <w:szCs w:val="21"/>
                <w:lang w:val="en-US" w:eastAsia="zh-CN"/>
              </w:rPr>
              <w:t>21</w:t>
            </w:r>
            <w:r>
              <w:rPr>
                <w:b/>
                <w:color w:val="auto"/>
                <w:szCs w:val="21"/>
              </w:rPr>
              <w:t xml:space="preserve">  地下水质量标准单位：mg/L，pH值、粪大肠菌群除外</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40"/>
              <w:gridCol w:w="2702"/>
              <w:gridCol w:w="2367"/>
            </w:tblGrid>
            <w:tr w14:paraId="4A8071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7299493A">
                  <w:pPr>
                    <w:jc w:val="center"/>
                    <w:rPr>
                      <w:color w:val="auto"/>
                      <w:szCs w:val="21"/>
                    </w:rPr>
                  </w:pPr>
                  <w:r>
                    <w:rPr>
                      <w:color w:val="auto"/>
                      <w:szCs w:val="21"/>
                    </w:rPr>
                    <w:t>项目</w:t>
                  </w:r>
                </w:p>
              </w:tc>
              <w:tc>
                <w:tcPr>
                  <w:tcW w:w="1645" w:type="pct"/>
                  <w:vAlign w:val="center"/>
                </w:tcPr>
                <w:p w14:paraId="7D9B34C5">
                  <w:pPr>
                    <w:jc w:val="center"/>
                    <w:rPr>
                      <w:color w:val="auto"/>
                      <w:szCs w:val="21"/>
                    </w:rPr>
                  </w:pPr>
                  <w:r>
                    <w:rPr>
                      <w:color w:val="auto"/>
                      <w:szCs w:val="21"/>
                    </w:rPr>
                    <w:t>浓度限值</w:t>
                  </w:r>
                </w:p>
              </w:tc>
              <w:tc>
                <w:tcPr>
                  <w:tcW w:w="1441" w:type="pct"/>
                  <w:vAlign w:val="center"/>
                </w:tcPr>
                <w:p w14:paraId="46446FC3">
                  <w:pPr>
                    <w:jc w:val="center"/>
                    <w:rPr>
                      <w:color w:val="auto"/>
                      <w:szCs w:val="21"/>
                    </w:rPr>
                  </w:pPr>
                  <w:r>
                    <w:rPr>
                      <w:color w:val="auto"/>
                      <w:szCs w:val="21"/>
                    </w:rPr>
                    <w:t>标准来源</w:t>
                  </w:r>
                </w:p>
              </w:tc>
            </w:tr>
            <w:tr w14:paraId="37DA4C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3CA100AD">
                  <w:pPr>
                    <w:jc w:val="center"/>
                    <w:rPr>
                      <w:color w:val="auto"/>
                      <w:szCs w:val="21"/>
                    </w:rPr>
                  </w:pPr>
                  <w:r>
                    <w:rPr>
                      <w:color w:val="auto"/>
                      <w:szCs w:val="21"/>
                    </w:rPr>
                    <w:t>汞</w:t>
                  </w:r>
                </w:p>
              </w:tc>
              <w:tc>
                <w:tcPr>
                  <w:tcW w:w="1645" w:type="pct"/>
                  <w:vAlign w:val="center"/>
                </w:tcPr>
                <w:p w14:paraId="07A3AE90">
                  <w:pPr>
                    <w:jc w:val="center"/>
                    <w:rPr>
                      <w:color w:val="auto"/>
                      <w:szCs w:val="21"/>
                    </w:rPr>
                  </w:pPr>
                  <w:r>
                    <w:rPr>
                      <w:color w:val="auto"/>
                      <w:szCs w:val="21"/>
                    </w:rPr>
                    <w:t>≤0.001</w:t>
                  </w:r>
                </w:p>
              </w:tc>
              <w:tc>
                <w:tcPr>
                  <w:tcW w:w="1441" w:type="pct"/>
                  <w:vMerge w:val="restart"/>
                  <w:vAlign w:val="center"/>
                </w:tcPr>
                <w:p w14:paraId="2D6C8941">
                  <w:pPr>
                    <w:jc w:val="center"/>
                    <w:rPr>
                      <w:color w:val="auto"/>
                      <w:szCs w:val="21"/>
                    </w:rPr>
                  </w:pPr>
                  <w:r>
                    <w:rPr>
                      <w:color w:val="auto"/>
                      <w:szCs w:val="21"/>
                    </w:rPr>
                    <w:t>地下水环境质量标准（GB/T14848-2017）Ⅲ类标准</w:t>
                  </w:r>
                </w:p>
              </w:tc>
            </w:tr>
            <w:tr w14:paraId="2596B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4CACBBBF">
                  <w:pPr>
                    <w:jc w:val="center"/>
                    <w:rPr>
                      <w:color w:val="auto"/>
                      <w:szCs w:val="21"/>
                    </w:rPr>
                  </w:pPr>
                  <w:r>
                    <w:rPr>
                      <w:color w:val="auto"/>
                      <w:szCs w:val="21"/>
                    </w:rPr>
                    <w:t>铅</w:t>
                  </w:r>
                </w:p>
              </w:tc>
              <w:tc>
                <w:tcPr>
                  <w:tcW w:w="1645" w:type="pct"/>
                  <w:vAlign w:val="center"/>
                </w:tcPr>
                <w:p w14:paraId="19AB6F92">
                  <w:pPr>
                    <w:jc w:val="center"/>
                    <w:rPr>
                      <w:color w:val="auto"/>
                      <w:szCs w:val="21"/>
                    </w:rPr>
                  </w:pPr>
                  <w:r>
                    <w:rPr>
                      <w:color w:val="auto"/>
                      <w:szCs w:val="21"/>
                    </w:rPr>
                    <w:t>≤0.01</w:t>
                  </w:r>
                </w:p>
              </w:tc>
              <w:tc>
                <w:tcPr>
                  <w:tcW w:w="1441" w:type="pct"/>
                  <w:vMerge w:val="continue"/>
                  <w:vAlign w:val="center"/>
                </w:tcPr>
                <w:p w14:paraId="60E3FE11">
                  <w:pPr>
                    <w:jc w:val="center"/>
                    <w:rPr>
                      <w:color w:val="auto"/>
                      <w:szCs w:val="21"/>
                    </w:rPr>
                  </w:pPr>
                </w:p>
              </w:tc>
            </w:tr>
            <w:tr w14:paraId="6E52E5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22F8489B">
                  <w:pPr>
                    <w:jc w:val="center"/>
                    <w:rPr>
                      <w:color w:val="auto"/>
                      <w:szCs w:val="21"/>
                    </w:rPr>
                  </w:pPr>
                  <w:r>
                    <w:rPr>
                      <w:color w:val="auto"/>
                      <w:szCs w:val="21"/>
                    </w:rPr>
                    <w:t>铁</w:t>
                  </w:r>
                </w:p>
              </w:tc>
              <w:tc>
                <w:tcPr>
                  <w:tcW w:w="1645" w:type="pct"/>
                  <w:vAlign w:val="center"/>
                </w:tcPr>
                <w:p w14:paraId="2A062E36">
                  <w:pPr>
                    <w:jc w:val="center"/>
                    <w:rPr>
                      <w:color w:val="auto"/>
                      <w:szCs w:val="21"/>
                    </w:rPr>
                  </w:pPr>
                  <w:r>
                    <w:rPr>
                      <w:color w:val="auto"/>
                      <w:szCs w:val="21"/>
                    </w:rPr>
                    <w:t>≤0.3</w:t>
                  </w:r>
                </w:p>
              </w:tc>
              <w:tc>
                <w:tcPr>
                  <w:tcW w:w="1441" w:type="pct"/>
                  <w:vMerge w:val="continue"/>
                  <w:vAlign w:val="center"/>
                </w:tcPr>
                <w:p w14:paraId="4A27A788">
                  <w:pPr>
                    <w:jc w:val="center"/>
                    <w:rPr>
                      <w:color w:val="auto"/>
                      <w:szCs w:val="21"/>
                    </w:rPr>
                  </w:pPr>
                </w:p>
              </w:tc>
            </w:tr>
            <w:tr w14:paraId="4E87DE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7D29D2A0">
                  <w:pPr>
                    <w:jc w:val="center"/>
                    <w:rPr>
                      <w:color w:val="auto"/>
                      <w:szCs w:val="21"/>
                    </w:rPr>
                  </w:pPr>
                  <w:r>
                    <w:rPr>
                      <w:color w:val="auto"/>
                      <w:szCs w:val="21"/>
                    </w:rPr>
                    <w:t>镉</w:t>
                  </w:r>
                </w:p>
              </w:tc>
              <w:tc>
                <w:tcPr>
                  <w:tcW w:w="1645" w:type="pct"/>
                  <w:vAlign w:val="center"/>
                </w:tcPr>
                <w:p w14:paraId="4882393D">
                  <w:pPr>
                    <w:jc w:val="center"/>
                    <w:rPr>
                      <w:color w:val="auto"/>
                      <w:szCs w:val="21"/>
                    </w:rPr>
                  </w:pPr>
                  <w:r>
                    <w:rPr>
                      <w:color w:val="auto"/>
                      <w:szCs w:val="21"/>
                    </w:rPr>
                    <w:t>≤0.005</w:t>
                  </w:r>
                </w:p>
              </w:tc>
              <w:tc>
                <w:tcPr>
                  <w:tcW w:w="1441" w:type="pct"/>
                  <w:vMerge w:val="continue"/>
                  <w:vAlign w:val="center"/>
                </w:tcPr>
                <w:p w14:paraId="46DAAF67">
                  <w:pPr>
                    <w:jc w:val="center"/>
                    <w:rPr>
                      <w:color w:val="auto"/>
                      <w:szCs w:val="21"/>
                    </w:rPr>
                  </w:pPr>
                </w:p>
              </w:tc>
            </w:tr>
            <w:tr w14:paraId="281B20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4D7E3D1F">
                  <w:pPr>
                    <w:jc w:val="center"/>
                    <w:rPr>
                      <w:color w:val="auto"/>
                      <w:szCs w:val="21"/>
                    </w:rPr>
                  </w:pPr>
                  <w:r>
                    <w:rPr>
                      <w:color w:val="auto"/>
                      <w:szCs w:val="21"/>
                    </w:rPr>
                    <w:t>耗氧量</w:t>
                  </w:r>
                </w:p>
              </w:tc>
              <w:tc>
                <w:tcPr>
                  <w:tcW w:w="1645" w:type="pct"/>
                  <w:vAlign w:val="center"/>
                </w:tcPr>
                <w:p w14:paraId="7EFBB0DD">
                  <w:pPr>
                    <w:jc w:val="center"/>
                    <w:rPr>
                      <w:color w:val="auto"/>
                      <w:szCs w:val="21"/>
                    </w:rPr>
                  </w:pPr>
                  <w:r>
                    <w:rPr>
                      <w:color w:val="auto"/>
                      <w:szCs w:val="21"/>
                    </w:rPr>
                    <w:t>≤3.0</w:t>
                  </w:r>
                </w:p>
              </w:tc>
              <w:tc>
                <w:tcPr>
                  <w:tcW w:w="1441" w:type="pct"/>
                  <w:vMerge w:val="continue"/>
                  <w:vAlign w:val="center"/>
                </w:tcPr>
                <w:p w14:paraId="18BD0FFD">
                  <w:pPr>
                    <w:jc w:val="center"/>
                    <w:rPr>
                      <w:color w:val="auto"/>
                      <w:szCs w:val="21"/>
                    </w:rPr>
                  </w:pPr>
                </w:p>
              </w:tc>
            </w:tr>
            <w:tr w14:paraId="5F9A3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33BD5BB4">
                  <w:pPr>
                    <w:jc w:val="center"/>
                    <w:rPr>
                      <w:color w:val="auto"/>
                      <w:szCs w:val="21"/>
                    </w:rPr>
                  </w:pPr>
                  <w:r>
                    <w:rPr>
                      <w:color w:val="auto"/>
                      <w:szCs w:val="21"/>
                    </w:rPr>
                    <w:t>亚硝酸盐</w:t>
                  </w:r>
                </w:p>
              </w:tc>
              <w:tc>
                <w:tcPr>
                  <w:tcW w:w="1645" w:type="pct"/>
                  <w:vAlign w:val="center"/>
                </w:tcPr>
                <w:p w14:paraId="0273D9FE">
                  <w:pPr>
                    <w:jc w:val="center"/>
                    <w:rPr>
                      <w:color w:val="auto"/>
                      <w:szCs w:val="21"/>
                    </w:rPr>
                  </w:pPr>
                  <w:r>
                    <w:rPr>
                      <w:color w:val="auto"/>
                      <w:szCs w:val="21"/>
                    </w:rPr>
                    <w:t>≤1.00</w:t>
                  </w:r>
                </w:p>
              </w:tc>
              <w:tc>
                <w:tcPr>
                  <w:tcW w:w="1441" w:type="pct"/>
                  <w:vMerge w:val="continue"/>
                  <w:vAlign w:val="center"/>
                </w:tcPr>
                <w:p w14:paraId="317E9155">
                  <w:pPr>
                    <w:jc w:val="center"/>
                    <w:rPr>
                      <w:color w:val="auto"/>
                      <w:szCs w:val="21"/>
                    </w:rPr>
                  </w:pPr>
                </w:p>
              </w:tc>
            </w:tr>
            <w:tr w14:paraId="2F34AD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3B055F74">
                  <w:pPr>
                    <w:jc w:val="center"/>
                    <w:rPr>
                      <w:color w:val="auto"/>
                      <w:szCs w:val="21"/>
                    </w:rPr>
                  </w:pPr>
                  <w:r>
                    <w:rPr>
                      <w:color w:val="auto"/>
                      <w:szCs w:val="21"/>
                    </w:rPr>
                    <w:t>硝酸盐氮</w:t>
                  </w:r>
                </w:p>
              </w:tc>
              <w:tc>
                <w:tcPr>
                  <w:tcW w:w="1645" w:type="pct"/>
                  <w:vAlign w:val="center"/>
                </w:tcPr>
                <w:p w14:paraId="582BAB92">
                  <w:pPr>
                    <w:jc w:val="center"/>
                    <w:rPr>
                      <w:color w:val="auto"/>
                      <w:szCs w:val="21"/>
                    </w:rPr>
                  </w:pPr>
                  <w:r>
                    <w:rPr>
                      <w:color w:val="auto"/>
                      <w:szCs w:val="21"/>
                    </w:rPr>
                    <w:t>≤20</w:t>
                  </w:r>
                </w:p>
              </w:tc>
              <w:tc>
                <w:tcPr>
                  <w:tcW w:w="1441" w:type="pct"/>
                  <w:vMerge w:val="continue"/>
                  <w:vAlign w:val="center"/>
                </w:tcPr>
                <w:p w14:paraId="1E61F65A">
                  <w:pPr>
                    <w:jc w:val="center"/>
                    <w:rPr>
                      <w:color w:val="auto"/>
                      <w:szCs w:val="21"/>
                    </w:rPr>
                  </w:pPr>
                </w:p>
              </w:tc>
            </w:tr>
            <w:tr w14:paraId="09AD3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12E7E9FD">
                  <w:pPr>
                    <w:jc w:val="center"/>
                    <w:rPr>
                      <w:color w:val="auto"/>
                      <w:szCs w:val="21"/>
                    </w:rPr>
                  </w:pPr>
                  <w:r>
                    <w:rPr>
                      <w:color w:val="auto"/>
                      <w:szCs w:val="21"/>
                    </w:rPr>
                    <w:t>氰化物</w:t>
                  </w:r>
                </w:p>
              </w:tc>
              <w:tc>
                <w:tcPr>
                  <w:tcW w:w="1645" w:type="pct"/>
                  <w:vAlign w:val="center"/>
                </w:tcPr>
                <w:p w14:paraId="6608520B">
                  <w:pPr>
                    <w:jc w:val="center"/>
                    <w:rPr>
                      <w:color w:val="auto"/>
                      <w:szCs w:val="21"/>
                    </w:rPr>
                  </w:pPr>
                  <w:r>
                    <w:rPr>
                      <w:color w:val="auto"/>
                      <w:szCs w:val="21"/>
                    </w:rPr>
                    <w:t>≤0.05</w:t>
                  </w:r>
                </w:p>
              </w:tc>
              <w:tc>
                <w:tcPr>
                  <w:tcW w:w="1441" w:type="pct"/>
                  <w:vMerge w:val="continue"/>
                  <w:vAlign w:val="center"/>
                </w:tcPr>
                <w:p w14:paraId="6840669B">
                  <w:pPr>
                    <w:jc w:val="center"/>
                    <w:rPr>
                      <w:color w:val="auto"/>
                      <w:szCs w:val="21"/>
                    </w:rPr>
                  </w:pPr>
                </w:p>
              </w:tc>
            </w:tr>
            <w:tr w14:paraId="35F1D4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551A59E9">
                  <w:pPr>
                    <w:jc w:val="center"/>
                    <w:rPr>
                      <w:color w:val="auto"/>
                      <w:szCs w:val="21"/>
                    </w:rPr>
                  </w:pPr>
                  <w:r>
                    <w:rPr>
                      <w:color w:val="auto"/>
                      <w:szCs w:val="21"/>
                    </w:rPr>
                    <w:t>氯化物</w:t>
                  </w:r>
                </w:p>
              </w:tc>
              <w:tc>
                <w:tcPr>
                  <w:tcW w:w="1645" w:type="pct"/>
                  <w:vAlign w:val="center"/>
                </w:tcPr>
                <w:p w14:paraId="6EF82AA4">
                  <w:pPr>
                    <w:jc w:val="center"/>
                    <w:rPr>
                      <w:color w:val="auto"/>
                      <w:szCs w:val="21"/>
                    </w:rPr>
                  </w:pPr>
                  <w:r>
                    <w:rPr>
                      <w:color w:val="auto"/>
                      <w:szCs w:val="21"/>
                    </w:rPr>
                    <w:t>≤250</w:t>
                  </w:r>
                </w:p>
              </w:tc>
              <w:tc>
                <w:tcPr>
                  <w:tcW w:w="1441" w:type="pct"/>
                  <w:vMerge w:val="continue"/>
                  <w:vAlign w:val="center"/>
                </w:tcPr>
                <w:p w14:paraId="4188BE1A">
                  <w:pPr>
                    <w:jc w:val="center"/>
                    <w:rPr>
                      <w:color w:val="auto"/>
                      <w:szCs w:val="21"/>
                    </w:rPr>
                  </w:pPr>
                </w:p>
              </w:tc>
            </w:tr>
            <w:tr w14:paraId="445F00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19693954">
                  <w:pPr>
                    <w:jc w:val="center"/>
                    <w:rPr>
                      <w:color w:val="auto"/>
                      <w:szCs w:val="21"/>
                    </w:rPr>
                  </w:pPr>
                  <w:r>
                    <w:rPr>
                      <w:color w:val="auto"/>
                      <w:szCs w:val="21"/>
                    </w:rPr>
                    <w:t>硫酸盐</w:t>
                  </w:r>
                </w:p>
              </w:tc>
              <w:tc>
                <w:tcPr>
                  <w:tcW w:w="1645" w:type="pct"/>
                  <w:vAlign w:val="center"/>
                </w:tcPr>
                <w:p w14:paraId="74C91252">
                  <w:pPr>
                    <w:jc w:val="center"/>
                    <w:rPr>
                      <w:color w:val="auto"/>
                      <w:szCs w:val="21"/>
                    </w:rPr>
                  </w:pPr>
                  <w:r>
                    <w:rPr>
                      <w:color w:val="auto"/>
                      <w:szCs w:val="21"/>
                    </w:rPr>
                    <w:t>≤250</w:t>
                  </w:r>
                </w:p>
              </w:tc>
              <w:tc>
                <w:tcPr>
                  <w:tcW w:w="1441" w:type="pct"/>
                  <w:vMerge w:val="continue"/>
                  <w:vAlign w:val="center"/>
                </w:tcPr>
                <w:p w14:paraId="60D0C694">
                  <w:pPr>
                    <w:jc w:val="center"/>
                    <w:rPr>
                      <w:color w:val="auto"/>
                      <w:szCs w:val="21"/>
                    </w:rPr>
                  </w:pPr>
                </w:p>
              </w:tc>
            </w:tr>
            <w:tr w14:paraId="4F81F6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0B937AE1">
                  <w:pPr>
                    <w:jc w:val="center"/>
                    <w:rPr>
                      <w:color w:val="auto"/>
                      <w:szCs w:val="21"/>
                    </w:rPr>
                  </w:pPr>
                  <w:r>
                    <w:rPr>
                      <w:color w:val="auto"/>
                      <w:szCs w:val="21"/>
                    </w:rPr>
                    <w:t>氟化物</w:t>
                  </w:r>
                </w:p>
              </w:tc>
              <w:tc>
                <w:tcPr>
                  <w:tcW w:w="1645" w:type="pct"/>
                  <w:vAlign w:val="center"/>
                </w:tcPr>
                <w:p w14:paraId="33DDBB44">
                  <w:pPr>
                    <w:jc w:val="center"/>
                    <w:rPr>
                      <w:color w:val="auto"/>
                      <w:szCs w:val="21"/>
                    </w:rPr>
                  </w:pPr>
                  <w:r>
                    <w:rPr>
                      <w:color w:val="auto"/>
                      <w:szCs w:val="21"/>
                    </w:rPr>
                    <w:t>≤1.0</w:t>
                  </w:r>
                </w:p>
              </w:tc>
              <w:tc>
                <w:tcPr>
                  <w:tcW w:w="1441" w:type="pct"/>
                  <w:vMerge w:val="continue"/>
                  <w:vAlign w:val="center"/>
                </w:tcPr>
                <w:p w14:paraId="5C65FC03">
                  <w:pPr>
                    <w:jc w:val="center"/>
                    <w:rPr>
                      <w:color w:val="auto"/>
                      <w:szCs w:val="21"/>
                    </w:rPr>
                  </w:pPr>
                </w:p>
              </w:tc>
            </w:tr>
            <w:tr w14:paraId="07AEA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47E9C067">
                  <w:pPr>
                    <w:jc w:val="center"/>
                    <w:rPr>
                      <w:color w:val="auto"/>
                      <w:szCs w:val="21"/>
                    </w:rPr>
                  </w:pPr>
                  <w:r>
                    <w:rPr>
                      <w:color w:val="auto"/>
                      <w:szCs w:val="21"/>
                    </w:rPr>
                    <w:t>氨氮</w:t>
                  </w:r>
                </w:p>
              </w:tc>
              <w:tc>
                <w:tcPr>
                  <w:tcW w:w="1645" w:type="pct"/>
                  <w:vAlign w:val="center"/>
                </w:tcPr>
                <w:p w14:paraId="6D870A01">
                  <w:pPr>
                    <w:jc w:val="center"/>
                    <w:rPr>
                      <w:color w:val="auto"/>
                      <w:szCs w:val="21"/>
                    </w:rPr>
                  </w:pPr>
                  <w:r>
                    <w:rPr>
                      <w:color w:val="auto"/>
                      <w:szCs w:val="21"/>
                    </w:rPr>
                    <w:t>≤0.50</w:t>
                  </w:r>
                </w:p>
              </w:tc>
              <w:tc>
                <w:tcPr>
                  <w:tcW w:w="1441" w:type="pct"/>
                  <w:vMerge w:val="continue"/>
                  <w:vAlign w:val="center"/>
                </w:tcPr>
                <w:p w14:paraId="7097B95A">
                  <w:pPr>
                    <w:jc w:val="center"/>
                    <w:rPr>
                      <w:color w:val="auto"/>
                      <w:szCs w:val="21"/>
                    </w:rPr>
                  </w:pPr>
                </w:p>
              </w:tc>
            </w:tr>
            <w:tr w14:paraId="4EEE6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536D1BFE">
                  <w:pPr>
                    <w:jc w:val="center"/>
                    <w:rPr>
                      <w:color w:val="auto"/>
                      <w:szCs w:val="21"/>
                    </w:rPr>
                  </w:pPr>
                  <w:r>
                    <w:rPr>
                      <w:color w:val="auto"/>
                      <w:szCs w:val="21"/>
                    </w:rPr>
                    <w:t>砷</w:t>
                  </w:r>
                </w:p>
              </w:tc>
              <w:tc>
                <w:tcPr>
                  <w:tcW w:w="1645" w:type="pct"/>
                  <w:vAlign w:val="center"/>
                </w:tcPr>
                <w:p w14:paraId="1BD7B525">
                  <w:pPr>
                    <w:jc w:val="center"/>
                    <w:rPr>
                      <w:color w:val="auto"/>
                      <w:szCs w:val="21"/>
                    </w:rPr>
                  </w:pPr>
                  <w:r>
                    <w:rPr>
                      <w:color w:val="auto"/>
                      <w:szCs w:val="21"/>
                    </w:rPr>
                    <w:t>≤0.01</w:t>
                  </w:r>
                </w:p>
              </w:tc>
              <w:tc>
                <w:tcPr>
                  <w:tcW w:w="1441" w:type="pct"/>
                  <w:vMerge w:val="continue"/>
                  <w:vAlign w:val="center"/>
                </w:tcPr>
                <w:p w14:paraId="3D4D0610">
                  <w:pPr>
                    <w:jc w:val="center"/>
                    <w:rPr>
                      <w:color w:val="auto"/>
                      <w:szCs w:val="21"/>
                    </w:rPr>
                  </w:pPr>
                </w:p>
              </w:tc>
            </w:tr>
            <w:tr w14:paraId="7710E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2A1CE66C">
                  <w:pPr>
                    <w:jc w:val="center"/>
                    <w:rPr>
                      <w:color w:val="auto"/>
                      <w:szCs w:val="21"/>
                    </w:rPr>
                  </w:pPr>
                  <w:r>
                    <w:rPr>
                      <w:color w:val="auto"/>
                      <w:szCs w:val="21"/>
                    </w:rPr>
                    <w:t>锰</w:t>
                  </w:r>
                </w:p>
              </w:tc>
              <w:tc>
                <w:tcPr>
                  <w:tcW w:w="1645" w:type="pct"/>
                  <w:vAlign w:val="center"/>
                </w:tcPr>
                <w:p w14:paraId="31C083D1">
                  <w:pPr>
                    <w:jc w:val="center"/>
                    <w:rPr>
                      <w:color w:val="auto"/>
                      <w:szCs w:val="21"/>
                    </w:rPr>
                  </w:pPr>
                  <w:r>
                    <w:rPr>
                      <w:color w:val="auto"/>
                      <w:szCs w:val="21"/>
                    </w:rPr>
                    <w:t>≤0.1</w:t>
                  </w:r>
                </w:p>
              </w:tc>
              <w:tc>
                <w:tcPr>
                  <w:tcW w:w="1441" w:type="pct"/>
                  <w:vMerge w:val="continue"/>
                  <w:vAlign w:val="center"/>
                </w:tcPr>
                <w:p w14:paraId="418DC6D0">
                  <w:pPr>
                    <w:jc w:val="center"/>
                    <w:rPr>
                      <w:color w:val="auto"/>
                      <w:szCs w:val="21"/>
                    </w:rPr>
                  </w:pPr>
                </w:p>
              </w:tc>
            </w:tr>
            <w:tr w14:paraId="01B1BB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5E0382DC">
                  <w:pPr>
                    <w:jc w:val="center"/>
                    <w:rPr>
                      <w:color w:val="auto"/>
                      <w:szCs w:val="21"/>
                    </w:rPr>
                  </w:pPr>
                  <w:r>
                    <w:rPr>
                      <w:color w:val="auto"/>
                      <w:szCs w:val="21"/>
                    </w:rPr>
                    <w:t>挥发酚类</w:t>
                  </w:r>
                </w:p>
              </w:tc>
              <w:tc>
                <w:tcPr>
                  <w:tcW w:w="1645" w:type="pct"/>
                  <w:vAlign w:val="center"/>
                </w:tcPr>
                <w:p w14:paraId="47C01474">
                  <w:pPr>
                    <w:jc w:val="center"/>
                    <w:rPr>
                      <w:color w:val="auto"/>
                      <w:szCs w:val="21"/>
                    </w:rPr>
                  </w:pPr>
                  <w:r>
                    <w:rPr>
                      <w:color w:val="auto"/>
                      <w:szCs w:val="21"/>
                    </w:rPr>
                    <w:t>≤0.002</w:t>
                  </w:r>
                </w:p>
              </w:tc>
              <w:tc>
                <w:tcPr>
                  <w:tcW w:w="1441" w:type="pct"/>
                  <w:vMerge w:val="continue"/>
                  <w:vAlign w:val="center"/>
                </w:tcPr>
                <w:p w14:paraId="2EDD7A83">
                  <w:pPr>
                    <w:jc w:val="center"/>
                    <w:rPr>
                      <w:color w:val="auto"/>
                      <w:szCs w:val="21"/>
                    </w:rPr>
                  </w:pPr>
                </w:p>
              </w:tc>
            </w:tr>
            <w:tr w14:paraId="5E5DA8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1A6B25EF">
                  <w:pPr>
                    <w:jc w:val="center"/>
                    <w:rPr>
                      <w:color w:val="auto"/>
                      <w:szCs w:val="21"/>
                    </w:rPr>
                  </w:pPr>
                  <w:r>
                    <w:rPr>
                      <w:color w:val="auto"/>
                      <w:szCs w:val="21"/>
                    </w:rPr>
                    <w:t>pH值</w:t>
                  </w:r>
                </w:p>
                <w:p w14:paraId="1B9AF4B5">
                  <w:pPr>
                    <w:jc w:val="center"/>
                    <w:rPr>
                      <w:color w:val="auto"/>
                      <w:szCs w:val="21"/>
                    </w:rPr>
                  </w:pPr>
                  <w:r>
                    <w:rPr>
                      <w:color w:val="auto"/>
                      <w:szCs w:val="21"/>
                    </w:rPr>
                    <w:t>（无量纲）</w:t>
                  </w:r>
                </w:p>
              </w:tc>
              <w:tc>
                <w:tcPr>
                  <w:tcW w:w="1645" w:type="pct"/>
                  <w:vAlign w:val="center"/>
                </w:tcPr>
                <w:p w14:paraId="22AA74AF">
                  <w:pPr>
                    <w:jc w:val="center"/>
                    <w:rPr>
                      <w:color w:val="auto"/>
                      <w:szCs w:val="21"/>
                    </w:rPr>
                  </w:pPr>
                  <w:r>
                    <w:rPr>
                      <w:color w:val="auto"/>
                      <w:szCs w:val="21"/>
                    </w:rPr>
                    <w:t>6~9</w:t>
                  </w:r>
                </w:p>
              </w:tc>
              <w:tc>
                <w:tcPr>
                  <w:tcW w:w="1441" w:type="pct"/>
                  <w:vMerge w:val="continue"/>
                  <w:vAlign w:val="center"/>
                </w:tcPr>
                <w:p w14:paraId="004B2882">
                  <w:pPr>
                    <w:jc w:val="center"/>
                    <w:rPr>
                      <w:color w:val="auto"/>
                      <w:szCs w:val="21"/>
                    </w:rPr>
                  </w:pPr>
                </w:p>
              </w:tc>
            </w:tr>
            <w:tr w14:paraId="610D82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4A2600DC">
                  <w:pPr>
                    <w:jc w:val="center"/>
                    <w:rPr>
                      <w:color w:val="auto"/>
                      <w:szCs w:val="21"/>
                    </w:rPr>
                  </w:pPr>
                  <w:r>
                    <w:rPr>
                      <w:color w:val="auto"/>
                      <w:szCs w:val="21"/>
                    </w:rPr>
                    <w:t>六价铬</w:t>
                  </w:r>
                </w:p>
              </w:tc>
              <w:tc>
                <w:tcPr>
                  <w:tcW w:w="1645" w:type="pct"/>
                  <w:vAlign w:val="center"/>
                </w:tcPr>
                <w:p w14:paraId="2EFBD6B5">
                  <w:pPr>
                    <w:jc w:val="center"/>
                    <w:rPr>
                      <w:color w:val="auto"/>
                      <w:szCs w:val="21"/>
                    </w:rPr>
                  </w:pPr>
                  <w:r>
                    <w:rPr>
                      <w:color w:val="auto"/>
                      <w:szCs w:val="21"/>
                    </w:rPr>
                    <w:t>≤0.05</w:t>
                  </w:r>
                </w:p>
              </w:tc>
              <w:tc>
                <w:tcPr>
                  <w:tcW w:w="1441" w:type="pct"/>
                  <w:vMerge w:val="continue"/>
                  <w:vAlign w:val="center"/>
                </w:tcPr>
                <w:p w14:paraId="0E68AEFB">
                  <w:pPr>
                    <w:jc w:val="center"/>
                    <w:rPr>
                      <w:color w:val="auto"/>
                      <w:szCs w:val="21"/>
                    </w:rPr>
                  </w:pPr>
                </w:p>
              </w:tc>
            </w:tr>
            <w:tr w14:paraId="76817E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5E5E59CA">
                  <w:pPr>
                    <w:jc w:val="center"/>
                    <w:rPr>
                      <w:color w:val="auto"/>
                      <w:szCs w:val="21"/>
                    </w:rPr>
                  </w:pPr>
                  <w:r>
                    <w:rPr>
                      <w:color w:val="auto"/>
                      <w:szCs w:val="21"/>
                    </w:rPr>
                    <w:t>总硬度</w:t>
                  </w:r>
                </w:p>
              </w:tc>
              <w:tc>
                <w:tcPr>
                  <w:tcW w:w="1645" w:type="pct"/>
                  <w:vAlign w:val="center"/>
                </w:tcPr>
                <w:p w14:paraId="64A78A40">
                  <w:pPr>
                    <w:jc w:val="center"/>
                    <w:rPr>
                      <w:color w:val="auto"/>
                      <w:szCs w:val="21"/>
                    </w:rPr>
                  </w:pPr>
                  <w:r>
                    <w:rPr>
                      <w:color w:val="auto"/>
                      <w:szCs w:val="21"/>
                    </w:rPr>
                    <w:t>≤450</w:t>
                  </w:r>
                </w:p>
              </w:tc>
              <w:tc>
                <w:tcPr>
                  <w:tcW w:w="1441" w:type="pct"/>
                  <w:vMerge w:val="continue"/>
                  <w:vAlign w:val="center"/>
                </w:tcPr>
                <w:p w14:paraId="0A6F9A5C">
                  <w:pPr>
                    <w:jc w:val="center"/>
                    <w:rPr>
                      <w:color w:val="auto"/>
                      <w:szCs w:val="21"/>
                    </w:rPr>
                  </w:pPr>
                </w:p>
              </w:tc>
            </w:tr>
            <w:tr w14:paraId="129A33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60DE2453">
                  <w:pPr>
                    <w:jc w:val="center"/>
                    <w:rPr>
                      <w:color w:val="auto"/>
                      <w:szCs w:val="21"/>
                    </w:rPr>
                  </w:pPr>
                  <w:r>
                    <w:rPr>
                      <w:color w:val="auto"/>
                      <w:szCs w:val="21"/>
                    </w:rPr>
                    <w:t>溶解性总固体</w:t>
                  </w:r>
                </w:p>
              </w:tc>
              <w:tc>
                <w:tcPr>
                  <w:tcW w:w="1645" w:type="pct"/>
                  <w:vAlign w:val="center"/>
                </w:tcPr>
                <w:p w14:paraId="452476DE">
                  <w:pPr>
                    <w:jc w:val="center"/>
                    <w:rPr>
                      <w:color w:val="auto"/>
                      <w:szCs w:val="21"/>
                    </w:rPr>
                  </w:pPr>
                  <w:r>
                    <w:rPr>
                      <w:color w:val="auto"/>
                      <w:szCs w:val="21"/>
                    </w:rPr>
                    <w:t>≤1000</w:t>
                  </w:r>
                </w:p>
              </w:tc>
              <w:tc>
                <w:tcPr>
                  <w:tcW w:w="1441" w:type="pct"/>
                  <w:vMerge w:val="continue"/>
                  <w:vAlign w:val="center"/>
                </w:tcPr>
                <w:p w14:paraId="22F10003">
                  <w:pPr>
                    <w:jc w:val="center"/>
                    <w:rPr>
                      <w:color w:val="auto"/>
                      <w:szCs w:val="21"/>
                    </w:rPr>
                  </w:pPr>
                </w:p>
              </w:tc>
            </w:tr>
            <w:tr w14:paraId="44418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vAlign w:val="center"/>
                </w:tcPr>
                <w:p w14:paraId="40A384E1">
                  <w:pPr>
                    <w:jc w:val="center"/>
                    <w:rPr>
                      <w:color w:val="auto"/>
                      <w:szCs w:val="21"/>
                    </w:rPr>
                  </w:pPr>
                  <w:r>
                    <w:rPr>
                      <w:color w:val="auto"/>
                      <w:szCs w:val="21"/>
                    </w:rPr>
                    <w:t>总大肠</w:t>
                  </w:r>
                </w:p>
                <w:p w14:paraId="5C2D8B92">
                  <w:pPr>
                    <w:jc w:val="center"/>
                    <w:rPr>
                      <w:color w:val="auto"/>
                      <w:szCs w:val="21"/>
                    </w:rPr>
                  </w:pPr>
                  <w:r>
                    <w:rPr>
                      <w:color w:val="auto"/>
                      <w:szCs w:val="21"/>
                    </w:rPr>
                    <w:t>菌群（MPN/L）</w:t>
                  </w:r>
                </w:p>
              </w:tc>
              <w:tc>
                <w:tcPr>
                  <w:tcW w:w="1645" w:type="pct"/>
                  <w:vAlign w:val="center"/>
                </w:tcPr>
                <w:p w14:paraId="5A504617">
                  <w:pPr>
                    <w:jc w:val="center"/>
                    <w:rPr>
                      <w:color w:val="auto"/>
                      <w:szCs w:val="21"/>
                    </w:rPr>
                  </w:pPr>
                  <w:r>
                    <w:rPr>
                      <w:color w:val="auto"/>
                      <w:szCs w:val="21"/>
                    </w:rPr>
                    <w:t>≤3.0</w:t>
                  </w:r>
                </w:p>
              </w:tc>
              <w:tc>
                <w:tcPr>
                  <w:tcW w:w="1441" w:type="pct"/>
                  <w:vMerge w:val="continue"/>
                  <w:vAlign w:val="center"/>
                </w:tcPr>
                <w:p w14:paraId="549DC954">
                  <w:pPr>
                    <w:jc w:val="center"/>
                    <w:rPr>
                      <w:color w:val="auto"/>
                      <w:szCs w:val="21"/>
                    </w:rPr>
                  </w:pPr>
                </w:p>
              </w:tc>
            </w:tr>
            <w:tr w14:paraId="68CAD8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2100360C">
                  <w:pPr>
                    <w:jc w:val="center"/>
                    <w:rPr>
                      <w:color w:val="auto"/>
                      <w:szCs w:val="21"/>
                    </w:rPr>
                  </w:pPr>
                  <w:r>
                    <w:rPr>
                      <w:color w:val="auto"/>
                      <w:szCs w:val="21"/>
                    </w:rPr>
                    <w:t>菌落总数（CFU/mL）</w:t>
                  </w:r>
                </w:p>
              </w:tc>
              <w:tc>
                <w:tcPr>
                  <w:tcW w:w="1645" w:type="pct"/>
                  <w:vAlign w:val="center"/>
                </w:tcPr>
                <w:p w14:paraId="2026378A">
                  <w:pPr>
                    <w:jc w:val="center"/>
                    <w:rPr>
                      <w:color w:val="auto"/>
                      <w:szCs w:val="21"/>
                    </w:rPr>
                  </w:pPr>
                  <w:r>
                    <w:rPr>
                      <w:color w:val="auto"/>
                      <w:szCs w:val="21"/>
                    </w:rPr>
                    <w:t>≤100</w:t>
                  </w:r>
                </w:p>
              </w:tc>
              <w:tc>
                <w:tcPr>
                  <w:tcW w:w="1441" w:type="pct"/>
                  <w:vMerge w:val="continue"/>
                  <w:vAlign w:val="center"/>
                </w:tcPr>
                <w:p w14:paraId="752D600D">
                  <w:pPr>
                    <w:jc w:val="center"/>
                    <w:rPr>
                      <w:color w:val="auto"/>
                      <w:szCs w:val="21"/>
                    </w:rPr>
                  </w:pPr>
                </w:p>
              </w:tc>
            </w:tr>
            <w:tr w14:paraId="38C54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912" w:type="pct"/>
                  <w:vAlign w:val="center"/>
                </w:tcPr>
                <w:p w14:paraId="48DC7654">
                  <w:pPr>
                    <w:jc w:val="center"/>
                    <w:rPr>
                      <w:color w:val="auto"/>
                      <w:szCs w:val="21"/>
                    </w:rPr>
                  </w:pPr>
                  <w:r>
                    <w:rPr>
                      <w:color w:val="auto"/>
                      <w:szCs w:val="21"/>
                    </w:rPr>
                    <w:t>Na</w:t>
                  </w:r>
                  <w:r>
                    <w:rPr>
                      <w:color w:val="auto"/>
                      <w:szCs w:val="21"/>
                      <w:vertAlign w:val="superscript"/>
                    </w:rPr>
                    <w:t>+</w:t>
                  </w:r>
                </w:p>
              </w:tc>
              <w:tc>
                <w:tcPr>
                  <w:tcW w:w="1645" w:type="pct"/>
                  <w:vAlign w:val="center"/>
                </w:tcPr>
                <w:p w14:paraId="4CB453F9">
                  <w:pPr>
                    <w:jc w:val="center"/>
                    <w:rPr>
                      <w:color w:val="auto"/>
                      <w:szCs w:val="21"/>
                    </w:rPr>
                  </w:pPr>
                  <w:r>
                    <w:rPr>
                      <w:color w:val="auto"/>
                      <w:szCs w:val="21"/>
                    </w:rPr>
                    <w:t>≤200</w:t>
                  </w:r>
                </w:p>
              </w:tc>
              <w:tc>
                <w:tcPr>
                  <w:tcW w:w="1441" w:type="pct"/>
                  <w:vMerge w:val="continue"/>
                  <w:vAlign w:val="center"/>
                </w:tcPr>
                <w:p w14:paraId="3D066108">
                  <w:pPr>
                    <w:jc w:val="center"/>
                    <w:rPr>
                      <w:color w:val="auto"/>
                      <w:szCs w:val="21"/>
                    </w:rPr>
                  </w:pPr>
                </w:p>
              </w:tc>
            </w:tr>
          </w:tbl>
          <w:p w14:paraId="03465A97">
            <w:pPr>
              <w:spacing w:before="120" w:beforeLines="50" w:line="360" w:lineRule="auto"/>
              <w:ind w:firstLine="482" w:firstLineChars="200"/>
              <w:rPr>
                <w:b/>
                <w:color w:val="auto"/>
                <w:sz w:val="24"/>
              </w:rPr>
            </w:pPr>
            <w:r>
              <w:rPr>
                <w:b/>
                <w:color w:val="auto"/>
                <w:sz w:val="24"/>
              </w:rPr>
              <w:t>（二）大气环境</w:t>
            </w:r>
          </w:p>
          <w:p w14:paraId="3D0DFCAA">
            <w:pPr>
              <w:widowControl/>
              <w:spacing w:line="360" w:lineRule="auto"/>
              <w:ind w:firstLine="480" w:firstLineChars="200"/>
              <w:jc w:val="left"/>
              <w:rPr>
                <w:bCs/>
                <w:color w:val="auto"/>
                <w:sz w:val="24"/>
              </w:rPr>
            </w:pPr>
            <w:r>
              <w:rPr>
                <w:bCs/>
                <w:color w:val="auto"/>
                <w:kern w:val="0"/>
                <w:sz w:val="24"/>
                <w:lang w:bidi="ar"/>
              </w:rPr>
              <w:t>项目区环境空气执行《环境空气质量标准》（GB3095-20</w:t>
            </w:r>
            <w:r>
              <w:rPr>
                <w:rFonts w:hint="eastAsia"/>
                <w:bCs/>
                <w:color w:val="auto"/>
                <w:kern w:val="0"/>
                <w:sz w:val="24"/>
                <w:lang w:val="en-US" w:eastAsia="zh-CN" w:bidi="ar"/>
              </w:rPr>
              <w:t>26</w:t>
            </w:r>
            <w:r>
              <w:rPr>
                <w:bCs/>
                <w:color w:val="auto"/>
                <w:kern w:val="0"/>
                <w:sz w:val="24"/>
                <w:lang w:bidi="ar"/>
              </w:rPr>
              <w:t>）</w:t>
            </w:r>
            <w:r>
              <w:rPr>
                <w:rFonts w:hint="eastAsia"/>
                <w:bCs/>
                <w:color w:val="auto"/>
                <w:kern w:val="0"/>
                <w:sz w:val="24"/>
                <w:lang w:eastAsia="zh-CN" w:bidi="ar"/>
              </w:rPr>
              <w:t>过渡阶段</w:t>
            </w:r>
            <w:r>
              <w:rPr>
                <w:bCs/>
                <w:color w:val="auto"/>
                <w:kern w:val="0"/>
                <w:sz w:val="24"/>
                <w:lang w:bidi="ar"/>
              </w:rPr>
              <w:t>二级标准。</w:t>
            </w:r>
          </w:p>
          <w:p w14:paraId="5CA2ED3C">
            <w:pPr>
              <w:spacing w:before="120" w:beforeLines="50"/>
              <w:jc w:val="center"/>
              <w:rPr>
                <w:bCs/>
                <w:color w:val="auto"/>
                <w:szCs w:val="21"/>
                <w:highlight w:val="none"/>
              </w:rPr>
            </w:pPr>
            <w:r>
              <w:rPr>
                <w:b/>
                <w:color w:val="auto"/>
                <w:szCs w:val="21"/>
                <w:highlight w:val="none"/>
              </w:rPr>
              <w:t>表3-</w:t>
            </w:r>
            <w:r>
              <w:rPr>
                <w:rFonts w:hint="eastAsia"/>
                <w:b/>
                <w:color w:val="auto"/>
                <w:szCs w:val="21"/>
                <w:highlight w:val="none"/>
                <w:lang w:val="en-US" w:eastAsia="zh-CN"/>
              </w:rPr>
              <w:t>22</w:t>
            </w:r>
            <w:r>
              <w:rPr>
                <w:b/>
                <w:color w:val="auto"/>
                <w:szCs w:val="21"/>
                <w:highlight w:val="none"/>
              </w:rPr>
              <w:t xml:space="preserve">  环境空气质量标准（二级）</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708"/>
              <w:gridCol w:w="2063"/>
              <w:gridCol w:w="2112"/>
              <w:gridCol w:w="2326"/>
            </w:tblGrid>
            <w:tr w14:paraId="5779FC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Align w:val="center"/>
                </w:tcPr>
                <w:p w14:paraId="717401B8">
                  <w:pPr>
                    <w:pStyle w:val="34"/>
                    <w:adjustRightInd/>
                    <w:snapToGrid/>
                    <w:rPr>
                      <w:color w:val="auto"/>
                      <w:szCs w:val="21"/>
                      <w:highlight w:val="none"/>
                    </w:rPr>
                  </w:pPr>
                  <w:r>
                    <w:rPr>
                      <w:color w:val="auto"/>
                      <w:szCs w:val="21"/>
                      <w:highlight w:val="none"/>
                    </w:rPr>
                    <w:t>污染物</w:t>
                  </w:r>
                </w:p>
              </w:tc>
              <w:tc>
                <w:tcPr>
                  <w:tcW w:w="1256" w:type="pct"/>
                  <w:vAlign w:val="center"/>
                </w:tcPr>
                <w:p w14:paraId="0A72D167">
                  <w:pPr>
                    <w:pStyle w:val="34"/>
                    <w:adjustRightInd/>
                    <w:snapToGrid/>
                    <w:rPr>
                      <w:color w:val="auto"/>
                      <w:szCs w:val="21"/>
                      <w:highlight w:val="none"/>
                    </w:rPr>
                  </w:pPr>
                  <w:r>
                    <w:rPr>
                      <w:color w:val="auto"/>
                      <w:szCs w:val="21"/>
                      <w:highlight w:val="none"/>
                    </w:rPr>
                    <w:t>取值时间</w:t>
                  </w:r>
                </w:p>
              </w:tc>
              <w:tc>
                <w:tcPr>
                  <w:tcW w:w="1286" w:type="pct"/>
                  <w:vAlign w:val="center"/>
                </w:tcPr>
                <w:p w14:paraId="71D82313">
                  <w:pPr>
                    <w:pStyle w:val="34"/>
                    <w:adjustRightInd/>
                    <w:snapToGrid/>
                    <w:rPr>
                      <w:color w:val="auto"/>
                      <w:szCs w:val="21"/>
                      <w:highlight w:val="none"/>
                    </w:rPr>
                  </w:pPr>
                  <w:r>
                    <w:rPr>
                      <w:color w:val="auto"/>
                      <w:szCs w:val="21"/>
                      <w:highlight w:val="none"/>
                    </w:rPr>
                    <w:t>浓度限值</w:t>
                  </w:r>
                </w:p>
              </w:tc>
              <w:tc>
                <w:tcPr>
                  <w:tcW w:w="1416" w:type="pct"/>
                  <w:vAlign w:val="center"/>
                </w:tcPr>
                <w:p w14:paraId="0BC674C2">
                  <w:pPr>
                    <w:pStyle w:val="34"/>
                    <w:adjustRightInd/>
                    <w:snapToGrid/>
                    <w:rPr>
                      <w:color w:val="auto"/>
                      <w:szCs w:val="21"/>
                      <w:highlight w:val="none"/>
                    </w:rPr>
                  </w:pPr>
                  <w:r>
                    <w:rPr>
                      <w:color w:val="auto"/>
                      <w:szCs w:val="21"/>
                      <w:highlight w:val="none"/>
                    </w:rPr>
                    <w:t>标准名称</w:t>
                  </w:r>
                </w:p>
              </w:tc>
            </w:tr>
            <w:tr w14:paraId="0BD10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7DE566B8">
                  <w:pPr>
                    <w:pStyle w:val="34"/>
                    <w:adjustRightInd/>
                    <w:snapToGrid/>
                    <w:rPr>
                      <w:color w:val="auto"/>
                      <w:szCs w:val="21"/>
                      <w:highlight w:val="none"/>
                    </w:rPr>
                  </w:pPr>
                  <w:r>
                    <w:rPr>
                      <w:color w:val="auto"/>
                      <w:szCs w:val="21"/>
                      <w:highlight w:val="none"/>
                    </w:rPr>
                    <w:t>SO</w:t>
                  </w:r>
                  <w:r>
                    <w:rPr>
                      <w:color w:val="auto"/>
                      <w:szCs w:val="21"/>
                      <w:highlight w:val="none"/>
                      <w:vertAlign w:val="subscript"/>
                    </w:rPr>
                    <w:t>2</w:t>
                  </w:r>
                </w:p>
              </w:tc>
              <w:tc>
                <w:tcPr>
                  <w:tcW w:w="1256" w:type="pct"/>
                  <w:vAlign w:val="center"/>
                </w:tcPr>
                <w:p w14:paraId="64A29DE6">
                  <w:pPr>
                    <w:pStyle w:val="34"/>
                    <w:adjustRightInd/>
                    <w:snapToGrid/>
                    <w:rPr>
                      <w:color w:val="auto"/>
                      <w:szCs w:val="21"/>
                      <w:highlight w:val="none"/>
                    </w:rPr>
                  </w:pPr>
                  <w:r>
                    <w:rPr>
                      <w:color w:val="auto"/>
                      <w:szCs w:val="21"/>
                      <w:highlight w:val="none"/>
                    </w:rPr>
                    <w:t>年平均</w:t>
                  </w:r>
                </w:p>
              </w:tc>
              <w:tc>
                <w:tcPr>
                  <w:tcW w:w="1286" w:type="pct"/>
                  <w:vAlign w:val="center"/>
                </w:tcPr>
                <w:p w14:paraId="4D90608A">
                  <w:pPr>
                    <w:pStyle w:val="34"/>
                    <w:adjustRightInd/>
                    <w:snapToGrid/>
                    <w:rPr>
                      <w:color w:val="auto"/>
                      <w:szCs w:val="21"/>
                      <w:highlight w:val="none"/>
                    </w:rPr>
                  </w:pPr>
                  <w:r>
                    <w:rPr>
                      <w:color w:val="auto"/>
                      <w:szCs w:val="21"/>
                      <w:highlight w:val="none"/>
                    </w:rPr>
                    <w:t>60μg/m</w:t>
                  </w:r>
                  <w:r>
                    <w:rPr>
                      <w:color w:val="auto"/>
                      <w:szCs w:val="21"/>
                      <w:highlight w:val="none"/>
                      <w:vertAlign w:val="superscript"/>
                    </w:rPr>
                    <w:t>3</w:t>
                  </w:r>
                </w:p>
              </w:tc>
              <w:tc>
                <w:tcPr>
                  <w:tcW w:w="1416" w:type="pct"/>
                  <w:vMerge w:val="restart"/>
                  <w:vAlign w:val="center"/>
                </w:tcPr>
                <w:p w14:paraId="36D45BC2">
                  <w:pPr>
                    <w:pStyle w:val="34"/>
                    <w:adjustRightInd/>
                    <w:snapToGrid/>
                    <w:rPr>
                      <w:color w:val="auto"/>
                      <w:szCs w:val="21"/>
                      <w:highlight w:val="none"/>
                    </w:rPr>
                  </w:pPr>
                  <w:r>
                    <w:rPr>
                      <w:color w:val="auto"/>
                      <w:szCs w:val="21"/>
                      <w:highlight w:val="none"/>
                    </w:rPr>
                    <w:t>《环境空气质量标准》（GB3095-20</w:t>
                  </w:r>
                  <w:r>
                    <w:rPr>
                      <w:rFonts w:hint="eastAsia"/>
                      <w:color w:val="auto"/>
                      <w:szCs w:val="21"/>
                      <w:highlight w:val="none"/>
                      <w:lang w:val="en-US" w:eastAsia="zh-CN"/>
                    </w:rPr>
                    <w:t>26</w:t>
                  </w:r>
                  <w:r>
                    <w:rPr>
                      <w:color w:val="auto"/>
                      <w:szCs w:val="21"/>
                      <w:highlight w:val="none"/>
                    </w:rPr>
                    <w:t>）中</w:t>
                  </w:r>
                  <w:r>
                    <w:rPr>
                      <w:rFonts w:hint="eastAsia"/>
                      <w:bCs/>
                      <w:color w:val="auto"/>
                      <w:szCs w:val="21"/>
                      <w:highlight w:val="none"/>
                      <w:lang w:eastAsia="zh-CN"/>
                    </w:rPr>
                    <w:t>过渡阶段</w:t>
                  </w:r>
                  <w:r>
                    <w:rPr>
                      <w:color w:val="auto"/>
                      <w:szCs w:val="21"/>
                      <w:highlight w:val="none"/>
                    </w:rPr>
                    <w:t>二级标准</w:t>
                  </w:r>
                </w:p>
              </w:tc>
            </w:tr>
            <w:tr w14:paraId="1B7890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6C4E9832">
                  <w:pPr>
                    <w:pStyle w:val="34"/>
                    <w:adjustRightInd/>
                    <w:snapToGrid/>
                    <w:rPr>
                      <w:color w:val="auto"/>
                      <w:szCs w:val="21"/>
                      <w:highlight w:val="none"/>
                    </w:rPr>
                  </w:pPr>
                </w:p>
              </w:tc>
              <w:tc>
                <w:tcPr>
                  <w:tcW w:w="1256" w:type="pct"/>
                  <w:vAlign w:val="center"/>
                </w:tcPr>
                <w:p w14:paraId="1E31BA6A">
                  <w:pPr>
                    <w:pStyle w:val="34"/>
                    <w:adjustRightInd/>
                    <w:snapToGrid/>
                    <w:rPr>
                      <w:color w:val="auto"/>
                      <w:szCs w:val="21"/>
                      <w:highlight w:val="none"/>
                    </w:rPr>
                  </w:pPr>
                  <w:r>
                    <w:rPr>
                      <w:color w:val="auto"/>
                      <w:szCs w:val="21"/>
                      <w:highlight w:val="none"/>
                    </w:rPr>
                    <w:t>24小时平均</w:t>
                  </w:r>
                </w:p>
              </w:tc>
              <w:tc>
                <w:tcPr>
                  <w:tcW w:w="1286" w:type="pct"/>
                  <w:vAlign w:val="center"/>
                </w:tcPr>
                <w:p w14:paraId="74C93EE9">
                  <w:pPr>
                    <w:pStyle w:val="34"/>
                    <w:adjustRightInd/>
                    <w:snapToGrid/>
                    <w:rPr>
                      <w:color w:val="auto"/>
                      <w:szCs w:val="21"/>
                      <w:highlight w:val="none"/>
                    </w:rPr>
                  </w:pPr>
                  <w:r>
                    <w:rPr>
                      <w:color w:val="auto"/>
                      <w:szCs w:val="21"/>
                      <w:highlight w:val="none"/>
                    </w:rPr>
                    <w:t>150μg/m</w:t>
                  </w:r>
                  <w:r>
                    <w:rPr>
                      <w:color w:val="auto"/>
                      <w:szCs w:val="21"/>
                      <w:highlight w:val="none"/>
                      <w:vertAlign w:val="superscript"/>
                    </w:rPr>
                    <w:t>3</w:t>
                  </w:r>
                </w:p>
              </w:tc>
              <w:tc>
                <w:tcPr>
                  <w:tcW w:w="1416" w:type="pct"/>
                  <w:vMerge w:val="continue"/>
                  <w:vAlign w:val="center"/>
                </w:tcPr>
                <w:p w14:paraId="677F58A5">
                  <w:pPr>
                    <w:pStyle w:val="34"/>
                    <w:adjustRightInd/>
                    <w:snapToGrid/>
                    <w:rPr>
                      <w:color w:val="auto"/>
                      <w:szCs w:val="21"/>
                      <w:highlight w:val="none"/>
                    </w:rPr>
                  </w:pPr>
                </w:p>
              </w:tc>
            </w:tr>
            <w:tr w14:paraId="02CD35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7B43C191">
                  <w:pPr>
                    <w:pStyle w:val="34"/>
                    <w:adjustRightInd/>
                    <w:snapToGrid/>
                    <w:rPr>
                      <w:color w:val="auto"/>
                      <w:szCs w:val="21"/>
                      <w:highlight w:val="none"/>
                    </w:rPr>
                  </w:pPr>
                </w:p>
              </w:tc>
              <w:tc>
                <w:tcPr>
                  <w:tcW w:w="1256" w:type="pct"/>
                  <w:vAlign w:val="center"/>
                </w:tcPr>
                <w:p w14:paraId="7165C658">
                  <w:pPr>
                    <w:pStyle w:val="34"/>
                    <w:adjustRightInd/>
                    <w:snapToGrid/>
                    <w:rPr>
                      <w:color w:val="auto"/>
                      <w:szCs w:val="21"/>
                      <w:highlight w:val="none"/>
                    </w:rPr>
                  </w:pPr>
                  <w:r>
                    <w:rPr>
                      <w:color w:val="auto"/>
                      <w:szCs w:val="21"/>
                      <w:highlight w:val="none"/>
                    </w:rPr>
                    <w:t>1小时平均</w:t>
                  </w:r>
                </w:p>
              </w:tc>
              <w:tc>
                <w:tcPr>
                  <w:tcW w:w="1286" w:type="pct"/>
                  <w:vAlign w:val="center"/>
                </w:tcPr>
                <w:p w14:paraId="687702BF">
                  <w:pPr>
                    <w:pStyle w:val="34"/>
                    <w:adjustRightInd/>
                    <w:snapToGrid/>
                    <w:rPr>
                      <w:color w:val="auto"/>
                      <w:szCs w:val="21"/>
                      <w:highlight w:val="none"/>
                    </w:rPr>
                  </w:pPr>
                  <w:r>
                    <w:rPr>
                      <w:color w:val="auto"/>
                      <w:szCs w:val="21"/>
                      <w:highlight w:val="none"/>
                    </w:rPr>
                    <w:t>500μg/m</w:t>
                  </w:r>
                  <w:r>
                    <w:rPr>
                      <w:color w:val="auto"/>
                      <w:szCs w:val="21"/>
                      <w:highlight w:val="none"/>
                      <w:vertAlign w:val="superscript"/>
                    </w:rPr>
                    <w:t>3</w:t>
                  </w:r>
                </w:p>
              </w:tc>
              <w:tc>
                <w:tcPr>
                  <w:tcW w:w="1416" w:type="pct"/>
                  <w:vMerge w:val="continue"/>
                  <w:vAlign w:val="center"/>
                </w:tcPr>
                <w:p w14:paraId="38B13F11">
                  <w:pPr>
                    <w:pStyle w:val="34"/>
                    <w:adjustRightInd/>
                    <w:snapToGrid/>
                    <w:rPr>
                      <w:color w:val="auto"/>
                      <w:szCs w:val="21"/>
                      <w:highlight w:val="none"/>
                    </w:rPr>
                  </w:pPr>
                </w:p>
              </w:tc>
            </w:tr>
            <w:tr w14:paraId="3921B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1582F224">
                  <w:pPr>
                    <w:pStyle w:val="34"/>
                    <w:adjustRightInd/>
                    <w:snapToGrid/>
                    <w:rPr>
                      <w:color w:val="auto"/>
                      <w:szCs w:val="21"/>
                      <w:highlight w:val="none"/>
                    </w:rPr>
                  </w:pPr>
                  <w:r>
                    <w:rPr>
                      <w:color w:val="auto"/>
                      <w:szCs w:val="21"/>
                      <w:highlight w:val="none"/>
                    </w:rPr>
                    <w:t>NO</w:t>
                  </w:r>
                  <w:r>
                    <w:rPr>
                      <w:color w:val="auto"/>
                      <w:szCs w:val="21"/>
                      <w:highlight w:val="none"/>
                      <w:vertAlign w:val="subscript"/>
                    </w:rPr>
                    <w:t>2</w:t>
                  </w:r>
                </w:p>
              </w:tc>
              <w:tc>
                <w:tcPr>
                  <w:tcW w:w="1256" w:type="pct"/>
                  <w:vAlign w:val="center"/>
                </w:tcPr>
                <w:p w14:paraId="5B900BC5">
                  <w:pPr>
                    <w:pStyle w:val="34"/>
                    <w:adjustRightInd/>
                    <w:snapToGrid/>
                    <w:rPr>
                      <w:color w:val="auto"/>
                      <w:szCs w:val="21"/>
                      <w:highlight w:val="none"/>
                    </w:rPr>
                  </w:pPr>
                  <w:r>
                    <w:rPr>
                      <w:color w:val="auto"/>
                      <w:szCs w:val="21"/>
                      <w:highlight w:val="none"/>
                    </w:rPr>
                    <w:t>年平均</w:t>
                  </w:r>
                </w:p>
              </w:tc>
              <w:tc>
                <w:tcPr>
                  <w:tcW w:w="1286" w:type="pct"/>
                  <w:vAlign w:val="center"/>
                </w:tcPr>
                <w:p w14:paraId="40207A5B">
                  <w:pPr>
                    <w:pStyle w:val="34"/>
                    <w:adjustRightInd/>
                    <w:snapToGrid/>
                    <w:rPr>
                      <w:color w:val="auto"/>
                      <w:szCs w:val="21"/>
                      <w:highlight w:val="none"/>
                    </w:rPr>
                  </w:pPr>
                  <w:r>
                    <w:rPr>
                      <w:color w:val="auto"/>
                      <w:szCs w:val="21"/>
                      <w:highlight w:val="none"/>
                    </w:rPr>
                    <w:t>40μg/m</w:t>
                  </w:r>
                  <w:r>
                    <w:rPr>
                      <w:color w:val="auto"/>
                      <w:szCs w:val="21"/>
                      <w:highlight w:val="none"/>
                      <w:vertAlign w:val="superscript"/>
                    </w:rPr>
                    <w:t>3</w:t>
                  </w:r>
                </w:p>
              </w:tc>
              <w:tc>
                <w:tcPr>
                  <w:tcW w:w="1416" w:type="pct"/>
                  <w:vMerge w:val="continue"/>
                  <w:vAlign w:val="center"/>
                </w:tcPr>
                <w:p w14:paraId="3902BD37">
                  <w:pPr>
                    <w:pStyle w:val="34"/>
                    <w:adjustRightInd/>
                    <w:snapToGrid/>
                    <w:rPr>
                      <w:color w:val="auto"/>
                      <w:szCs w:val="21"/>
                      <w:highlight w:val="none"/>
                    </w:rPr>
                  </w:pPr>
                </w:p>
              </w:tc>
            </w:tr>
            <w:tr w14:paraId="5390F8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5E792F43">
                  <w:pPr>
                    <w:pStyle w:val="34"/>
                    <w:adjustRightInd/>
                    <w:snapToGrid/>
                    <w:rPr>
                      <w:color w:val="auto"/>
                      <w:szCs w:val="21"/>
                      <w:highlight w:val="none"/>
                    </w:rPr>
                  </w:pPr>
                </w:p>
              </w:tc>
              <w:tc>
                <w:tcPr>
                  <w:tcW w:w="1256" w:type="pct"/>
                  <w:vAlign w:val="center"/>
                </w:tcPr>
                <w:p w14:paraId="6A17063D">
                  <w:pPr>
                    <w:pStyle w:val="34"/>
                    <w:adjustRightInd/>
                    <w:snapToGrid/>
                    <w:rPr>
                      <w:color w:val="auto"/>
                      <w:szCs w:val="21"/>
                      <w:highlight w:val="none"/>
                    </w:rPr>
                  </w:pPr>
                  <w:r>
                    <w:rPr>
                      <w:color w:val="auto"/>
                      <w:szCs w:val="21"/>
                      <w:highlight w:val="none"/>
                    </w:rPr>
                    <w:t>24小时平均</w:t>
                  </w:r>
                </w:p>
              </w:tc>
              <w:tc>
                <w:tcPr>
                  <w:tcW w:w="1286" w:type="pct"/>
                  <w:vAlign w:val="center"/>
                </w:tcPr>
                <w:p w14:paraId="10573764">
                  <w:pPr>
                    <w:pStyle w:val="34"/>
                    <w:adjustRightInd/>
                    <w:snapToGrid/>
                    <w:rPr>
                      <w:color w:val="auto"/>
                      <w:szCs w:val="21"/>
                      <w:highlight w:val="none"/>
                    </w:rPr>
                  </w:pPr>
                  <w:r>
                    <w:rPr>
                      <w:color w:val="auto"/>
                      <w:szCs w:val="21"/>
                      <w:highlight w:val="none"/>
                    </w:rPr>
                    <w:t>80μg/m</w:t>
                  </w:r>
                  <w:r>
                    <w:rPr>
                      <w:color w:val="auto"/>
                      <w:szCs w:val="21"/>
                      <w:highlight w:val="none"/>
                      <w:vertAlign w:val="superscript"/>
                    </w:rPr>
                    <w:t>3</w:t>
                  </w:r>
                </w:p>
              </w:tc>
              <w:tc>
                <w:tcPr>
                  <w:tcW w:w="1416" w:type="pct"/>
                  <w:vMerge w:val="continue"/>
                  <w:vAlign w:val="center"/>
                </w:tcPr>
                <w:p w14:paraId="7CF4BA03">
                  <w:pPr>
                    <w:pStyle w:val="34"/>
                    <w:adjustRightInd/>
                    <w:snapToGrid/>
                    <w:rPr>
                      <w:color w:val="auto"/>
                      <w:szCs w:val="21"/>
                      <w:highlight w:val="none"/>
                    </w:rPr>
                  </w:pPr>
                </w:p>
              </w:tc>
            </w:tr>
            <w:tr w14:paraId="2F9D2C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7B90B67E">
                  <w:pPr>
                    <w:pStyle w:val="34"/>
                    <w:adjustRightInd/>
                    <w:snapToGrid/>
                    <w:rPr>
                      <w:color w:val="auto"/>
                      <w:szCs w:val="21"/>
                      <w:highlight w:val="none"/>
                    </w:rPr>
                  </w:pPr>
                </w:p>
              </w:tc>
              <w:tc>
                <w:tcPr>
                  <w:tcW w:w="1256" w:type="pct"/>
                  <w:vAlign w:val="center"/>
                </w:tcPr>
                <w:p w14:paraId="79B5FAA7">
                  <w:pPr>
                    <w:pStyle w:val="34"/>
                    <w:adjustRightInd/>
                    <w:snapToGrid/>
                    <w:rPr>
                      <w:color w:val="auto"/>
                      <w:szCs w:val="21"/>
                      <w:highlight w:val="none"/>
                    </w:rPr>
                  </w:pPr>
                  <w:r>
                    <w:rPr>
                      <w:color w:val="auto"/>
                      <w:szCs w:val="21"/>
                      <w:highlight w:val="none"/>
                    </w:rPr>
                    <w:t>1小时平均</w:t>
                  </w:r>
                </w:p>
              </w:tc>
              <w:tc>
                <w:tcPr>
                  <w:tcW w:w="1286" w:type="pct"/>
                  <w:vAlign w:val="center"/>
                </w:tcPr>
                <w:p w14:paraId="555DD4AC">
                  <w:pPr>
                    <w:pStyle w:val="34"/>
                    <w:adjustRightInd/>
                    <w:snapToGrid/>
                    <w:rPr>
                      <w:color w:val="auto"/>
                      <w:szCs w:val="21"/>
                      <w:highlight w:val="none"/>
                    </w:rPr>
                  </w:pPr>
                  <w:r>
                    <w:rPr>
                      <w:color w:val="auto"/>
                      <w:szCs w:val="21"/>
                      <w:highlight w:val="none"/>
                    </w:rPr>
                    <w:t>200μg/m</w:t>
                  </w:r>
                  <w:r>
                    <w:rPr>
                      <w:color w:val="auto"/>
                      <w:szCs w:val="21"/>
                      <w:highlight w:val="none"/>
                      <w:vertAlign w:val="superscript"/>
                    </w:rPr>
                    <w:t>3</w:t>
                  </w:r>
                </w:p>
              </w:tc>
              <w:tc>
                <w:tcPr>
                  <w:tcW w:w="1416" w:type="pct"/>
                  <w:vMerge w:val="continue"/>
                  <w:vAlign w:val="center"/>
                </w:tcPr>
                <w:p w14:paraId="0BB4BC01">
                  <w:pPr>
                    <w:pStyle w:val="34"/>
                    <w:adjustRightInd/>
                    <w:snapToGrid/>
                    <w:rPr>
                      <w:color w:val="auto"/>
                      <w:szCs w:val="21"/>
                      <w:highlight w:val="none"/>
                    </w:rPr>
                  </w:pPr>
                </w:p>
              </w:tc>
            </w:tr>
            <w:tr w14:paraId="06B6B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3BD28E7E">
                  <w:pPr>
                    <w:pStyle w:val="34"/>
                    <w:adjustRightInd/>
                    <w:snapToGrid/>
                    <w:rPr>
                      <w:color w:val="auto"/>
                      <w:szCs w:val="21"/>
                      <w:highlight w:val="none"/>
                    </w:rPr>
                  </w:pPr>
                  <w:r>
                    <w:rPr>
                      <w:color w:val="auto"/>
                      <w:szCs w:val="21"/>
                      <w:highlight w:val="none"/>
                    </w:rPr>
                    <w:t>TSP</w:t>
                  </w:r>
                </w:p>
              </w:tc>
              <w:tc>
                <w:tcPr>
                  <w:tcW w:w="1256" w:type="pct"/>
                  <w:vAlign w:val="center"/>
                </w:tcPr>
                <w:p w14:paraId="17B1494C">
                  <w:pPr>
                    <w:pStyle w:val="34"/>
                    <w:adjustRightInd/>
                    <w:snapToGrid/>
                    <w:rPr>
                      <w:color w:val="auto"/>
                      <w:szCs w:val="21"/>
                      <w:highlight w:val="none"/>
                    </w:rPr>
                  </w:pPr>
                  <w:r>
                    <w:rPr>
                      <w:color w:val="auto"/>
                      <w:szCs w:val="21"/>
                      <w:highlight w:val="none"/>
                    </w:rPr>
                    <w:t>年平均</w:t>
                  </w:r>
                </w:p>
              </w:tc>
              <w:tc>
                <w:tcPr>
                  <w:tcW w:w="1286" w:type="pct"/>
                  <w:vAlign w:val="center"/>
                </w:tcPr>
                <w:p w14:paraId="0755B411">
                  <w:pPr>
                    <w:pStyle w:val="34"/>
                    <w:adjustRightInd/>
                    <w:snapToGrid/>
                    <w:rPr>
                      <w:color w:val="auto"/>
                      <w:spacing w:val="-2"/>
                      <w:kern w:val="28"/>
                      <w:szCs w:val="21"/>
                      <w:highlight w:val="none"/>
                    </w:rPr>
                  </w:pPr>
                  <w:r>
                    <w:rPr>
                      <w:color w:val="auto"/>
                      <w:spacing w:val="-2"/>
                      <w:kern w:val="28"/>
                      <w:szCs w:val="21"/>
                      <w:highlight w:val="none"/>
                    </w:rPr>
                    <w:t>200</w:t>
                  </w:r>
                  <w:r>
                    <w:rPr>
                      <w:color w:val="auto"/>
                      <w:szCs w:val="21"/>
                      <w:highlight w:val="none"/>
                    </w:rPr>
                    <w:t>μg/m</w:t>
                  </w:r>
                  <w:r>
                    <w:rPr>
                      <w:color w:val="auto"/>
                      <w:szCs w:val="21"/>
                      <w:highlight w:val="none"/>
                      <w:vertAlign w:val="superscript"/>
                    </w:rPr>
                    <w:t>3</w:t>
                  </w:r>
                </w:p>
              </w:tc>
              <w:tc>
                <w:tcPr>
                  <w:tcW w:w="1416" w:type="pct"/>
                  <w:vMerge w:val="continue"/>
                  <w:vAlign w:val="center"/>
                </w:tcPr>
                <w:p w14:paraId="7DE9A047">
                  <w:pPr>
                    <w:pStyle w:val="34"/>
                    <w:adjustRightInd/>
                    <w:snapToGrid/>
                    <w:rPr>
                      <w:color w:val="auto"/>
                      <w:szCs w:val="21"/>
                      <w:highlight w:val="none"/>
                    </w:rPr>
                  </w:pPr>
                </w:p>
              </w:tc>
            </w:tr>
            <w:tr w14:paraId="4A5CA3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2A50B8FE">
                  <w:pPr>
                    <w:pStyle w:val="34"/>
                    <w:adjustRightInd/>
                    <w:snapToGrid/>
                    <w:rPr>
                      <w:color w:val="auto"/>
                      <w:szCs w:val="21"/>
                      <w:highlight w:val="none"/>
                    </w:rPr>
                  </w:pPr>
                </w:p>
              </w:tc>
              <w:tc>
                <w:tcPr>
                  <w:tcW w:w="1256" w:type="pct"/>
                  <w:vAlign w:val="center"/>
                </w:tcPr>
                <w:p w14:paraId="75D5AC9B">
                  <w:pPr>
                    <w:pStyle w:val="34"/>
                    <w:adjustRightInd/>
                    <w:snapToGrid/>
                    <w:rPr>
                      <w:color w:val="auto"/>
                      <w:szCs w:val="21"/>
                      <w:highlight w:val="none"/>
                    </w:rPr>
                  </w:pPr>
                  <w:r>
                    <w:rPr>
                      <w:color w:val="auto"/>
                      <w:szCs w:val="21"/>
                      <w:highlight w:val="none"/>
                    </w:rPr>
                    <w:t>24小时平均</w:t>
                  </w:r>
                </w:p>
              </w:tc>
              <w:tc>
                <w:tcPr>
                  <w:tcW w:w="1286" w:type="pct"/>
                  <w:vAlign w:val="center"/>
                </w:tcPr>
                <w:p w14:paraId="214BA953">
                  <w:pPr>
                    <w:pStyle w:val="34"/>
                    <w:adjustRightInd/>
                    <w:snapToGrid/>
                    <w:rPr>
                      <w:color w:val="auto"/>
                      <w:spacing w:val="-2"/>
                      <w:kern w:val="28"/>
                      <w:szCs w:val="21"/>
                      <w:highlight w:val="none"/>
                    </w:rPr>
                  </w:pPr>
                  <w:r>
                    <w:rPr>
                      <w:color w:val="auto"/>
                      <w:spacing w:val="-2"/>
                      <w:kern w:val="28"/>
                      <w:szCs w:val="21"/>
                      <w:highlight w:val="none"/>
                    </w:rPr>
                    <w:t>300</w:t>
                  </w:r>
                  <w:r>
                    <w:rPr>
                      <w:color w:val="auto"/>
                      <w:szCs w:val="21"/>
                      <w:highlight w:val="none"/>
                    </w:rPr>
                    <w:t>μg/m</w:t>
                  </w:r>
                  <w:r>
                    <w:rPr>
                      <w:color w:val="auto"/>
                      <w:szCs w:val="21"/>
                      <w:highlight w:val="none"/>
                      <w:vertAlign w:val="superscript"/>
                    </w:rPr>
                    <w:t>3</w:t>
                  </w:r>
                </w:p>
              </w:tc>
              <w:tc>
                <w:tcPr>
                  <w:tcW w:w="1416" w:type="pct"/>
                  <w:vMerge w:val="continue"/>
                  <w:vAlign w:val="center"/>
                </w:tcPr>
                <w:p w14:paraId="6EABA818">
                  <w:pPr>
                    <w:pStyle w:val="34"/>
                    <w:adjustRightInd/>
                    <w:snapToGrid/>
                    <w:rPr>
                      <w:color w:val="auto"/>
                      <w:szCs w:val="21"/>
                      <w:highlight w:val="none"/>
                    </w:rPr>
                  </w:pPr>
                </w:p>
              </w:tc>
            </w:tr>
            <w:tr w14:paraId="1C881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5F066A83">
                  <w:pPr>
                    <w:pStyle w:val="34"/>
                    <w:adjustRightInd/>
                    <w:snapToGrid/>
                    <w:rPr>
                      <w:color w:val="auto"/>
                      <w:szCs w:val="21"/>
                      <w:highlight w:val="none"/>
                    </w:rPr>
                  </w:pPr>
                  <w:r>
                    <w:rPr>
                      <w:color w:val="auto"/>
                      <w:szCs w:val="21"/>
                      <w:highlight w:val="none"/>
                    </w:rPr>
                    <w:t>PM</w:t>
                  </w:r>
                  <w:r>
                    <w:rPr>
                      <w:color w:val="auto"/>
                      <w:szCs w:val="21"/>
                      <w:highlight w:val="none"/>
                      <w:vertAlign w:val="subscript"/>
                    </w:rPr>
                    <w:t>10</w:t>
                  </w:r>
                </w:p>
              </w:tc>
              <w:tc>
                <w:tcPr>
                  <w:tcW w:w="1256" w:type="pct"/>
                  <w:vAlign w:val="center"/>
                </w:tcPr>
                <w:p w14:paraId="143103A7">
                  <w:pPr>
                    <w:pStyle w:val="34"/>
                    <w:adjustRightInd/>
                    <w:snapToGrid/>
                    <w:rPr>
                      <w:color w:val="auto"/>
                      <w:szCs w:val="21"/>
                      <w:highlight w:val="none"/>
                    </w:rPr>
                  </w:pPr>
                  <w:r>
                    <w:rPr>
                      <w:color w:val="auto"/>
                      <w:szCs w:val="21"/>
                      <w:highlight w:val="none"/>
                    </w:rPr>
                    <w:t>年平均</w:t>
                  </w:r>
                </w:p>
              </w:tc>
              <w:tc>
                <w:tcPr>
                  <w:tcW w:w="1286" w:type="pct"/>
                  <w:vAlign w:val="center"/>
                </w:tcPr>
                <w:p w14:paraId="3765CBE6">
                  <w:pPr>
                    <w:pStyle w:val="34"/>
                    <w:adjustRightInd/>
                    <w:snapToGrid/>
                    <w:rPr>
                      <w:color w:val="auto"/>
                      <w:spacing w:val="-2"/>
                      <w:kern w:val="28"/>
                      <w:szCs w:val="21"/>
                      <w:highlight w:val="none"/>
                    </w:rPr>
                  </w:pPr>
                  <w:r>
                    <w:rPr>
                      <w:rFonts w:hint="eastAsia"/>
                      <w:color w:val="auto"/>
                      <w:spacing w:val="-2"/>
                      <w:kern w:val="28"/>
                      <w:szCs w:val="21"/>
                      <w:highlight w:val="none"/>
                      <w:lang w:val="en-US" w:eastAsia="zh-CN"/>
                    </w:rPr>
                    <w:t>60</w:t>
                  </w:r>
                  <w:r>
                    <w:rPr>
                      <w:color w:val="auto"/>
                      <w:szCs w:val="21"/>
                      <w:highlight w:val="none"/>
                    </w:rPr>
                    <w:t>μg/m</w:t>
                  </w:r>
                  <w:r>
                    <w:rPr>
                      <w:color w:val="auto"/>
                      <w:szCs w:val="21"/>
                      <w:highlight w:val="none"/>
                      <w:vertAlign w:val="superscript"/>
                    </w:rPr>
                    <w:t>3</w:t>
                  </w:r>
                </w:p>
              </w:tc>
              <w:tc>
                <w:tcPr>
                  <w:tcW w:w="1416" w:type="pct"/>
                  <w:vMerge w:val="continue"/>
                  <w:vAlign w:val="center"/>
                </w:tcPr>
                <w:p w14:paraId="574C132A">
                  <w:pPr>
                    <w:pStyle w:val="34"/>
                    <w:adjustRightInd/>
                    <w:snapToGrid/>
                    <w:rPr>
                      <w:color w:val="auto"/>
                      <w:szCs w:val="21"/>
                      <w:highlight w:val="none"/>
                    </w:rPr>
                  </w:pPr>
                </w:p>
              </w:tc>
            </w:tr>
            <w:tr w14:paraId="4A0B77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2D304B21">
                  <w:pPr>
                    <w:pStyle w:val="34"/>
                    <w:adjustRightInd/>
                    <w:snapToGrid/>
                    <w:rPr>
                      <w:color w:val="auto"/>
                      <w:szCs w:val="21"/>
                      <w:highlight w:val="none"/>
                    </w:rPr>
                  </w:pPr>
                </w:p>
              </w:tc>
              <w:tc>
                <w:tcPr>
                  <w:tcW w:w="1256" w:type="pct"/>
                  <w:vAlign w:val="center"/>
                </w:tcPr>
                <w:p w14:paraId="30BF0D14">
                  <w:pPr>
                    <w:pStyle w:val="34"/>
                    <w:adjustRightInd/>
                    <w:snapToGrid/>
                    <w:rPr>
                      <w:color w:val="auto"/>
                      <w:szCs w:val="21"/>
                      <w:highlight w:val="none"/>
                    </w:rPr>
                  </w:pPr>
                  <w:r>
                    <w:rPr>
                      <w:color w:val="auto"/>
                      <w:szCs w:val="21"/>
                      <w:highlight w:val="none"/>
                    </w:rPr>
                    <w:t>24小时平均</w:t>
                  </w:r>
                </w:p>
              </w:tc>
              <w:tc>
                <w:tcPr>
                  <w:tcW w:w="1286" w:type="pct"/>
                  <w:vAlign w:val="center"/>
                </w:tcPr>
                <w:p w14:paraId="2C6574CF">
                  <w:pPr>
                    <w:pStyle w:val="34"/>
                    <w:adjustRightInd/>
                    <w:snapToGrid/>
                    <w:rPr>
                      <w:color w:val="auto"/>
                      <w:szCs w:val="21"/>
                      <w:highlight w:val="none"/>
                    </w:rPr>
                  </w:pPr>
                  <w:r>
                    <w:rPr>
                      <w:rFonts w:hint="eastAsia"/>
                      <w:color w:val="auto"/>
                      <w:szCs w:val="21"/>
                      <w:highlight w:val="none"/>
                      <w:lang w:val="en-US" w:eastAsia="zh-CN"/>
                    </w:rPr>
                    <w:t>120</w:t>
                  </w:r>
                  <w:r>
                    <w:rPr>
                      <w:color w:val="auto"/>
                      <w:szCs w:val="21"/>
                      <w:highlight w:val="none"/>
                    </w:rPr>
                    <w:t>μg/m</w:t>
                  </w:r>
                  <w:r>
                    <w:rPr>
                      <w:color w:val="auto"/>
                      <w:szCs w:val="21"/>
                      <w:highlight w:val="none"/>
                      <w:vertAlign w:val="superscript"/>
                    </w:rPr>
                    <w:t>3</w:t>
                  </w:r>
                </w:p>
              </w:tc>
              <w:tc>
                <w:tcPr>
                  <w:tcW w:w="1416" w:type="pct"/>
                  <w:vMerge w:val="continue"/>
                  <w:vAlign w:val="center"/>
                </w:tcPr>
                <w:p w14:paraId="4B3EFA0C">
                  <w:pPr>
                    <w:pStyle w:val="34"/>
                    <w:adjustRightInd/>
                    <w:snapToGrid/>
                    <w:rPr>
                      <w:color w:val="auto"/>
                      <w:szCs w:val="21"/>
                      <w:highlight w:val="none"/>
                    </w:rPr>
                  </w:pPr>
                </w:p>
              </w:tc>
            </w:tr>
            <w:tr w14:paraId="11ED4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3500AED9">
                  <w:pPr>
                    <w:pStyle w:val="34"/>
                    <w:adjustRightInd/>
                    <w:snapToGrid/>
                    <w:rPr>
                      <w:color w:val="auto"/>
                      <w:szCs w:val="21"/>
                      <w:highlight w:val="none"/>
                    </w:rPr>
                  </w:pPr>
                  <w:r>
                    <w:rPr>
                      <w:color w:val="auto"/>
                      <w:szCs w:val="21"/>
                      <w:highlight w:val="none"/>
                    </w:rPr>
                    <w:t>PM</w:t>
                  </w:r>
                  <w:r>
                    <w:rPr>
                      <w:color w:val="auto"/>
                      <w:szCs w:val="21"/>
                      <w:highlight w:val="none"/>
                      <w:vertAlign w:val="subscript"/>
                    </w:rPr>
                    <w:t>2.5</w:t>
                  </w:r>
                </w:p>
              </w:tc>
              <w:tc>
                <w:tcPr>
                  <w:tcW w:w="1256" w:type="pct"/>
                  <w:vAlign w:val="center"/>
                </w:tcPr>
                <w:p w14:paraId="76408276">
                  <w:pPr>
                    <w:pStyle w:val="34"/>
                    <w:adjustRightInd/>
                    <w:snapToGrid/>
                    <w:rPr>
                      <w:color w:val="auto"/>
                      <w:szCs w:val="21"/>
                      <w:highlight w:val="none"/>
                    </w:rPr>
                  </w:pPr>
                  <w:r>
                    <w:rPr>
                      <w:color w:val="auto"/>
                      <w:szCs w:val="21"/>
                      <w:highlight w:val="none"/>
                    </w:rPr>
                    <w:t>年平均</w:t>
                  </w:r>
                </w:p>
              </w:tc>
              <w:tc>
                <w:tcPr>
                  <w:tcW w:w="1286" w:type="pct"/>
                  <w:vAlign w:val="center"/>
                </w:tcPr>
                <w:p w14:paraId="23D9DB96">
                  <w:pPr>
                    <w:pStyle w:val="34"/>
                    <w:adjustRightInd/>
                    <w:snapToGrid/>
                    <w:rPr>
                      <w:color w:val="auto"/>
                      <w:spacing w:val="-2"/>
                      <w:kern w:val="28"/>
                      <w:szCs w:val="21"/>
                      <w:highlight w:val="none"/>
                    </w:rPr>
                  </w:pPr>
                  <w:r>
                    <w:rPr>
                      <w:rFonts w:hint="eastAsia"/>
                      <w:color w:val="auto"/>
                      <w:spacing w:val="-2"/>
                      <w:kern w:val="28"/>
                      <w:szCs w:val="21"/>
                      <w:highlight w:val="none"/>
                      <w:lang w:val="en-US" w:eastAsia="zh-CN"/>
                    </w:rPr>
                    <w:t>30</w:t>
                  </w:r>
                  <w:r>
                    <w:rPr>
                      <w:color w:val="auto"/>
                      <w:szCs w:val="21"/>
                      <w:highlight w:val="none"/>
                    </w:rPr>
                    <w:t>μg/m</w:t>
                  </w:r>
                  <w:r>
                    <w:rPr>
                      <w:color w:val="auto"/>
                      <w:szCs w:val="21"/>
                      <w:highlight w:val="none"/>
                      <w:vertAlign w:val="superscript"/>
                    </w:rPr>
                    <w:t>3</w:t>
                  </w:r>
                </w:p>
              </w:tc>
              <w:tc>
                <w:tcPr>
                  <w:tcW w:w="1416" w:type="pct"/>
                  <w:vMerge w:val="continue"/>
                  <w:vAlign w:val="center"/>
                </w:tcPr>
                <w:p w14:paraId="77C9C090">
                  <w:pPr>
                    <w:pStyle w:val="34"/>
                    <w:adjustRightInd/>
                    <w:snapToGrid/>
                    <w:rPr>
                      <w:color w:val="auto"/>
                      <w:szCs w:val="21"/>
                      <w:highlight w:val="none"/>
                    </w:rPr>
                  </w:pPr>
                </w:p>
              </w:tc>
            </w:tr>
            <w:tr w14:paraId="360DB2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55F8DE7E">
                  <w:pPr>
                    <w:pStyle w:val="34"/>
                    <w:adjustRightInd/>
                    <w:snapToGrid/>
                    <w:rPr>
                      <w:color w:val="auto"/>
                      <w:szCs w:val="21"/>
                      <w:highlight w:val="none"/>
                    </w:rPr>
                  </w:pPr>
                </w:p>
              </w:tc>
              <w:tc>
                <w:tcPr>
                  <w:tcW w:w="1256" w:type="pct"/>
                  <w:vAlign w:val="center"/>
                </w:tcPr>
                <w:p w14:paraId="477C75EB">
                  <w:pPr>
                    <w:pStyle w:val="34"/>
                    <w:adjustRightInd/>
                    <w:snapToGrid/>
                    <w:rPr>
                      <w:color w:val="auto"/>
                      <w:szCs w:val="21"/>
                      <w:highlight w:val="none"/>
                    </w:rPr>
                  </w:pPr>
                  <w:r>
                    <w:rPr>
                      <w:color w:val="auto"/>
                      <w:szCs w:val="21"/>
                      <w:highlight w:val="none"/>
                    </w:rPr>
                    <w:t>24小时平均</w:t>
                  </w:r>
                </w:p>
              </w:tc>
              <w:tc>
                <w:tcPr>
                  <w:tcW w:w="1286" w:type="pct"/>
                  <w:vAlign w:val="center"/>
                </w:tcPr>
                <w:p w14:paraId="0CC492AA">
                  <w:pPr>
                    <w:pStyle w:val="34"/>
                    <w:adjustRightInd/>
                    <w:snapToGrid/>
                    <w:rPr>
                      <w:b/>
                      <w:color w:val="auto"/>
                      <w:szCs w:val="21"/>
                      <w:highlight w:val="none"/>
                    </w:rPr>
                  </w:pPr>
                  <w:r>
                    <w:rPr>
                      <w:rFonts w:hint="eastAsia"/>
                      <w:color w:val="auto"/>
                      <w:szCs w:val="21"/>
                      <w:highlight w:val="none"/>
                      <w:lang w:val="en-US" w:eastAsia="zh-CN"/>
                    </w:rPr>
                    <w:t>60</w:t>
                  </w:r>
                  <w:r>
                    <w:rPr>
                      <w:color w:val="auto"/>
                      <w:szCs w:val="21"/>
                      <w:highlight w:val="none"/>
                    </w:rPr>
                    <w:t>μg/m</w:t>
                  </w:r>
                  <w:r>
                    <w:rPr>
                      <w:color w:val="auto"/>
                      <w:szCs w:val="21"/>
                      <w:highlight w:val="none"/>
                      <w:vertAlign w:val="superscript"/>
                    </w:rPr>
                    <w:t>3</w:t>
                  </w:r>
                </w:p>
              </w:tc>
              <w:tc>
                <w:tcPr>
                  <w:tcW w:w="1416" w:type="pct"/>
                  <w:vMerge w:val="continue"/>
                  <w:vAlign w:val="center"/>
                </w:tcPr>
                <w:p w14:paraId="6C3B3283">
                  <w:pPr>
                    <w:pStyle w:val="34"/>
                    <w:adjustRightInd/>
                    <w:snapToGrid/>
                    <w:rPr>
                      <w:color w:val="auto"/>
                      <w:szCs w:val="21"/>
                      <w:highlight w:val="none"/>
                    </w:rPr>
                  </w:pPr>
                </w:p>
              </w:tc>
            </w:tr>
            <w:tr w14:paraId="192DB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468A27F2">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CO</w:t>
                  </w:r>
                </w:p>
              </w:tc>
              <w:tc>
                <w:tcPr>
                  <w:tcW w:w="1256" w:type="pct"/>
                  <w:vAlign w:val="center"/>
                </w:tcPr>
                <w:p w14:paraId="3D2B52DE">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24小时平均</w:t>
                  </w:r>
                </w:p>
              </w:tc>
              <w:tc>
                <w:tcPr>
                  <w:tcW w:w="1286" w:type="pct"/>
                  <w:vAlign w:val="center"/>
                </w:tcPr>
                <w:p w14:paraId="4216F454">
                  <w:pPr>
                    <w:pStyle w:val="34"/>
                    <w:adjustRightInd/>
                    <w:snapToGrid/>
                    <w:rPr>
                      <w:color w:val="auto"/>
                      <w:szCs w:val="21"/>
                      <w:highlight w:val="none"/>
                    </w:rPr>
                  </w:pPr>
                  <w:r>
                    <w:rPr>
                      <w:color w:val="auto"/>
                      <w:szCs w:val="21"/>
                      <w:highlight w:val="none"/>
                    </w:rPr>
                    <w:t>4</w:t>
                  </w:r>
                  <w:r>
                    <w:rPr>
                      <w:color w:val="auto"/>
                      <w:szCs w:val="21"/>
                      <w:highlight w:val="none"/>
                      <w:shd w:val="clear" w:color="auto" w:fill="FFFFFF"/>
                    </w:rPr>
                    <w:t>mg</w:t>
                  </w:r>
                  <w:r>
                    <w:rPr>
                      <w:color w:val="auto"/>
                      <w:szCs w:val="21"/>
                      <w:highlight w:val="none"/>
                    </w:rPr>
                    <w:t>/m</w:t>
                  </w:r>
                  <w:r>
                    <w:rPr>
                      <w:color w:val="auto"/>
                      <w:szCs w:val="21"/>
                      <w:highlight w:val="none"/>
                      <w:vertAlign w:val="superscript"/>
                    </w:rPr>
                    <w:t>3</w:t>
                  </w:r>
                </w:p>
              </w:tc>
              <w:tc>
                <w:tcPr>
                  <w:tcW w:w="1416" w:type="pct"/>
                  <w:vMerge w:val="continue"/>
                  <w:vAlign w:val="center"/>
                </w:tcPr>
                <w:p w14:paraId="05A800A7">
                  <w:pPr>
                    <w:pStyle w:val="34"/>
                    <w:adjustRightInd/>
                    <w:snapToGrid/>
                    <w:rPr>
                      <w:color w:val="auto"/>
                      <w:szCs w:val="21"/>
                      <w:highlight w:val="none"/>
                    </w:rPr>
                  </w:pPr>
                </w:p>
              </w:tc>
            </w:tr>
            <w:tr w14:paraId="6EBC8C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0A61EE15">
                  <w:pPr>
                    <w:pStyle w:val="35"/>
                    <w:spacing w:line="240" w:lineRule="auto"/>
                    <w:contextualSpacing/>
                    <w:rPr>
                      <w:rFonts w:hint="default" w:ascii="Times New Roman" w:hAnsi="Times New Roman"/>
                      <w:color w:val="auto"/>
                      <w:szCs w:val="21"/>
                      <w:highlight w:val="none"/>
                    </w:rPr>
                  </w:pPr>
                </w:p>
              </w:tc>
              <w:tc>
                <w:tcPr>
                  <w:tcW w:w="1256" w:type="pct"/>
                  <w:vAlign w:val="center"/>
                </w:tcPr>
                <w:p w14:paraId="69F7540C">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1小时平均</w:t>
                  </w:r>
                </w:p>
              </w:tc>
              <w:tc>
                <w:tcPr>
                  <w:tcW w:w="1286" w:type="pct"/>
                  <w:vAlign w:val="center"/>
                </w:tcPr>
                <w:p w14:paraId="506047F2">
                  <w:pPr>
                    <w:pStyle w:val="34"/>
                    <w:adjustRightInd/>
                    <w:snapToGrid/>
                    <w:rPr>
                      <w:color w:val="auto"/>
                      <w:szCs w:val="21"/>
                      <w:highlight w:val="none"/>
                    </w:rPr>
                  </w:pPr>
                  <w:r>
                    <w:rPr>
                      <w:color w:val="auto"/>
                      <w:szCs w:val="21"/>
                      <w:highlight w:val="none"/>
                    </w:rPr>
                    <w:t>10</w:t>
                  </w:r>
                  <w:r>
                    <w:rPr>
                      <w:color w:val="auto"/>
                      <w:szCs w:val="21"/>
                      <w:highlight w:val="none"/>
                      <w:shd w:val="clear" w:color="auto" w:fill="FFFFFF"/>
                    </w:rPr>
                    <w:t>mg</w:t>
                  </w:r>
                  <w:r>
                    <w:rPr>
                      <w:color w:val="auto"/>
                      <w:szCs w:val="21"/>
                      <w:highlight w:val="none"/>
                    </w:rPr>
                    <w:t>/m</w:t>
                  </w:r>
                  <w:r>
                    <w:rPr>
                      <w:color w:val="auto"/>
                      <w:szCs w:val="21"/>
                      <w:highlight w:val="none"/>
                      <w:vertAlign w:val="superscript"/>
                    </w:rPr>
                    <w:t>3</w:t>
                  </w:r>
                </w:p>
              </w:tc>
              <w:tc>
                <w:tcPr>
                  <w:tcW w:w="1416" w:type="pct"/>
                  <w:vMerge w:val="continue"/>
                  <w:vAlign w:val="center"/>
                </w:tcPr>
                <w:p w14:paraId="18B4E4DC">
                  <w:pPr>
                    <w:pStyle w:val="34"/>
                    <w:adjustRightInd/>
                    <w:snapToGrid/>
                    <w:rPr>
                      <w:color w:val="auto"/>
                      <w:szCs w:val="21"/>
                      <w:highlight w:val="none"/>
                    </w:rPr>
                  </w:pPr>
                </w:p>
              </w:tc>
            </w:tr>
            <w:tr w14:paraId="4DF4DB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restart"/>
                  <w:vAlign w:val="center"/>
                </w:tcPr>
                <w:p w14:paraId="52674718">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O</w:t>
                  </w:r>
                  <w:r>
                    <w:rPr>
                      <w:rFonts w:hint="default" w:ascii="Times New Roman" w:hAnsi="Times New Roman"/>
                      <w:color w:val="auto"/>
                      <w:szCs w:val="21"/>
                      <w:highlight w:val="none"/>
                      <w:vertAlign w:val="subscript"/>
                    </w:rPr>
                    <w:t>3</w:t>
                  </w:r>
                </w:p>
              </w:tc>
              <w:tc>
                <w:tcPr>
                  <w:tcW w:w="1256" w:type="pct"/>
                  <w:vAlign w:val="center"/>
                </w:tcPr>
                <w:p w14:paraId="5F1F44E6">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日最大8小时平均</w:t>
                  </w:r>
                </w:p>
              </w:tc>
              <w:tc>
                <w:tcPr>
                  <w:tcW w:w="1286" w:type="pct"/>
                  <w:vAlign w:val="center"/>
                </w:tcPr>
                <w:p w14:paraId="4DA31BF2">
                  <w:pPr>
                    <w:pStyle w:val="34"/>
                    <w:adjustRightInd/>
                    <w:snapToGrid/>
                    <w:rPr>
                      <w:color w:val="auto"/>
                      <w:szCs w:val="21"/>
                      <w:highlight w:val="none"/>
                    </w:rPr>
                  </w:pPr>
                  <w:r>
                    <w:rPr>
                      <w:color w:val="auto"/>
                      <w:szCs w:val="21"/>
                      <w:highlight w:val="none"/>
                    </w:rPr>
                    <w:t>160</w:t>
                  </w:r>
                  <w:r>
                    <w:rPr>
                      <w:color w:val="auto"/>
                      <w:szCs w:val="21"/>
                      <w:highlight w:val="none"/>
                      <w:shd w:val="clear" w:color="auto" w:fill="FFFFFF"/>
                    </w:rPr>
                    <w:t>μg</w:t>
                  </w:r>
                  <w:r>
                    <w:rPr>
                      <w:color w:val="auto"/>
                      <w:szCs w:val="21"/>
                      <w:highlight w:val="none"/>
                    </w:rPr>
                    <w:t>/m</w:t>
                  </w:r>
                  <w:r>
                    <w:rPr>
                      <w:color w:val="auto"/>
                      <w:szCs w:val="21"/>
                      <w:highlight w:val="none"/>
                      <w:vertAlign w:val="superscript"/>
                    </w:rPr>
                    <w:t>3</w:t>
                  </w:r>
                </w:p>
              </w:tc>
              <w:tc>
                <w:tcPr>
                  <w:tcW w:w="1416" w:type="pct"/>
                  <w:vMerge w:val="continue"/>
                  <w:vAlign w:val="center"/>
                </w:tcPr>
                <w:p w14:paraId="0573FE71">
                  <w:pPr>
                    <w:pStyle w:val="34"/>
                    <w:adjustRightInd/>
                    <w:snapToGrid/>
                    <w:rPr>
                      <w:color w:val="auto"/>
                      <w:szCs w:val="21"/>
                      <w:highlight w:val="none"/>
                    </w:rPr>
                  </w:pPr>
                </w:p>
              </w:tc>
            </w:tr>
            <w:tr w14:paraId="27E81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040" w:type="pct"/>
                  <w:vMerge w:val="continue"/>
                  <w:vAlign w:val="center"/>
                </w:tcPr>
                <w:p w14:paraId="458C8B9B">
                  <w:pPr>
                    <w:pStyle w:val="35"/>
                    <w:spacing w:line="240" w:lineRule="auto"/>
                    <w:contextualSpacing/>
                    <w:rPr>
                      <w:rFonts w:hint="default" w:ascii="Times New Roman" w:hAnsi="Times New Roman"/>
                      <w:color w:val="auto"/>
                      <w:szCs w:val="21"/>
                      <w:highlight w:val="none"/>
                    </w:rPr>
                  </w:pPr>
                </w:p>
              </w:tc>
              <w:tc>
                <w:tcPr>
                  <w:tcW w:w="1256" w:type="pct"/>
                  <w:vAlign w:val="center"/>
                </w:tcPr>
                <w:p w14:paraId="3BD49339">
                  <w:pPr>
                    <w:pStyle w:val="35"/>
                    <w:spacing w:line="240" w:lineRule="auto"/>
                    <w:contextualSpacing/>
                    <w:rPr>
                      <w:rFonts w:hint="default" w:ascii="Times New Roman" w:hAnsi="Times New Roman"/>
                      <w:color w:val="auto"/>
                      <w:szCs w:val="21"/>
                      <w:highlight w:val="none"/>
                    </w:rPr>
                  </w:pPr>
                  <w:r>
                    <w:rPr>
                      <w:rFonts w:hint="default" w:ascii="Times New Roman" w:hAnsi="Times New Roman"/>
                      <w:color w:val="auto"/>
                      <w:szCs w:val="21"/>
                      <w:highlight w:val="none"/>
                    </w:rPr>
                    <w:t>1小时平均</w:t>
                  </w:r>
                </w:p>
              </w:tc>
              <w:tc>
                <w:tcPr>
                  <w:tcW w:w="1286" w:type="pct"/>
                  <w:vAlign w:val="center"/>
                </w:tcPr>
                <w:p w14:paraId="6520CA58">
                  <w:pPr>
                    <w:pStyle w:val="34"/>
                    <w:adjustRightInd/>
                    <w:snapToGrid/>
                    <w:rPr>
                      <w:color w:val="auto"/>
                      <w:szCs w:val="21"/>
                      <w:highlight w:val="none"/>
                    </w:rPr>
                  </w:pPr>
                  <w:r>
                    <w:rPr>
                      <w:color w:val="auto"/>
                      <w:szCs w:val="21"/>
                      <w:highlight w:val="none"/>
                    </w:rPr>
                    <w:t>200</w:t>
                  </w:r>
                  <w:r>
                    <w:rPr>
                      <w:color w:val="auto"/>
                      <w:szCs w:val="21"/>
                      <w:highlight w:val="none"/>
                      <w:shd w:val="clear" w:color="auto" w:fill="FFFFFF"/>
                    </w:rPr>
                    <w:t>μg</w:t>
                  </w:r>
                  <w:r>
                    <w:rPr>
                      <w:color w:val="auto"/>
                      <w:szCs w:val="21"/>
                      <w:highlight w:val="none"/>
                    </w:rPr>
                    <w:t>/m</w:t>
                  </w:r>
                  <w:r>
                    <w:rPr>
                      <w:color w:val="auto"/>
                      <w:szCs w:val="21"/>
                      <w:highlight w:val="none"/>
                      <w:vertAlign w:val="superscript"/>
                    </w:rPr>
                    <w:t>3</w:t>
                  </w:r>
                </w:p>
              </w:tc>
              <w:tc>
                <w:tcPr>
                  <w:tcW w:w="1416" w:type="pct"/>
                  <w:vMerge w:val="continue"/>
                  <w:vAlign w:val="center"/>
                </w:tcPr>
                <w:p w14:paraId="35FF8D9A">
                  <w:pPr>
                    <w:pStyle w:val="34"/>
                    <w:adjustRightInd/>
                    <w:snapToGrid/>
                    <w:rPr>
                      <w:color w:val="auto"/>
                      <w:szCs w:val="21"/>
                      <w:highlight w:val="none"/>
                    </w:rPr>
                  </w:pPr>
                </w:p>
              </w:tc>
            </w:tr>
          </w:tbl>
          <w:p w14:paraId="0E759218">
            <w:pPr>
              <w:spacing w:before="120" w:beforeLines="50" w:line="360" w:lineRule="auto"/>
              <w:ind w:firstLine="482" w:firstLineChars="200"/>
              <w:rPr>
                <w:b/>
                <w:color w:val="auto"/>
                <w:sz w:val="24"/>
              </w:rPr>
            </w:pPr>
            <w:r>
              <w:rPr>
                <w:b/>
                <w:color w:val="auto"/>
                <w:sz w:val="24"/>
                <w:highlight w:val="none"/>
              </w:rPr>
              <w:t>（三）声环境</w:t>
            </w:r>
          </w:p>
          <w:p w14:paraId="4F725A17">
            <w:pPr>
              <w:spacing w:line="360" w:lineRule="auto"/>
              <w:ind w:firstLine="480" w:firstLineChars="200"/>
              <w:rPr>
                <w:bCs/>
                <w:color w:val="auto"/>
                <w:sz w:val="24"/>
              </w:rPr>
            </w:pPr>
            <w:r>
              <w:rPr>
                <w:bCs/>
                <w:color w:val="auto"/>
                <w:sz w:val="24"/>
              </w:rPr>
              <w:t>本工程200m范围内的居民区属于声环境保护目标。项目区声环境质量执行《声环境质量标准》（GB3096-2008）2类标准。</w:t>
            </w:r>
          </w:p>
          <w:p w14:paraId="70F7071C">
            <w:pPr>
              <w:jc w:val="center"/>
              <w:rPr>
                <w:bCs/>
                <w:color w:val="auto"/>
                <w:szCs w:val="21"/>
              </w:rPr>
            </w:pPr>
            <w:r>
              <w:rPr>
                <w:b/>
                <w:color w:val="auto"/>
                <w:szCs w:val="21"/>
              </w:rPr>
              <w:t>表3-</w:t>
            </w:r>
            <w:r>
              <w:rPr>
                <w:rFonts w:hint="eastAsia"/>
                <w:b/>
                <w:color w:val="auto"/>
                <w:szCs w:val="21"/>
                <w:lang w:val="en-US" w:eastAsia="zh-CN"/>
              </w:rPr>
              <w:t>23</w:t>
            </w:r>
            <w:r>
              <w:rPr>
                <w:b/>
                <w:color w:val="auto"/>
                <w:szCs w:val="21"/>
              </w:rPr>
              <w:t xml:space="preserve">  噪声环境质量标准（单位：dB(A)）</w:t>
            </w:r>
          </w:p>
          <w:tbl>
            <w:tblPr>
              <w:tblStyle w:val="2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05"/>
              <w:gridCol w:w="3052"/>
              <w:gridCol w:w="3053"/>
            </w:tblGrid>
            <w:tr w14:paraId="77836B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282" w:type="pct"/>
                  <w:vAlign w:val="center"/>
                </w:tcPr>
                <w:p w14:paraId="4FD8A672">
                  <w:pPr>
                    <w:jc w:val="center"/>
                    <w:rPr>
                      <w:color w:val="auto"/>
                      <w:szCs w:val="21"/>
                    </w:rPr>
                  </w:pPr>
                  <w:r>
                    <w:rPr>
                      <w:color w:val="auto"/>
                    </w:rPr>
                    <mc:AlternateContent>
                      <mc:Choice Requires="wps">
                        <w:drawing>
                          <wp:anchor distT="0" distB="0" distL="114300" distR="114300" simplePos="0" relativeHeight="251660288" behindDoc="0" locked="0" layoutInCell="1" allowOverlap="1">
                            <wp:simplePos x="0" y="0"/>
                            <wp:positionH relativeFrom="column">
                              <wp:posOffset>-48895</wp:posOffset>
                            </wp:positionH>
                            <wp:positionV relativeFrom="paragraph">
                              <wp:posOffset>635</wp:posOffset>
                            </wp:positionV>
                            <wp:extent cx="1371600" cy="342900"/>
                            <wp:effectExtent l="1270" t="4445" r="17780" b="14605"/>
                            <wp:wrapNone/>
                            <wp:docPr id="4" name="直接连接符 4"/>
                            <wp:cNvGraphicFramePr/>
                            <a:graphic xmlns:a="http://schemas.openxmlformats.org/drawingml/2006/main">
                              <a:graphicData uri="http://schemas.microsoft.com/office/word/2010/wordprocessingShape">
                                <wps:wsp>
                                  <wps:cNvCnPr/>
                                  <wps:spPr>
                                    <a:xfrm>
                                      <a:off x="0" y="0"/>
                                      <a:ext cx="1371600" cy="34290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85pt;margin-top:0.05pt;height:27pt;width:108pt;z-index:251660288;mso-width-relative:page;mso-height-relative:page;" filled="f" stroked="t" coordsize="21600,21600" o:gfxdata="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k&#10;YUkY1AAAAAYBAAAPAAAAAAAAAAEAIAAAACIAAABkcnMvZG93bnJldi54bWxQSwECFAAUAAAACACH&#10;TuJABKkYzO8BAADdAwAADgAAAAAAAAABACAAAAAjAQAAZHJzL2Uyb0RvYy54bWxQSwUGAAAAAAYA&#10;BgBZAQAAhAUAAAAA&#10;">
                            <v:fill on="f" focussize="0,0"/>
                            <v:stroke color="#000000" joinstyle="round"/>
                            <v:imagedata o:title=""/>
                            <o:lock v:ext="edit" aspectratio="f"/>
                          </v:line>
                        </w:pict>
                      </mc:Fallback>
                    </mc:AlternateContent>
                  </w:r>
                  <w:r>
                    <w:rPr>
                      <w:color w:val="auto"/>
                      <w:szCs w:val="21"/>
                    </w:rPr>
                    <w:t>时段</w:t>
                  </w:r>
                </w:p>
                <w:p w14:paraId="45764532">
                  <w:pPr>
                    <w:rPr>
                      <w:color w:val="auto"/>
                      <w:szCs w:val="21"/>
                    </w:rPr>
                  </w:pPr>
                  <w:r>
                    <w:rPr>
                      <w:color w:val="auto"/>
                      <w:szCs w:val="21"/>
                    </w:rPr>
                    <w:t>功能区</w:t>
                  </w:r>
                </w:p>
              </w:tc>
              <w:tc>
                <w:tcPr>
                  <w:tcW w:w="1858" w:type="pct"/>
                  <w:vAlign w:val="center"/>
                </w:tcPr>
                <w:p w14:paraId="65496A93">
                  <w:pPr>
                    <w:jc w:val="center"/>
                    <w:rPr>
                      <w:color w:val="auto"/>
                      <w:szCs w:val="21"/>
                    </w:rPr>
                  </w:pPr>
                  <w:r>
                    <w:rPr>
                      <w:color w:val="auto"/>
                      <w:szCs w:val="21"/>
                    </w:rPr>
                    <w:t>昼间</w:t>
                  </w:r>
                </w:p>
              </w:tc>
              <w:tc>
                <w:tcPr>
                  <w:tcW w:w="1859" w:type="pct"/>
                  <w:vAlign w:val="center"/>
                </w:tcPr>
                <w:p w14:paraId="4C8A7A52">
                  <w:pPr>
                    <w:jc w:val="center"/>
                    <w:rPr>
                      <w:color w:val="auto"/>
                      <w:szCs w:val="21"/>
                    </w:rPr>
                  </w:pPr>
                  <w:r>
                    <w:rPr>
                      <w:color w:val="auto"/>
                      <w:szCs w:val="21"/>
                    </w:rPr>
                    <w:t>夜间</w:t>
                  </w:r>
                </w:p>
              </w:tc>
            </w:tr>
            <w:tr w14:paraId="15CE4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282" w:type="pct"/>
                  <w:vAlign w:val="center"/>
                </w:tcPr>
                <w:p w14:paraId="07BAA4E2">
                  <w:pPr>
                    <w:jc w:val="center"/>
                    <w:rPr>
                      <w:color w:val="auto"/>
                      <w:szCs w:val="21"/>
                    </w:rPr>
                  </w:pPr>
                  <w:r>
                    <w:rPr>
                      <w:color w:val="auto"/>
                      <w:szCs w:val="21"/>
                    </w:rPr>
                    <w:t>2类</w:t>
                  </w:r>
                </w:p>
              </w:tc>
              <w:tc>
                <w:tcPr>
                  <w:tcW w:w="1858" w:type="pct"/>
                  <w:vAlign w:val="center"/>
                </w:tcPr>
                <w:p w14:paraId="1E541A57">
                  <w:pPr>
                    <w:jc w:val="center"/>
                    <w:rPr>
                      <w:color w:val="auto"/>
                      <w:szCs w:val="21"/>
                    </w:rPr>
                  </w:pPr>
                  <w:r>
                    <w:rPr>
                      <w:color w:val="auto"/>
                      <w:szCs w:val="21"/>
                    </w:rPr>
                    <w:t>60</w:t>
                  </w:r>
                </w:p>
              </w:tc>
              <w:tc>
                <w:tcPr>
                  <w:tcW w:w="1859" w:type="pct"/>
                  <w:vAlign w:val="center"/>
                </w:tcPr>
                <w:p w14:paraId="1B8343D7">
                  <w:pPr>
                    <w:jc w:val="center"/>
                    <w:rPr>
                      <w:color w:val="auto"/>
                      <w:szCs w:val="21"/>
                    </w:rPr>
                  </w:pPr>
                  <w:r>
                    <w:rPr>
                      <w:color w:val="auto"/>
                      <w:szCs w:val="21"/>
                    </w:rPr>
                    <w:t>50</w:t>
                  </w:r>
                </w:p>
              </w:tc>
            </w:tr>
          </w:tbl>
          <w:p w14:paraId="25729914">
            <w:pPr>
              <w:spacing w:before="120" w:beforeLines="50" w:line="360" w:lineRule="auto"/>
              <w:ind w:firstLine="482" w:firstLineChars="200"/>
              <w:rPr>
                <w:b/>
                <w:color w:val="auto"/>
                <w:sz w:val="24"/>
              </w:rPr>
            </w:pPr>
            <w:r>
              <w:rPr>
                <w:b/>
                <w:color w:val="auto"/>
                <w:sz w:val="24"/>
              </w:rPr>
              <w:t>（四）土壤环境</w:t>
            </w:r>
          </w:p>
          <w:p w14:paraId="3867572D">
            <w:pPr>
              <w:spacing w:line="360" w:lineRule="auto"/>
              <w:ind w:firstLine="480" w:firstLineChars="200"/>
              <w:rPr>
                <w:bCs/>
                <w:color w:val="auto"/>
                <w:sz w:val="24"/>
              </w:rPr>
            </w:pPr>
            <w:r>
              <w:rPr>
                <w:bCs/>
                <w:color w:val="auto"/>
                <w:sz w:val="24"/>
              </w:rPr>
              <w:t>项目用地土壤环境质量标准执行《土壤环境质量农用地土壤污染风险管控标准》（GB15618-2018）。</w:t>
            </w:r>
          </w:p>
          <w:p w14:paraId="6F883B0D">
            <w:pPr>
              <w:spacing w:before="120" w:beforeLines="50"/>
              <w:jc w:val="center"/>
              <w:rPr>
                <w:bCs/>
                <w:color w:val="auto"/>
                <w:szCs w:val="21"/>
              </w:rPr>
            </w:pPr>
            <w:bookmarkStart w:id="4" w:name="_Toc391753771"/>
            <w:bookmarkStart w:id="5" w:name="_Toc400315990"/>
            <w:bookmarkStart w:id="6" w:name="_Toc5757"/>
            <w:r>
              <w:rPr>
                <w:b/>
                <w:color w:val="auto"/>
                <w:szCs w:val="21"/>
              </w:rPr>
              <w:t>表3-</w:t>
            </w:r>
            <w:r>
              <w:rPr>
                <w:rFonts w:hint="eastAsia"/>
                <w:b/>
                <w:color w:val="auto"/>
                <w:szCs w:val="21"/>
                <w:lang w:val="en-US" w:eastAsia="zh-CN"/>
              </w:rPr>
              <w:t>24</w:t>
            </w:r>
            <w:r>
              <w:rPr>
                <w:b/>
                <w:color w:val="auto"/>
                <w:szCs w:val="21"/>
              </w:rPr>
              <w:t xml:space="preserve">  土壤环境质量农用地土壤污染风险筛选值单位：mg/kg</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900"/>
              <w:gridCol w:w="3690"/>
            </w:tblGrid>
            <w:tr w14:paraId="1F5D28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0" w:hRule="atLeast"/>
                <w:jc w:val="center"/>
              </w:trPr>
              <w:tc>
                <w:tcPr>
                  <w:tcW w:w="986" w:type="pct"/>
                  <w:vMerge w:val="restart"/>
                  <w:vAlign w:val="center"/>
                </w:tcPr>
                <w:p w14:paraId="584E5C87">
                  <w:pPr>
                    <w:jc w:val="center"/>
                    <w:rPr>
                      <w:color w:val="auto"/>
                      <w:szCs w:val="21"/>
                    </w:rPr>
                  </w:pPr>
                  <w:r>
                    <w:rPr>
                      <w:color w:val="auto"/>
                      <w:szCs w:val="21"/>
                    </w:rPr>
                    <w:t>序号</w:t>
                  </w:r>
                </w:p>
              </w:tc>
              <w:tc>
                <w:tcPr>
                  <w:tcW w:w="1766" w:type="pct"/>
                  <w:vMerge w:val="restart"/>
                  <w:vAlign w:val="center"/>
                </w:tcPr>
                <w:p w14:paraId="51409C28">
                  <w:pPr>
                    <w:jc w:val="center"/>
                    <w:rPr>
                      <w:color w:val="auto"/>
                      <w:szCs w:val="21"/>
                    </w:rPr>
                  </w:pPr>
                  <w:r>
                    <w:rPr>
                      <w:color w:val="auto"/>
                      <w:szCs w:val="21"/>
                    </w:rPr>
                    <w:t>污染物项目</w:t>
                  </w:r>
                </w:p>
              </w:tc>
              <w:tc>
                <w:tcPr>
                  <w:tcW w:w="2247" w:type="pct"/>
                  <w:vAlign w:val="center"/>
                </w:tcPr>
                <w:p w14:paraId="36B380B3">
                  <w:pPr>
                    <w:jc w:val="center"/>
                    <w:rPr>
                      <w:color w:val="auto"/>
                      <w:szCs w:val="21"/>
                    </w:rPr>
                  </w:pPr>
                  <w:r>
                    <w:rPr>
                      <w:color w:val="auto"/>
                      <w:szCs w:val="21"/>
                    </w:rPr>
                    <w:t>pH﹥7.5</w:t>
                  </w:r>
                </w:p>
              </w:tc>
            </w:tr>
            <w:tr w14:paraId="12C27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Merge w:val="continue"/>
                  <w:vAlign w:val="center"/>
                </w:tcPr>
                <w:p w14:paraId="53E859D2">
                  <w:pPr>
                    <w:jc w:val="center"/>
                    <w:rPr>
                      <w:color w:val="auto"/>
                      <w:szCs w:val="21"/>
                    </w:rPr>
                  </w:pPr>
                </w:p>
              </w:tc>
              <w:tc>
                <w:tcPr>
                  <w:tcW w:w="1766" w:type="pct"/>
                  <w:vMerge w:val="continue"/>
                  <w:vAlign w:val="center"/>
                </w:tcPr>
                <w:p w14:paraId="13CAAF86">
                  <w:pPr>
                    <w:jc w:val="center"/>
                    <w:rPr>
                      <w:color w:val="auto"/>
                      <w:szCs w:val="21"/>
                    </w:rPr>
                  </w:pPr>
                </w:p>
              </w:tc>
              <w:tc>
                <w:tcPr>
                  <w:tcW w:w="2247" w:type="pct"/>
                  <w:vAlign w:val="center"/>
                </w:tcPr>
                <w:p w14:paraId="61BC602D">
                  <w:pPr>
                    <w:jc w:val="center"/>
                    <w:rPr>
                      <w:color w:val="auto"/>
                      <w:szCs w:val="21"/>
                    </w:rPr>
                  </w:pPr>
                  <w:r>
                    <w:rPr>
                      <w:bCs/>
                      <w:color w:val="auto"/>
                      <w:szCs w:val="21"/>
                    </w:rPr>
                    <w:t>农用地土壤污染风险筛选值</w:t>
                  </w:r>
                </w:p>
              </w:tc>
            </w:tr>
            <w:tr w14:paraId="3BA13B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494A5DF4">
                  <w:pPr>
                    <w:jc w:val="center"/>
                    <w:rPr>
                      <w:color w:val="auto"/>
                      <w:szCs w:val="21"/>
                    </w:rPr>
                  </w:pPr>
                  <w:r>
                    <w:rPr>
                      <w:color w:val="auto"/>
                      <w:szCs w:val="21"/>
                    </w:rPr>
                    <w:t>1</w:t>
                  </w:r>
                </w:p>
              </w:tc>
              <w:tc>
                <w:tcPr>
                  <w:tcW w:w="1766" w:type="pct"/>
                  <w:vAlign w:val="center"/>
                </w:tcPr>
                <w:p w14:paraId="450340F7">
                  <w:pPr>
                    <w:jc w:val="center"/>
                    <w:rPr>
                      <w:color w:val="auto"/>
                      <w:szCs w:val="21"/>
                    </w:rPr>
                  </w:pPr>
                  <w:r>
                    <w:rPr>
                      <w:color w:val="auto"/>
                      <w:szCs w:val="21"/>
                    </w:rPr>
                    <w:t>镉</w:t>
                  </w:r>
                </w:p>
              </w:tc>
              <w:tc>
                <w:tcPr>
                  <w:tcW w:w="2247" w:type="pct"/>
                  <w:vAlign w:val="center"/>
                </w:tcPr>
                <w:p w14:paraId="28E03014">
                  <w:pPr>
                    <w:autoSpaceDE w:val="0"/>
                    <w:autoSpaceDN w:val="0"/>
                    <w:jc w:val="center"/>
                    <w:rPr>
                      <w:color w:val="auto"/>
                      <w:szCs w:val="21"/>
                    </w:rPr>
                  </w:pPr>
                  <w:r>
                    <w:rPr>
                      <w:color w:val="auto"/>
                      <w:szCs w:val="21"/>
                    </w:rPr>
                    <w:t>0.6</w:t>
                  </w:r>
                </w:p>
              </w:tc>
            </w:tr>
            <w:tr w14:paraId="50751B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337EB980">
                  <w:pPr>
                    <w:jc w:val="center"/>
                    <w:rPr>
                      <w:color w:val="auto"/>
                      <w:szCs w:val="21"/>
                    </w:rPr>
                  </w:pPr>
                  <w:r>
                    <w:rPr>
                      <w:color w:val="auto"/>
                      <w:szCs w:val="21"/>
                    </w:rPr>
                    <w:t>2</w:t>
                  </w:r>
                </w:p>
              </w:tc>
              <w:tc>
                <w:tcPr>
                  <w:tcW w:w="1766" w:type="pct"/>
                  <w:vAlign w:val="center"/>
                </w:tcPr>
                <w:p w14:paraId="1F9F418A">
                  <w:pPr>
                    <w:jc w:val="center"/>
                    <w:rPr>
                      <w:color w:val="auto"/>
                      <w:szCs w:val="21"/>
                    </w:rPr>
                  </w:pPr>
                  <w:r>
                    <w:rPr>
                      <w:color w:val="auto"/>
                      <w:szCs w:val="21"/>
                    </w:rPr>
                    <w:t>汞</w:t>
                  </w:r>
                </w:p>
              </w:tc>
              <w:tc>
                <w:tcPr>
                  <w:tcW w:w="2247" w:type="pct"/>
                  <w:vAlign w:val="center"/>
                </w:tcPr>
                <w:p w14:paraId="3BA1FD09">
                  <w:pPr>
                    <w:autoSpaceDE w:val="0"/>
                    <w:autoSpaceDN w:val="0"/>
                    <w:jc w:val="center"/>
                    <w:rPr>
                      <w:color w:val="auto"/>
                      <w:szCs w:val="21"/>
                    </w:rPr>
                  </w:pPr>
                  <w:r>
                    <w:rPr>
                      <w:color w:val="auto"/>
                      <w:szCs w:val="21"/>
                    </w:rPr>
                    <w:t>3.4</w:t>
                  </w:r>
                </w:p>
              </w:tc>
            </w:tr>
            <w:tr w14:paraId="42F3B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379BF1A8">
                  <w:pPr>
                    <w:jc w:val="center"/>
                    <w:rPr>
                      <w:color w:val="auto"/>
                      <w:szCs w:val="21"/>
                    </w:rPr>
                  </w:pPr>
                  <w:r>
                    <w:rPr>
                      <w:color w:val="auto"/>
                      <w:szCs w:val="21"/>
                    </w:rPr>
                    <w:t>3</w:t>
                  </w:r>
                </w:p>
              </w:tc>
              <w:tc>
                <w:tcPr>
                  <w:tcW w:w="1766" w:type="pct"/>
                  <w:vAlign w:val="center"/>
                </w:tcPr>
                <w:p w14:paraId="74928063">
                  <w:pPr>
                    <w:jc w:val="center"/>
                    <w:rPr>
                      <w:color w:val="auto"/>
                      <w:szCs w:val="21"/>
                    </w:rPr>
                  </w:pPr>
                  <w:r>
                    <w:rPr>
                      <w:color w:val="auto"/>
                      <w:szCs w:val="21"/>
                    </w:rPr>
                    <w:t>砷</w:t>
                  </w:r>
                </w:p>
              </w:tc>
              <w:tc>
                <w:tcPr>
                  <w:tcW w:w="2247" w:type="pct"/>
                  <w:vAlign w:val="center"/>
                </w:tcPr>
                <w:p w14:paraId="3354454F">
                  <w:pPr>
                    <w:autoSpaceDE w:val="0"/>
                    <w:autoSpaceDN w:val="0"/>
                    <w:jc w:val="center"/>
                    <w:rPr>
                      <w:color w:val="auto"/>
                      <w:szCs w:val="21"/>
                    </w:rPr>
                  </w:pPr>
                  <w:r>
                    <w:rPr>
                      <w:color w:val="auto"/>
                      <w:szCs w:val="21"/>
                    </w:rPr>
                    <w:t>25</w:t>
                  </w:r>
                </w:p>
              </w:tc>
            </w:tr>
            <w:tr w14:paraId="39522F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1BE1A1FB">
                  <w:pPr>
                    <w:jc w:val="center"/>
                    <w:rPr>
                      <w:color w:val="auto"/>
                      <w:szCs w:val="21"/>
                    </w:rPr>
                  </w:pPr>
                  <w:r>
                    <w:rPr>
                      <w:color w:val="auto"/>
                      <w:szCs w:val="21"/>
                    </w:rPr>
                    <w:t>4</w:t>
                  </w:r>
                </w:p>
              </w:tc>
              <w:tc>
                <w:tcPr>
                  <w:tcW w:w="1766" w:type="pct"/>
                  <w:vAlign w:val="center"/>
                </w:tcPr>
                <w:p w14:paraId="3A0FD899">
                  <w:pPr>
                    <w:jc w:val="center"/>
                    <w:rPr>
                      <w:color w:val="auto"/>
                      <w:szCs w:val="21"/>
                    </w:rPr>
                  </w:pPr>
                  <w:r>
                    <w:rPr>
                      <w:color w:val="auto"/>
                      <w:szCs w:val="21"/>
                    </w:rPr>
                    <w:t>铅</w:t>
                  </w:r>
                </w:p>
              </w:tc>
              <w:tc>
                <w:tcPr>
                  <w:tcW w:w="2247" w:type="pct"/>
                  <w:vAlign w:val="center"/>
                </w:tcPr>
                <w:p w14:paraId="0CF54B30">
                  <w:pPr>
                    <w:autoSpaceDE w:val="0"/>
                    <w:autoSpaceDN w:val="0"/>
                    <w:jc w:val="center"/>
                    <w:rPr>
                      <w:color w:val="auto"/>
                      <w:szCs w:val="21"/>
                    </w:rPr>
                  </w:pPr>
                  <w:r>
                    <w:rPr>
                      <w:color w:val="auto"/>
                      <w:szCs w:val="21"/>
                    </w:rPr>
                    <w:t>170</w:t>
                  </w:r>
                </w:p>
              </w:tc>
            </w:tr>
            <w:tr w14:paraId="651A04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20F90582">
                  <w:pPr>
                    <w:jc w:val="center"/>
                    <w:rPr>
                      <w:color w:val="auto"/>
                      <w:szCs w:val="21"/>
                    </w:rPr>
                  </w:pPr>
                  <w:r>
                    <w:rPr>
                      <w:color w:val="auto"/>
                      <w:szCs w:val="21"/>
                    </w:rPr>
                    <w:t>5</w:t>
                  </w:r>
                </w:p>
              </w:tc>
              <w:tc>
                <w:tcPr>
                  <w:tcW w:w="1766" w:type="pct"/>
                  <w:vAlign w:val="center"/>
                </w:tcPr>
                <w:p w14:paraId="0C55088C">
                  <w:pPr>
                    <w:jc w:val="center"/>
                    <w:rPr>
                      <w:color w:val="auto"/>
                      <w:szCs w:val="21"/>
                    </w:rPr>
                  </w:pPr>
                  <w:r>
                    <w:rPr>
                      <w:color w:val="auto"/>
                      <w:szCs w:val="21"/>
                    </w:rPr>
                    <w:t>铬</w:t>
                  </w:r>
                </w:p>
              </w:tc>
              <w:tc>
                <w:tcPr>
                  <w:tcW w:w="2247" w:type="pct"/>
                  <w:vAlign w:val="center"/>
                </w:tcPr>
                <w:p w14:paraId="35359ECE">
                  <w:pPr>
                    <w:autoSpaceDE w:val="0"/>
                    <w:autoSpaceDN w:val="0"/>
                    <w:jc w:val="center"/>
                    <w:rPr>
                      <w:color w:val="auto"/>
                      <w:szCs w:val="21"/>
                    </w:rPr>
                  </w:pPr>
                  <w:r>
                    <w:rPr>
                      <w:color w:val="auto"/>
                      <w:szCs w:val="21"/>
                    </w:rPr>
                    <w:t>250</w:t>
                  </w:r>
                </w:p>
              </w:tc>
            </w:tr>
            <w:tr w14:paraId="73F6D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3223D20B">
                  <w:pPr>
                    <w:jc w:val="center"/>
                    <w:rPr>
                      <w:color w:val="auto"/>
                      <w:szCs w:val="21"/>
                    </w:rPr>
                  </w:pPr>
                  <w:r>
                    <w:rPr>
                      <w:color w:val="auto"/>
                      <w:szCs w:val="21"/>
                    </w:rPr>
                    <w:t>6</w:t>
                  </w:r>
                </w:p>
              </w:tc>
              <w:tc>
                <w:tcPr>
                  <w:tcW w:w="1766" w:type="pct"/>
                  <w:vAlign w:val="center"/>
                </w:tcPr>
                <w:p w14:paraId="233DC232">
                  <w:pPr>
                    <w:jc w:val="center"/>
                    <w:rPr>
                      <w:color w:val="auto"/>
                      <w:szCs w:val="21"/>
                    </w:rPr>
                  </w:pPr>
                  <w:r>
                    <w:rPr>
                      <w:color w:val="auto"/>
                      <w:szCs w:val="21"/>
                    </w:rPr>
                    <w:t>铜</w:t>
                  </w:r>
                </w:p>
              </w:tc>
              <w:tc>
                <w:tcPr>
                  <w:tcW w:w="2247" w:type="pct"/>
                  <w:vAlign w:val="center"/>
                </w:tcPr>
                <w:p w14:paraId="134FB59C">
                  <w:pPr>
                    <w:autoSpaceDE w:val="0"/>
                    <w:autoSpaceDN w:val="0"/>
                    <w:jc w:val="center"/>
                    <w:rPr>
                      <w:color w:val="auto"/>
                      <w:szCs w:val="21"/>
                    </w:rPr>
                  </w:pPr>
                  <w:r>
                    <w:rPr>
                      <w:color w:val="auto"/>
                      <w:szCs w:val="21"/>
                    </w:rPr>
                    <w:t>100</w:t>
                  </w:r>
                </w:p>
              </w:tc>
            </w:tr>
            <w:tr w14:paraId="074FE2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5F0B6819">
                  <w:pPr>
                    <w:jc w:val="center"/>
                    <w:rPr>
                      <w:color w:val="auto"/>
                      <w:szCs w:val="21"/>
                    </w:rPr>
                  </w:pPr>
                  <w:r>
                    <w:rPr>
                      <w:color w:val="auto"/>
                      <w:szCs w:val="21"/>
                    </w:rPr>
                    <w:t>7</w:t>
                  </w:r>
                </w:p>
              </w:tc>
              <w:tc>
                <w:tcPr>
                  <w:tcW w:w="1766" w:type="pct"/>
                  <w:vAlign w:val="center"/>
                </w:tcPr>
                <w:p w14:paraId="53A560EC">
                  <w:pPr>
                    <w:jc w:val="center"/>
                    <w:rPr>
                      <w:color w:val="auto"/>
                      <w:szCs w:val="21"/>
                    </w:rPr>
                  </w:pPr>
                  <w:r>
                    <w:rPr>
                      <w:color w:val="auto"/>
                      <w:szCs w:val="21"/>
                    </w:rPr>
                    <w:t>镍</w:t>
                  </w:r>
                </w:p>
              </w:tc>
              <w:tc>
                <w:tcPr>
                  <w:tcW w:w="2247" w:type="pct"/>
                  <w:vAlign w:val="center"/>
                </w:tcPr>
                <w:p w14:paraId="0A840F69">
                  <w:pPr>
                    <w:autoSpaceDE w:val="0"/>
                    <w:autoSpaceDN w:val="0"/>
                    <w:jc w:val="center"/>
                    <w:rPr>
                      <w:color w:val="auto"/>
                      <w:szCs w:val="21"/>
                    </w:rPr>
                  </w:pPr>
                  <w:r>
                    <w:rPr>
                      <w:color w:val="auto"/>
                      <w:szCs w:val="21"/>
                    </w:rPr>
                    <w:t>190</w:t>
                  </w:r>
                </w:p>
              </w:tc>
            </w:tr>
            <w:tr w14:paraId="20553F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86" w:type="pct"/>
                  <w:vAlign w:val="center"/>
                </w:tcPr>
                <w:p w14:paraId="1EA48036">
                  <w:pPr>
                    <w:jc w:val="center"/>
                    <w:rPr>
                      <w:color w:val="auto"/>
                      <w:szCs w:val="21"/>
                    </w:rPr>
                  </w:pPr>
                  <w:r>
                    <w:rPr>
                      <w:color w:val="auto"/>
                      <w:szCs w:val="21"/>
                    </w:rPr>
                    <w:t>8</w:t>
                  </w:r>
                </w:p>
              </w:tc>
              <w:tc>
                <w:tcPr>
                  <w:tcW w:w="1766" w:type="pct"/>
                  <w:vAlign w:val="center"/>
                </w:tcPr>
                <w:p w14:paraId="27D7635F">
                  <w:pPr>
                    <w:jc w:val="center"/>
                    <w:rPr>
                      <w:color w:val="auto"/>
                      <w:szCs w:val="21"/>
                    </w:rPr>
                  </w:pPr>
                  <w:r>
                    <w:rPr>
                      <w:color w:val="auto"/>
                      <w:szCs w:val="21"/>
                    </w:rPr>
                    <w:t>锌</w:t>
                  </w:r>
                </w:p>
              </w:tc>
              <w:tc>
                <w:tcPr>
                  <w:tcW w:w="2247" w:type="pct"/>
                  <w:vAlign w:val="center"/>
                </w:tcPr>
                <w:p w14:paraId="0D0BFF7E">
                  <w:pPr>
                    <w:autoSpaceDE w:val="0"/>
                    <w:autoSpaceDN w:val="0"/>
                    <w:jc w:val="center"/>
                    <w:rPr>
                      <w:color w:val="auto"/>
                      <w:szCs w:val="21"/>
                    </w:rPr>
                  </w:pPr>
                  <w:r>
                    <w:rPr>
                      <w:color w:val="auto"/>
                      <w:szCs w:val="21"/>
                    </w:rPr>
                    <w:t>300</w:t>
                  </w:r>
                </w:p>
              </w:tc>
            </w:tr>
          </w:tbl>
          <w:p w14:paraId="4BE7A419">
            <w:pPr>
              <w:spacing w:before="120" w:beforeLines="50" w:line="360" w:lineRule="auto"/>
              <w:ind w:firstLine="482" w:firstLineChars="200"/>
              <w:rPr>
                <w:rFonts w:hint="eastAsia" w:eastAsia="宋体"/>
                <w:b/>
                <w:color w:val="auto"/>
                <w:sz w:val="24"/>
                <w:lang w:eastAsia="zh-CN"/>
              </w:rPr>
            </w:pPr>
            <w:r>
              <w:rPr>
                <w:b/>
                <w:color w:val="auto"/>
                <w:sz w:val="24"/>
              </w:rPr>
              <w:t>（</w:t>
            </w:r>
            <w:r>
              <w:rPr>
                <w:rFonts w:hint="eastAsia"/>
                <w:b/>
                <w:color w:val="auto"/>
                <w:sz w:val="24"/>
                <w:lang w:eastAsia="zh-CN"/>
              </w:rPr>
              <w:t>五</w:t>
            </w:r>
            <w:r>
              <w:rPr>
                <w:b/>
                <w:color w:val="auto"/>
                <w:sz w:val="24"/>
              </w:rPr>
              <w:t>）</w:t>
            </w:r>
            <w:r>
              <w:rPr>
                <w:rFonts w:hint="eastAsia"/>
                <w:b/>
                <w:color w:val="auto"/>
                <w:sz w:val="24"/>
                <w:lang w:eastAsia="zh-CN"/>
              </w:rPr>
              <w:t>底泥</w:t>
            </w:r>
          </w:p>
          <w:p w14:paraId="3EE12347">
            <w:pPr>
              <w:spacing w:line="360" w:lineRule="auto"/>
              <w:ind w:firstLine="480" w:firstLineChars="200"/>
              <w:rPr>
                <w:color w:val="auto"/>
                <w:sz w:val="24"/>
              </w:rPr>
            </w:pPr>
            <w:r>
              <w:rPr>
                <w:color w:val="auto"/>
                <w:sz w:val="24"/>
              </w:rPr>
              <w:t>底泥重金属污染执行</w:t>
            </w:r>
            <w:r>
              <w:rPr>
                <w:color w:val="auto"/>
                <w:kern w:val="0"/>
                <w:sz w:val="24"/>
                <w:lang w:bidi="ar"/>
              </w:rPr>
              <w:t>《山东省底泥重金属污染状况评价技术指南》</w:t>
            </w:r>
            <w:r>
              <w:rPr>
                <w:rFonts w:hint="eastAsia"/>
                <w:color w:val="auto"/>
                <w:kern w:val="0"/>
                <w:sz w:val="24"/>
                <w:lang w:bidi="ar"/>
              </w:rPr>
              <w:t>(</w:t>
            </w:r>
            <w:r>
              <w:rPr>
                <w:color w:val="auto"/>
                <w:kern w:val="0"/>
                <w:sz w:val="24"/>
                <w:lang w:bidi="ar"/>
              </w:rPr>
              <w:t>DB37/T 4471-2021</w:t>
            </w:r>
            <w:r>
              <w:rPr>
                <w:rFonts w:hint="eastAsia"/>
                <w:color w:val="auto"/>
                <w:kern w:val="0"/>
                <w:sz w:val="24"/>
                <w:lang w:bidi="ar"/>
              </w:rPr>
              <w:t>)</w:t>
            </w:r>
            <w:r>
              <w:rPr>
                <w:color w:val="auto"/>
                <w:kern w:val="0"/>
                <w:sz w:val="24"/>
                <w:lang w:bidi="ar"/>
              </w:rPr>
              <w:t>中附录A底泥重金属单因子指数法评价筛选值标准值</w:t>
            </w:r>
            <w:r>
              <w:rPr>
                <w:color w:val="auto"/>
                <w:sz w:val="24"/>
              </w:rPr>
              <w:t>，见表3-</w:t>
            </w:r>
            <w:r>
              <w:rPr>
                <w:rFonts w:hint="eastAsia"/>
                <w:color w:val="auto"/>
                <w:sz w:val="24"/>
                <w:lang w:val="en-US" w:eastAsia="zh-CN"/>
              </w:rPr>
              <w:t>25</w:t>
            </w:r>
            <w:r>
              <w:rPr>
                <w:color w:val="auto"/>
                <w:sz w:val="24"/>
              </w:rPr>
              <w:t>。</w:t>
            </w:r>
          </w:p>
          <w:p w14:paraId="5E1325A5">
            <w:pPr>
              <w:spacing w:before="120" w:beforeLines="50"/>
              <w:jc w:val="center"/>
              <w:rPr>
                <w:b/>
                <w:color w:val="auto"/>
                <w:szCs w:val="21"/>
                <w:lang w:val="zh-CN"/>
              </w:rPr>
            </w:pPr>
            <w:r>
              <w:rPr>
                <w:b/>
                <w:color w:val="auto"/>
                <w:szCs w:val="21"/>
              </w:rPr>
              <w:t>表3-</w:t>
            </w:r>
            <w:r>
              <w:rPr>
                <w:rFonts w:hint="eastAsia"/>
                <w:b/>
                <w:color w:val="auto"/>
                <w:szCs w:val="21"/>
                <w:lang w:val="en-US" w:eastAsia="zh-CN"/>
              </w:rPr>
              <w:t>25</w:t>
            </w:r>
            <w:r>
              <w:rPr>
                <w:b/>
                <w:color w:val="auto"/>
                <w:szCs w:val="21"/>
              </w:rPr>
              <w:t xml:space="preserve">  底泥重金属单因子指数法评价标准值</w:t>
            </w:r>
          </w:p>
          <w:tbl>
            <w:tblPr>
              <w:tblStyle w:val="20"/>
              <w:tblW w:w="50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97"/>
              <w:gridCol w:w="2455"/>
              <w:gridCol w:w="2277"/>
              <w:gridCol w:w="2280"/>
            </w:tblGrid>
            <w:tr w14:paraId="68026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1F981664">
                  <w:pPr>
                    <w:jc w:val="center"/>
                    <w:rPr>
                      <w:b/>
                      <w:bCs/>
                      <w:color w:val="auto"/>
                      <w:szCs w:val="21"/>
                    </w:rPr>
                  </w:pPr>
                  <w:r>
                    <w:rPr>
                      <w:b/>
                      <w:bCs/>
                      <w:color w:val="auto"/>
                      <w:szCs w:val="21"/>
                    </w:rPr>
                    <w:t>序号</w:t>
                  </w:r>
                </w:p>
              </w:tc>
              <w:tc>
                <w:tcPr>
                  <w:tcW w:w="1477" w:type="pct"/>
                  <w:vAlign w:val="center"/>
                </w:tcPr>
                <w:p w14:paraId="289FBFF0">
                  <w:pPr>
                    <w:jc w:val="center"/>
                    <w:rPr>
                      <w:b/>
                      <w:bCs/>
                      <w:color w:val="auto"/>
                      <w:szCs w:val="21"/>
                    </w:rPr>
                  </w:pPr>
                  <w:r>
                    <w:rPr>
                      <w:b/>
                      <w:bCs/>
                      <w:color w:val="auto"/>
                      <w:szCs w:val="21"/>
                    </w:rPr>
                    <w:t>污染物</w:t>
                  </w:r>
                </w:p>
              </w:tc>
              <w:tc>
                <w:tcPr>
                  <w:tcW w:w="1370" w:type="pct"/>
                  <w:vAlign w:val="center"/>
                </w:tcPr>
                <w:p w14:paraId="13932A37">
                  <w:pPr>
                    <w:jc w:val="center"/>
                    <w:rPr>
                      <w:b/>
                      <w:bCs/>
                      <w:color w:val="auto"/>
                      <w:szCs w:val="21"/>
                    </w:rPr>
                  </w:pPr>
                  <w:r>
                    <w:rPr>
                      <w:b/>
                      <w:bCs/>
                      <w:snapToGrid w:val="0"/>
                      <w:color w:val="auto"/>
                      <w:kern w:val="0"/>
                      <w:szCs w:val="21"/>
                      <w:lang w:bidi="zh-CN"/>
                    </w:rPr>
                    <w:t>筛选值</w:t>
                  </w:r>
                  <w:r>
                    <w:rPr>
                      <w:rFonts w:hint="eastAsia"/>
                      <w:b/>
                      <w:bCs/>
                      <w:snapToGrid w:val="0"/>
                      <w:color w:val="auto"/>
                      <w:kern w:val="0"/>
                      <w:szCs w:val="21"/>
                      <w:lang w:val="en-US" w:bidi="zh-CN"/>
                    </w:rPr>
                    <w:t>(</w:t>
                  </w:r>
                  <w:r>
                    <w:rPr>
                      <w:b/>
                      <w:bCs/>
                      <w:color w:val="auto"/>
                      <w:sz w:val="24"/>
                    </w:rPr>
                    <w:t>mg/kg</w:t>
                  </w:r>
                  <w:r>
                    <w:rPr>
                      <w:rFonts w:hint="eastAsia"/>
                      <w:b/>
                      <w:bCs/>
                      <w:snapToGrid w:val="0"/>
                      <w:color w:val="auto"/>
                      <w:kern w:val="0"/>
                      <w:szCs w:val="21"/>
                      <w:lang w:val="en-US" w:bidi="zh-CN"/>
                    </w:rPr>
                    <w:t>)</w:t>
                  </w:r>
                </w:p>
              </w:tc>
              <w:tc>
                <w:tcPr>
                  <w:tcW w:w="1371" w:type="pct"/>
                  <w:vAlign w:val="center"/>
                </w:tcPr>
                <w:p w14:paraId="0FC73329">
                  <w:pPr>
                    <w:jc w:val="center"/>
                    <w:rPr>
                      <w:b/>
                      <w:bCs/>
                      <w:snapToGrid w:val="0"/>
                      <w:color w:val="auto"/>
                      <w:kern w:val="0"/>
                      <w:szCs w:val="21"/>
                      <w:lang w:bidi="zh-CN"/>
                    </w:rPr>
                  </w:pPr>
                  <w:r>
                    <w:rPr>
                      <w:b/>
                      <w:bCs/>
                      <w:snapToGrid w:val="0"/>
                      <w:color w:val="auto"/>
                      <w:kern w:val="0"/>
                      <w:szCs w:val="21"/>
                      <w:lang w:bidi="zh-CN"/>
                    </w:rPr>
                    <w:t>管控值</w:t>
                  </w:r>
                  <w:r>
                    <w:rPr>
                      <w:rFonts w:hint="eastAsia"/>
                      <w:b/>
                      <w:bCs/>
                      <w:snapToGrid w:val="0"/>
                      <w:color w:val="auto"/>
                      <w:kern w:val="0"/>
                      <w:szCs w:val="21"/>
                      <w:lang w:val="en-US" w:bidi="zh-CN"/>
                    </w:rPr>
                    <w:t>(</w:t>
                  </w:r>
                  <w:r>
                    <w:rPr>
                      <w:b/>
                      <w:bCs/>
                      <w:color w:val="auto"/>
                      <w:sz w:val="24"/>
                    </w:rPr>
                    <w:t>mg/kg</w:t>
                  </w:r>
                  <w:r>
                    <w:rPr>
                      <w:rFonts w:hint="eastAsia"/>
                      <w:b/>
                      <w:bCs/>
                      <w:snapToGrid w:val="0"/>
                      <w:color w:val="auto"/>
                      <w:kern w:val="0"/>
                      <w:szCs w:val="21"/>
                      <w:lang w:val="en-US" w:bidi="zh-CN"/>
                    </w:rPr>
                    <w:t>)</w:t>
                  </w:r>
                </w:p>
              </w:tc>
            </w:tr>
            <w:tr w14:paraId="1B8C1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3E6AAD2D">
                  <w:pPr>
                    <w:jc w:val="center"/>
                    <w:rPr>
                      <w:color w:val="auto"/>
                      <w:szCs w:val="21"/>
                    </w:rPr>
                  </w:pPr>
                  <w:r>
                    <w:rPr>
                      <w:color w:val="auto"/>
                      <w:szCs w:val="21"/>
                    </w:rPr>
                    <w:t>1</w:t>
                  </w:r>
                </w:p>
              </w:tc>
              <w:tc>
                <w:tcPr>
                  <w:tcW w:w="1477" w:type="pct"/>
                  <w:vAlign w:val="center"/>
                </w:tcPr>
                <w:p w14:paraId="1D826414">
                  <w:pPr>
                    <w:jc w:val="center"/>
                    <w:rPr>
                      <w:color w:val="auto"/>
                      <w:szCs w:val="21"/>
                    </w:rPr>
                  </w:pPr>
                  <w:r>
                    <w:rPr>
                      <w:color w:val="auto"/>
                      <w:szCs w:val="21"/>
                    </w:rPr>
                    <w:t>镉</w:t>
                  </w:r>
                </w:p>
              </w:tc>
              <w:tc>
                <w:tcPr>
                  <w:tcW w:w="1369" w:type="pct"/>
                  <w:vAlign w:val="center"/>
                </w:tcPr>
                <w:p w14:paraId="2E4606BE">
                  <w:pPr>
                    <w:jc w:val="center"/>
                    <w:rPr>
                      <w:color w:val="auto"/>
                      <w:szCs w:val="21"/>
                    </w:rPr>
                  </w:pPr>
                  <w:r>
                    <w:rPr>
                      <w:color w:val="auto"/>
                      <w:szCs w:val="21"/>
                    </w:rPr>
                    <w:t>0.6</w:t>
                  </w:r>
                </w:p>
              </w:tc>
              <w:tc>
                <w:tcPr>
                  <w:tcW w:w="1369" w:type="pct"/>
                  <w:vAlign w:val="center"/>
                </w:tcPr>
                <w:p w14:paraId="4F7D78B2">
                  <w:pPr>
                    <w:jc w:val="center"/>
                    <w:rPr>
                      <w:color w:val="auto"/>
                      <w:szCs w:val="21"/>
                    </w:rPr>
                  </w:pPr>
                  <w:r>
                    <w:rPr>
                      <w:color w:val="auto"/>
                      <w:szCs w:val="21"/>
                    </w:rPr>
                    <w:t>3.0</w:t>
                  </w:r>
                </w:p>
              </w:tc>
            </w:tr>
            <w:tr w14:paraId="0EC35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6969CD4F">
                  <w:pPr>
                    <w:jc w:val="center"/>
                    <w:rPr>
                      <w:color w:val="auto"/>
                      <w:szCs w:val="21"/>
                    </w:rPr>
                  </w:pPr>
                  <w:r>
                    <w:rPr>
                      <w:color w:val="auto"/>
                      <w:szCs w:val="21"/>
                    </w:rPr>
                    <w:t>2</w:t>
                  </w:r>
                </w:p>
              </w:tc>
              <w:tc>
                <w:tcPr>
                  <w:tcW w:w="1477" w:type="pct"/>
                  <w:vAlign w:val="center"/>
                </w:tcPr>
                <w:p w14:paraId="1AF641D1">
                  <w:pPr>
                    <w:jc w:val="center"/>
                    <w:rPr>
                      <w:color w:val="auto"/>
                      <w:szCs w:val="21"/>
                    </w:rPr>
                  </w:pPr>
                  <w:r>
                    <w:rPr>
                      <w:color w:val="auto"/>
                      <w:szCs w:val="21"/>
                    </w:rPr>
                    <w:t>汞</w:t>
                  </w:r>
                </w:p>
              </w:tc>
              <w:tc>
                <w:tcPr>
                  <w:tcW w:w="1369" w:type="pct"/>
                  <w:vAlign w:val="center"/>
                </w:tcPr>
                <w:p w14:paraId="7447BAE6">
                  <w:pPr>
                    <w:jc w:val="center"/>
                    <w:rPr>
                      <w:color w:val="auto"/>
                      <w:szCs w:val="21"/>
                    </w:rPr>
                  </w:pPr>
                  <w:r>
                    <w:rPr>
                      <w:color w:val="auto"/>
                      <w:szCs w:val="21"/>
                    </w:rPr>
                    <w:t>0.6</w:t>
                  </w:r>
                </w:p>
              </w:tc>
              <w:tc>
                <w:tcPr>
                  <w:tcW w:w="1369" w:type="pct"/>
                  <w:vAlign w:val="center"/>
                </w:tcPr>
                <w:p w14:paraId="7EDA10CC">
                  <w:pPr>
                    <w:jc w:val="center"/>
                    <w:rPr>
                      <w:color w:val="auto"/>
                      <w:szCs w:val="21"/>
                    </w:rPr>
                  </w:pPr>
                  <w:r>
                    <w:rPr>
                      <w:color w:val="auto"/>
                      <w:szCs w:val="21"/>
                    </w:rPr>
                    <w:t>4.0</w:t>
                  </w:r>
                </w:p>
              </w:tc>
            </w:tr>
            <w:tr w14:paraId="617E2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77D631DC">
                  <w:pPr>
                    <w:jc w:val="center"/>
                    <w:rPr>
                      <w:color w:val="auto"/>
                      <w:szCs w:val="21"/>
                    </w:rPr>
                  </w:pPr>
                  <w:r>
                    <w:rPr>
                      <w:color w:val="auto"/>
                      <w:szCs w:val="21"/>
                    </w:rPr>
                    <w:t>3</w:t>
                  </w:r>
                </w:p>
              </w:tc>
              <w:tc>
                <w:tcPr>
                  <w:tcW w:w="1477" w:type="pct"/>
                  <w:vAlign w:val="center"/>
                </w:tcPr>
                <w:p w14:paraId="6F43B935">
                  <w:pPr>
                    <w:jc w:val="center"/>
                    <w:rPr>
                      <w:color w:val="auto"/>
                      <w:szCs w:val="21"/>
                    </w:rPr>
                  </w:pPr>
                  <w:r>
                    <w:rPr>
                      <w:color w:val="auto"/>
                      <w:szCs w:val="21"/>
                    </w:rPr>
                    <w:t>砷</w:t>
                  </w:r>
                </w:p>
              </w:tc>
              <w:tc>
                <w:tcPr>
                  <w:tcW w:w="1369" w:type="pct"/>
                  <w:vAlign w:val="center"/>
                </w:tcPr>
                <w:p w14:paraId="142522DD">
                  <w:pPr>
                    <w:jc w:val="center"/>
                    <w:rPr>
                      <w:color w:val="auto"/>
                      <w:szCs w:val="21"/>
                    </w:rPr>
                  </w:pPr>
                  <w:r>
                    <w:rPr>
                      <w:color w:val="auto"/>
                      <w:szCs w:val="21"/>
                    </w:rPr>
                    <w:t>25</w:t>
                  </w:r>
                </w:p>
              </w:tc>
              <w:tc>
                <w:tcPr>
                  <w:tcW w:w="1369" w:type="pct"/>
                  <w:vAlign w:val="center"/>
                </w:tcPr>
                <w:p w14:paraId="6FB72E75">
                  <w:pPr>
                    <w:jc w:val="center"/>
                    <w:rPr>
                      <w:color w:val="auto"/>
                      <w:szCs w:val="21"/>
                    </w:rPr>
                  </w:pPr>
                  <w:r>
                    <w:rPr>
                      <w:color w:val="auto"/>
                      <w:szCs w:val="21"/>
                    </w:rPr>
                    <w:t>120</w:t>
                  </w:r>
                </w:p>
              </w:tc>
            </w:tr>
            <w:tr w14:paraId="64C07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3F58C432">
                  <w:pPr>
                    <w:jc w:val="center"/>
                    <w:rPr>
                      <w:color w:val="auto"/>
                      <w:szCs w:val="21"/>
                    </w:rPr>
                  </w:pPr>
                  <w:r>
                    <w:rPr>
                      <w:color w:val="auto"/>
                      <w:szCs w:val="21"/>
                    </w:rPr>
                    <w:t>4</w:t>
                  </w:r>
                </w:p>
              </w:tc>
              <w:tc>
                <w:tcPr>
                  <w:tcW w:w="1477" w:type="pct"/>
                  <w:vAlign w:val="center"/>
                </w:tcPr>
                <w:p w14:paraId="4B6B7573">
                  <w:pPr>
                    <w:jc w:val="center"/>
                    <w:rPr>
                      <w:color w:val="auto"/>
                      <w:szCs w:val="21"/>
                    </w:rPr>
                  </w:pPr>
                  <w:r>
                    <w:rPr>
                      <w:color w:val="auto"/>
                      <w:szCs w:val="21"/>
                    </w:rPr>
                    <w:t>铅</w:t>
                  </w:r>
                </w:p>
              </w:tc>
              <w:tc>
                <w:tcPr>
                  <w:tcW w:w="1369" w:type="pct"/>
                  <w:vAlign w:val="center"/>
                </w:tcPr>
                <w:p w14:paraId="74859AF6">
                  <w:pPr>
                    <w:jc w:val="center"/>
                    <w:rPr>
                      <w:color w:val="auto"/>
                      <w:szCs w:val="21"/>
                    </w:rPr>
                  </w:pPr>
                  <w:r>
                    <w:rPr>
                      <w:color w:val="auto"/>
                      <w:szCs w:val="21"/>
                    </w:rPr>
                    <w:t>140</w:t>
                  </w:r>
                </w:p>
              </w:tc>
              <w:tc>
                <w:tcPr>
                  <w:tcW w:w="1369" w:type="pct"/>
                  <w:vAlign w:val="center"/>
                </w:tcPr>
                <w:p w14:paraId="4496B592">
                  <w:pPr>
                    <w:jc w:val="center"/>
                    <w:rPr>
                      <w:color w:val="auto"/>
                      <w:szCs w:val="21"/>
                    </w:rPr>
                  </w:pPr>
                  <w:r>
                    <w:rPr>
                      <w:color w:val="auto"/>
                      <w:szCs w:val="21"/>
                    </w:rPr>
                    <w:t>700</w:t>
                  </w:r>
                </w:p>
              </w:tc>
            </w:tr>
            <w:tr w14:paraId="40ED7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45F8C872">
                  <w:pPr>
                    <w:jc w:val="center"/>
                    <w:rPr>
                      <w:color w:val="auto"/>
                      <w:szCs w:val="21"/>
                    </w:rPr>
                  </w:pPr>
                  <w:r>
                    <w:rPr>
                      <w:color w:val="auto"/>
                      <w:szCs w:val="21"/>
                    </w:rPr>
                    <w:t>5</w:t>
                  </w:r>
                </w:p>
              </w:tc>
              <w:tc>
                <w:tcPr>
                  <w:tcW w:w="1477" w:type="pct"/>
                  <w:vAlign w:val="center"/>
                </w:tcPr>
                <w:p w14:paraId="742EA317">
                  <w:pPr>
                    <w:jc w:val="center"/>
                    <w:rPr>
                      <w:color w:val="auto"/>
                      <w:szCs w:val="21"/>
                    </w:rPr>
                  </w:pPr>
                  <w:r>
                    <w:rPr>
                      <w:color w:val="auto"/>
                      <w:szCs w:val="21"/>
                    </w:rPr>
                    <w:t>铬</w:t>
                  </w:r>
                </w:p>
              </w:tc>
              <w:tc>
                <w:tcPr>
                  <w:tcW w:w="1369" w:type="pct"/>
                  <w:vAlign w:val="center"/>
                </w:tcPr>
                <w:p w14:paraId="3C3395DA">
                  <w:pPr>
                    <w:jc w:val="center"/>
                    <w:rPr>
                      <w:color w:val="auto"/>
                      <w:szCs w:val="21"/>
                    </w:rPr>
                  </w:pPr>
                  <w:r>
                    <w:rPr>
                      <w:color w:val="auto"/>
                      <w:szCs w:val="21"/>
                    </w:rPr>
                    <w:t>300</w:t>
                  </w:r>
                </w:p>
              </w:tc>
              <w:tc>
                <w:tcPr>
                  <w:tcW w:w="1369" w:type="pct"/>
                  <w:vAlign w:val="center"/>
                </w:tcPr>
                <w:p w14:paraId="2208A6A3">
                  <w:pPr>
                    <w:jc w:val="center"/>
                    <w:rPr>
                      <w:color w:val="auto"/>
                      <w:szCs w:val="21"/>
                    </w:rPr>
                  </w:pPr>
                  <w:r>
                    <w:rPr>
                      <w:color w:val="auto"/>
                      <w:szCs w:val="21"/>
                    </w:rPr>
                    <w:t>1000</w:t>
                  </w:r>
                </w:p>
              </w:tc>
            </w:tr>
            <w:tr w14:paraId="4CE59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711DDE10">
                  <w:pPr>
                    <w:jc w:val="center"/>
                    <w:rPr>
                      <w:color w:val="auto"/>
                      <w:szCs w:val="21"/>
                    </w:rPr>
                  </w:pPr>
                  <w:r>
                    <w:rPr>
                      <w:color w:val="auto"/>
                      <w:szCs w:val="21"/>
                    </w:rPr>
                    <w:t>6</w:t>
                  </w:r>
                </w:p>
              </w:tc>
              <w:tc>
                <w:tcPr>
                  <w:tcW w:w="1477" w:type="pct"/>
                  <w:vAlign w:val="center"/>
                </w:tcPr>
                <w:p w14:paraId="21DD0366">
                  <w:pPr>
                    <w:jc w:val="center"/>
                    <w:rPr>
                      <w:color w:val="auto"/>
                      <w:szCs w:val="21"/>
                    </w:rPr>
                  </w:pPr>
                  <w:r>
                    <w:rPr>
                      <w:color w:val="auto"/>
                      <w:szCs w:val="21"/>
                    </w:rPr>
                    <w:t>铜</w:t>
                  </w:r>
                </w:p>
              </w:tc>
              <w:tc>
                <w:tcPr>
                  <w:tcW w:w="1369" w:type="pct"/>
                  <w:vAlign w:val="center"/>
                </w:tcPr>
                <w:p w14:paraId="36D83600">
                  <w:pPr>
                    <w:jc w:val="center"/>
                    <w:rPr>
                      <w:color w:val="auto"/>
                      <w:szCs w:val="21"/>
                    </w:rPr>
                  </w:pPr>
                  <w:r>
                    <w:rPr>
                      <w:color w:val="auto"/>
                      <w:szCs w:val="21"/>
                    </w:rPr>
                    <w:t>100</w:t>
                  </w:r>
                </w:p>
              </w:tc>
              <w:tc>
                <w:tcPr>
                  <w:tcW w:w="1369" w:type="pct"/>
                  <w:vAlign w:val="center"/>
                </w:tcPr>
                <w:p w14:paraId="1F9C5E97">
                  <w:pPr>
                    <w:jc w:val="center"/>
                    <w:rPr>
                      <w:color w:val="auto"/>
                      <w:szCs w:val="21"/>
                    </w:rPr>
                  </w:pPr>
                  <w:r>
                    <w:rPr>
                      <w:color w:val="auto"/>
                      <w:szCs w:val="21"/>
                    </w:rPr>
                    <w:t>800</w:t>
                  </w:r>
                </w:p>
              </w:tc>
            </w:tr>
            <w:tr w14:paraId="73DB7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1DDFFA88">
                  <w:pPr>
                    <w:jc w:val="center"/>
                    <w:rPr>
                      <w:color w:val="auto"/>
                      <w:szCs w:val="21"/>
                    </w:rPr>
                  </w:pPr>
                  <w:r>
                    <w:rPr>
                      <w:color w:val="auto"/>
                      <w:szCs w:val="21"/>
                    </w:rPr>
                    <w:t>7</w:t>
                  </w:r>
                </w:p>
              </w:tc>
              <w:tc>
                <w:tcPr>
                  <w:tcW w:w="1477" w:type="pct"/>
                  <w:vAlign w:val="center"/>
                </w:tcPr>
                <w:p w14:paraId="349AF678">
                  <w:pPr>
                    <w:jc w:val="center"/>
                    <w:rPr>
                      <w:color w:val="auto"/>
                      <w:szCs w:val="21"/>
                    </w:rPr>
                  </w:pPr>
                  <w:r>
                    <w:rPr>
                      <w:color w:val="auto"/>
                      <w:szCs w:val="21"/>
                    </w:rPr>
                    <w:t>镍</w:t>
                  </w:r>
                </w:p>
              </w:tc>
              <w:tc>
                <w:tcPr>
                  <w:tcW w:w="1369" w:type="pct"/>
                  <w:vAlign w:val="center"/>
                </w:tcPr>
                <w:p w14:paraId="37EE22E0">
                  <w:pPr>
                    <w:jc w:val="center"/>
                    <w:rPr>
                      <w:color w:val="auto"/>
                      <w:szCs w:val="21"/>
                    </w:rPr>
                  </w:pPr>
                  <w:r>
                    <w:rPr>
                      <w:color w:val="auto"/>
                      <w:szCs w:val="21"/>
                    </w:rPr>
                    <w:t>100</w:t>
                  </w:r>
                </w:p>
              </w:tc>
              <w:tc>
                <w:tcPr>
                  <w:tcW w:w="1369" w:type="pct"/>
                  <w:vAlign w:val="center"/>
                </w:tcPr>
                <w:p w14:paraId="45BCB794">
                  <w:pPr>
                    <w:jc w:val="center"/>
                    <w:rPr>
                      <w:color w:val="auto"/>
                      <w:szCs w:val="21"/>
                    </w:rPr>
                  </w:pPr>
                  <w:r>
                    <w:rPr>
                      <w:color w:val="auto"/>
                      <w:szCs w:val="21"/>
                    </w:rPr>
                    <w:t>400</w:t>
                  </w:r>
                </w:p>
              </w:tc>
            </w:tr>
            <w:tr w14:paraId="27A36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780" w:type="pct"/>
                  <w:vAlign w:val="center"/>
                </w:tcPr>
                <w:p w14:paraId="459EB7F5">
                  <w:pPr>
                    <w:jc w:val="center"/>
                    <w:rPr>
                      <w:color w:val="auto"/>
                      <w:szCs w:val="21"/>
                    </w:rPr>
                  </w:pPr>
                  <w:r>
                    <w:rPr>
                      <w:color w:val="auto"/>
                      <w:szCs w:val="21"/>
                    </w:rPr>
                    <w:t>8</w:t>
                  </w:r>
                </w:p>
              </w:tc>
              <w:tc>
                <w:tcPr>
                  <w:tcW w:w="1477" w:type="pct"/>
                  <w:vAlign w:val="center"/>
                </w:tcPr>
                <w:p w14:paraId="750408D8">
                  <w:pPr>
                    <w:jc w:val="center"/>
                    <w:rPr>
                      <w:color w:val="auto"/>
                      <w:szCs w:val="21"/>
                    </w:rPr>
                  </w:pPr>
                  <w:r>
                    <w:rPr>
                      <w:color w:val="auto"/>
                      <w:szCs w:val="21"/>
                    </w:rPr>
                    <w:t>锌</w:t>
                  </w:r>
                </w:p>
              </w:tc>
              <w:tc>
                <w:tcPr>
                  <w:tcW w:w="1369" w:type="pct"/>
                  <w:vAlign w:val="center"/>
                </w:tcPr>
                <w:p w14:paraId="36D43451">
                  <w:pPr>
                    <w:jc w:val="center"/>
                    <w:rPr>
                      <w:color w:val="auto"/>
                      <w:szCs w:val="21"/>
                    </w:rPr>
                  </w:pPr>
                  <w:r>
                    <w:rPr>
                      <w:color w:val="auto"/>
                      <w:szCs w:val="21"/>
                    </w:rPr>
                    <w:t>250</w:t>
                  </w:r>
                </w:p>
              </w:tc>
              <w:tc>
                <w:tcPr>
                  <w:tcW w:w="1369" w:type="pct"/>
                  <w:vAlign w:val="center"/>
                </w:tcPr>
                <w:p w14:paraId="05E7C5FF">
                  <w:pPr>
                    <w:jc w:val="center"/>
                    <w:rPr>
                      <w:color w:val="auto"/>
                      <w:szCs w:val="21"/>
                    </w:rPr>
                  </w:pPr>
                  <w:r>
                    <w:rPr>
                      <w:color w:val="auto"/>
                      <w:szCs w:val="21"/>
                    </w:rPr>
                    <w:t>1000</w:t>
                  </w:r>
                </w:p>
              </w:tc>
            </w:tr>
            <w:tr w14:paraId="463BB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997" w:type="pct"/>
                  <w:gridSpan w:val="4"/>
                  <w:vAlign w:val="center"/>
                </w:tcPr>
                <w:p w14:paraId="43D10F10">
                  <w:pPr>
                    <w:jc w:val="left"/>
                    <w:rPr>
                      <w:color w:val="auto"/>
                      <w:szCs w:val="21"/>
                    </w:rPr>
                  </w:pPr>
                  <w:r>
                    <w:rPr>
                      <w:color w:val="auto"/>
                      <w:szCs w:val="21"/>
                    </w:rPr>
                    <w:t>注：超过管制值的判定其为重度污染，超过筛选值但等于或低于管制值的判定其为轻中度污染，等于或低于筛选值的判定其为良好</w:t>
                  </w:r>
                </w:p>
              </w:tc>
            </w:tr>
          </w:tbl>
          <w:p w14:paraId="0169F4C5">
            <w:pPr>
              <w:keepNext/>
              <w:keepLines/>
              <w:spacing w:before="120" w:beforeLines="50" w:line="360" w:lineRule="auto"/>
              <w:ind w:firstLine="482" w:firstLineChars="200"/>
              <w:textAlignment w:val="baseline"/>
              <w:rPr>
                <w:b/>
                <w:bCs/>
                <w:color w:val="auto"/>
                <w:sz w:val="24"/>
              </w:rPr>
            </w:pPr>
            <w:r>
              <w:rPr>
                <w:b/>
                <w:bCs/>
                <w:color w:val="auto"/>
                <w:sz w:val="24"/>
              </w:rPr>
              <w:t>二、污染物排放标准</w:t>
            </w:r>
            <w:bookmarkEnd w:id="4"/>
            <w:bookmarkEnd w:id="5"/>
            <w:bookmarkEnd w:id="6"/>
          </w:p>
          <w:p w14:paraId="58DFD8D8">
            <w:pPr>
              <w:widowControl/>
              <w:spacing w:line="360" w:lineRule="auto"/>
              <w:ind w:firstLine="482" w:firstLineChars="200"/>
              <w:rPr>
                <w:b/>
                <w:bCs/>
                <w:color w:val="auto"/>
                <w:sz w:val="24"/>
              </w:rPr>
            </w:pPr>
            <w:r>
              <w:rPr>
                <w:b/>
                <w:bCs/>
                <w:color w:val="auto"/>
                <w:kern w:val="0"/>
                <w:sz w:val="24"/>
                <w:lang w:bidi="ar"/>
              </w:rPr>
              <w:t>（一）废气排放标准</w:t>
            </w:r>
          </w:p>
          <w:p w14:paraId="1E8EC7EA">
            <w:pPr>
              <w:widowControl/>
              <w:spacing w:line="360" w:lineRule="auto"/>
              <w:ind w:firstLine="480" w:firstLineChars="200"/>
              <w:rPr>
                <w:rFonts w:hint="eastAsia" w:eastAsia="宋体"/>
                <w:color w:val="auto"/>
                <w:lang w:eastAsia="zh-CN"/>
              </w:rPr>
            </w:pPr>
            <w:r>
              <w:rPr>
                <w:color w:val="auto"/>
                <w:kern w:val="0"/>
                <w:sz w:val="24"/>
                <w:lang w:bidi="ar"/>
              </w:rPr>
              <w:t>本项目施工期大气污染物排放执行《大气污染物综合排放标准》（GB16297-1996）表2中无组织排放监控浓度限值，标准限值见下表</w:t>
            </w:r>
            <w:r>
              <w:rPr>
                <w:rFonts w:hint="eastAsia"/>
                <w:color w:val="auto"/>
                <w:kern w:val="0"/>
                <w:sz w:val="24"/>
                <w:lang w:eastAsia="zh-CN" w:bidi="ar"/>
              </w:rPr>
              <w:t>。</w:t>
            </w:r>
          </w:p>
          <w:p w14:paraId="66981B18">
            <w:pPr>
              <w:adjustRightInd w:val="0"/>
              <w:snapToGrid w:val="0"/>
              <w:ind w:firstLine="422" w:firstLineChars="200"/>
              <w:jc w:val="center"/>
              <w:rPr>
                <w:b/>
                <w:color w:val="auto"/>
                <w:szCs w:val="21"/>
              </w:rPr>
            </w:pPr>
            <w:r>
              <w:rPr>
                <w:b/>
                <w:color w:val="auto"/>
                <w:szCs w:val="21"/>
              </w:rPr>
              <w:t>表3-</w:t>
            </w:r>
            <w:r>
              <w:rPr>
                <w:rFonts w:hint="eastAsia"/>
                <w:b/>
                <w:color w:val="auto"/>
                <w:szCs w:val="21"/>
                <w:lang w:val="en-US" w:eastAsia="zh-CN"/>
              </w:rPr>
              <w:t>26</w:t>
            </w:r>
            <w:r>
              <w:rPr>
                <w:b/>
                <w:color w:val="auto"/>
                <w:szCs w:val="21"/>
              </w:rPr>
              <w:t xml:space="preserve">  《大气污染物综合排放标准》（GB16297-1996）</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28" w:type="dxa"/>
                <w:bottom w:w="0" w:type="dxa"/>
                <w:right w:w="28" w:type="dxa"/>
              </w:tblCellMar>
            </w:tblPr>
            <w:tblGrid>
              <w:gridCol w:w="2515"/>
              <w:gridCol w:w="5694"/>
            </w:tblGrid>
            <w:tr w14:paraId="35A6F8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1532" w:type="pct"/>
                  <w:vAlign w:val="center"/>
                </w:tcPr>
                <w:p w14:paraId="745465AC">
                  <w:pPr>
                    <w:pStyle w:val="36"/>
                    <w:adjustRightInd/>
                    <w:spacing w:line="240" w:lineRule="auto"/>
                    <w:rPr>
                      <w:bCs/>
                      <w:color w:val="auto"/>
                      <w:sz w:val="21"/>
                    </w:rPr>
                  </w:pPr>
                  <w:r>
                    <w:rPr>
                      <w:bCs/>
                      <w:color w:val="auto"/>
                      <w:sz w:val="21"/>
                    </w:rPr>
                    <w:t>污染物</w:t>
                  </w:r>
                </w:p>
              </w:tc>
              <w:tc>
                <w:tcPr>
                  <w:tcW w:w="3467" w:type="pct"/>
                  <w:vAlign w:val="center"/>
                </w:tcPr>
                <w:p w14:paraId="64CD5E49">
                  <w:pPr>
                    <w:pStyle w:val="36"/>
                    <w:adjustRightInd/>
                    <w:spacing w:line="240" w:lineRule="auto"/>
                    <w:rPr>
                      <w:bCs/>
                      <w:color w:val="auto"/>
                      <w:sz w:val="21"/>
                    </w:rPr>
                  </w:pPr>
                  <w:r>
                    <w:rPr>
                      <w:bCs/>
                      <w:color w:val="auto"/>
                      <w:sz w:val="21"/>
                    </w:rPr>
                    <w:t>无组织排放监控浓度限值</w:t>
                  </w:r>
                </w:p>
              </w:tc>
            </w:tr>
            <w:tr w14:paraId="1E3DA3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1532" w:type="pct"/>
                  <w:vAlign w:val="center"/>
                </w:tcPr>
                <w:p w14:paraId="61963D20">
                  <w:pPr>
                    <w:pStyle w:val="36"/>
                    <w:adjustRightInd/>
                    <w:spacing w:line="240" w:lineRule="auto"/>
                    <w:rPr>
                      <w:bCs/>
                      <w:color w:val="auto"/>
                      <w:sz w:val="21"/>
                    </w:rPr>
                  </w:pPr>
                  <w:r>
                    <w:rPr>
                      <w:bCs/>
                      <w:color w:val="auto"/>
                      <w:sz w:val="21"/>
                    </w:rPr>
                    <w:t>颗粒物</w:t>
                  </w:r>
                </w:p>
              </w:tc>
              <w:tc>
                <w:tcPr>
                  <w:tcW w:w="3467" w:type="pct"/>
                  <w:vAlign w:val="center"/>
                </w:tcPr>
                <w:p w14:paraId="5BB3DD4C">
                  <w:pPr>
                    <w:pStyle w:val="36"/>
                    <w:adjustRightInd/>
                    <w:spacing w:line="240" w:lineRule="auto"/>
                    <w:rPr>
                      <w:bCs/>
                      <w:color w:val="auto"/>
                      <w:sz w:val="21"/>
                    </w:rPr>
                  </w:pPr>
                  <w:r>
                    <w:rPr>
                      <w:bCs/>
                      <w:color w:val="auto"/>
                      <w:sz w:val="21"/>
                    </w:rPr>
                    <w:t>1.0mg/m</w:t>
                  </w:r>
                  <w:r>
                    <w:rPr>
                      <w:bCs/>
                      <w:color w:val="auto"/>
                      <w:sz w:val="21"/>
                      <w:vertAlign w:val="superscript"/>
                    </w:rPr>
                    <w:t>3</w:t>
                  </w:r>
                </w:p>
              </w:tc>
            </w:tr>
          </w:tbl>
          <w:p w14:paraId="3DAE69A9">
            <w:pPr>
              <w:adjustRightInd w:val="0"/>
              <w:snapToGrid w:val="0"/>
              <w:spacing w:line="360" w:lineRule="auto"/>
              <w:ind w:firstLine="480" w:firstLineChars="200"/>
              <w:jc w:val="left"/>
              <w:rPr>
                <w:color w:val="auto"/>
                <w:kern w:val="0"/>
                <w:sz w:val="24"/>
                <w:lang w:bidi="ar"/>
              </w:rPr>
            </w:pPr>
            <w:r>
              <w:rPr>
                <w:color w:val="auto"/>
                <w:kern w:val="0"/>
                <w:sz w:val="24"/>
                <w:lang w:bidi="ar"/>
              </w:rPr>
              <w:t>施工期臭气浓度、氨、硫化氢排放执行《恶臭污染物排放标准》（GB14554-93）表1中二级标准具体标准，标准限值见下表。</w:t>
            </w:r>
          </w:p>
          <w:p w14:paraId="67184412">
            <w:pPr>
              <w:adjustRightInd w:val="0"/>
              <w:snapToGrid w:val="0"/>
              <w:ind w:firstLine="422" w:firstLineChars="200"/>
              <w:jc w:val="center"/>
              <w:rPr>
                <w:b/>
                <w:color w:val="auto"/>
                <w:szCs w:val="21"/>
              </w:rPr>
            </w:pPr>
            <w:r>
              <w:rPr>
                <w:b/>
                <w:color w:val="auto"/>
                <w:szCs w:val="21"/>
              </w:rPr>
              <w:t>表3-</w:t>
            </w:r>
            <w:r>
              <w:rPr>
                <w:rFonts w:hint="eastAsia"/>
                <w:b/>
                <w:color w:val="auto"/>
                <w:szCs w:val="21"/>
                <w:lang w:val="en-US" w:eastAsia="zh-CN"/>
              </w:rPr>
              <w:t>27</w:t>
            </w:r>
            <w:r>
              <w:rPr>
                <w:b/>
                <w:color w:val="auto"/>
                <w:szCs w:val="21"/>
              </w:rPr>
              <w:t xml:space="preserve">  《恶臭污染物排放标准》（GB14554-93）</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28" w:type="dxa"/>
                <w:bottom w:w="0" w:type="dxa"/>
                <w:right w:w="28" w:type="dxa"/>
              </w:tblCellMar>
            </w:tblPr>
            <w:tblGrid>
              <w:gridCol w:w="2515"/>
              <w:gridCol w:w="5694"/>
            </w:tblGrid>
            <w:tr w14:paraId="020280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1532" w:type="pct"/>
                  <w:vAlign w:val="center"/>
                </w:tcPr>
                <w:p w14:paraId="28F851EA">
                  <w:pPr>
                    <w:pStyle w:val="36"/>
                    <w:adjustRightInd/>
                    <w:spacing w:line="240" w:lineRule="auto"/>
                    <w:rPr>
                      <w:bCs/>
                      <w:color w:val="auto"/>
                      <w:sz w:val="21"/>
                    </w:rPr>
                  </w:pPr>
                  <w:r>
                    <w:rPr>
                      <w:bCs/>
                      <w:color w:val="auto"/>
                      <w:sz w:val="21"/>
                    </w:rPr>
                    <w:t>污染物</w:t>
                  </w:r>
                </w:p>
              </w:tc>
              <w:tc>
                <w:tcPr>
                  <w:tcW w:w="3467" w:type="pct"/>
                  <w:vAlign w:val="center"/>
                </w:tcPr>
                <w:p w14:paraId="596B3CA6">
                  <w:pPr>
                    <w:pStyle w:val="36"/>
                    <w:adjustRightInd/>
                    <w:spacing w:line="240" w:lineRule="auto"/>
                    <w:rPr>
                      <w:bCs/>
                      <w:color w:val="auto"/>
                      <w:sz w:val="21"/>
                    </w:rPr>
                  </w:pPr>
                  <w:r>
                    <w:rPr>
                      <w:bCs/>
                      <w:color w:val="auto"/>
                      <w:sz w:val="21"/>
                    </w:rPr>
                    <w:t>无组织排放监控浓度限值</w:t>
                  </w:r>
                </w:p>
              </w:tc>
            </w:tr>
            <w:tr w14:paraId="2ADE09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2636" w:type="dxa"/>
                  <w:vAlign w:val="center"/>
                </w:tcPr>
                <w:p w14:paraId="350694F1">
                  <w:pPr>
                    <w:adjustRightInd w:val="0"/>
                    <w:snapToGrid w:val="0"/>
                    <w:jc w:val="center"/>
                    <w:rPr>
                      <w:bCs/>
                      <w:color w:val="auto"/>
                      <w:szCs w:val="21"/>
                    </w:rPr>
                  </w:pPr>
                  <w:r>
                    <w:rPr>
                      <w:color w:val="auto"/>
                      <w:szCs w:val="21"/>
                    </w:rPr>
                    <w:t>臭气浓度</w:t>
                  </w:r>
                </w:p>
              </w:tc>
              <w:tc>
                <w:tcPr>
                  <w:tcW w:w="5965" w:type="dxa"/>
                  <w:vAlign w:val="center"/>
                </w:tcPr>
                <w:p w14:paraId="588CC13C">
                  <w:pPr>
                    <w:adjustRightInd w:val="0"/>
                    <w:snapToGrid w:val="0"/>
                    <w:jc w:val="center"/>
                    <w:rPr>
                      <w:bCs/>
                      <w:color w:val="auto"/>
                      <w:szCs w:val="21"/>
                    </w:rPr>
                  </w:pPr>
                  <w:r>
                    <w:rPr>
                      <w:color w:val="auto"/>
                      <w:szCs w:val="21"/>
                    </w:rPr>
                    <w:t>20（无量纲）</w:t>
                  </w:r>
                </w:p>
              </w:tc>
            </w:tr>
            <w:tr w14:paraId="02A454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2636" w:type="dxa"/>
                  <w:vAlign w:val="center"/>
                </w:tcPr>
                <w:p w14:paraId="232F3E29">
                  <w:pPr>
                    <w:adjustRightInd w:val="0"/>
                    <w:snapToGrid w:val="0"/>
                    <w:jc w:val="center"/>
                    <w:rPr>
                      <w:bCs/>
                      <w:color w:val="auto"/>
                      <w:szCs w:val="21"/>
                    </w:rPr>
                  </w:pPr>
                  <w:r>
                    <w:rPr>
                      <w:color w:val="auto"/>
                      <w:szCs w:val="21"/>
                    </w:rPr>
                    <w:t>硫化氢</w:t>
                  </w:r>
                </w:p>
              </w:tc>
              <w:tc>
                <w:tcPr>
                  <w:tcW w:w="5965" w:type="dxa"/>
                  <w:vAlign w:val="center"/>
                </w:tcPr>
                <w:p w14:paraId="667070CD">
                  <w:pPr>
                    <w:adjustRightInd w:val="0"/>
                    <w:snapToGrid w:val="0"/>
                    <w:jc w:val="center"/>
                    <w:rPr>
                      <w:bCs/>
                      <w:color w:val="auto"/>
                      <w:szCs w:val="21"/>
                    </w:rPr>
                  </w:pPr>
                  <w:r>
                    <w:rPr>
                      <w:color w:val="auto"/>
                      <w:szCs w:val="21"/>
                    </w:rPr>
                    <w:t>0.10</w:t>
                  </w:r>
                  <w:r>
                    <w:rPr>
                      <w:bCs/>
                      <w:color w:val="auto"/>
                      <w:szCs w:val="21"/>
                    </w:rPr>
                    <w:t>mg/m</w:t>
                  </w:r>
                  <w:r>
                    <w:rPr>
                      <w:bCs/>
                      <w:color w:val="auto"/>
                      <w:szCs w:val="21"/>
                      <w:vertAlign w:val="superscript"/>
                    </w:rPr>
                    <w:t>3</w:t>
                  </w:r>
                </w:p>
              </w:tc>
            </w:tr>
            <w:tr w14:paraId="39F89F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54" w:hRule="atLeast"/>
                <w:jc w:val="center"/>
              </w:trPr>
              <w:tc>
                <w:tcPr>
                  <w:tcW w:w="2636" w:type="dxa"/>
                  <w:vAlign w:val="center"/>
                </w:tcPr>
                <w:p w14:paraId="75458990">
                  <w:pPr>
                    <w:adjustRightInd w:val="0"/>
                    <w:snapToGrid w:val="0"/>
                    <w:jc w:val="center"/>
                    <w:rPr>
                      <w:bCs/>
                      <w:color w:val="auto"/>
                      <w:szCs w:val="21"/>
                    </w:rPr>
                  </w:pPr>
                  <w:r>
                    <w:rPr>
                      <w:color w:val="auto"/>
                      <w:szCs w:val="21"/>
                    </w:rPr>
                    <w:t>氨</w:t>
                  </w:r>
                </w:p>
              </w:tc>
              <w:tc>
                <w:tcPr>
                  <w:tcW w:w="5965" w:type="dxa"/>
                  <w:vAlign w:val="center"/>
                </w:tcPr>
                <w:p w14:paraId="07BB5D58">
                  <w:pPr>
                    <w:adjustRightInd w:val="0"/>
                    <w:snapToGrid w:val="0"/>
                    <w:jc w:val="center"/>
                    <w:rPr>
                      <w:bCs/>
                      <w:color w:val="auto"/>
                      <w:szCs w:val="21"/>
                    </w:rPr>
                  </w:pPr>
                  <w:r>
                    <w:rPr>
                      <w:color w:val="auto"/>
                      <w:szCs w:val="21"/>
                    </w:rPr>
                    <w:t>2.0</w:t>
                  </w:r>
                  <w:r>
                    <w:rPr>
                      <w:bCs/>
                      <w:color w:val="auto"/>
                      <w:szCs w:val="21"/>
                    </w:rPr>
                    <w:t>mg/m</w:t>
                  </w:r>
                  <w:r>
                    <w:rPr>
                      <w:bCs/>
                      <w:color w:val="auto"/>
                      <w:szCs w:val="21"/>
                      <w:vertAlign w:val="superscript"/>
                    </w:rPr>
                    <w:t>3</w:t>
                  </w:r>
                </w:p>
              </w:tc>
            </w:tr>
          </w:tbl>
          <w:p w14:paraId="11FCBA1C">
            <w:pPr>
              <w:numPr>
                <w:ilvl w:val="0"/>
                <w:numId w:val="8"/>
              </w:numPr>
              <w:spacing w:before="120" w:beforeLines="50" w:line="360" w:lineRule="auto"/>
              <w:ind w:firstLine="482" w:firstLineChars="200"/>
              <w:rPr>
                <w:b/>
                <w:bCs/>
                <w:snapToGrid w:val="0"/>
                <w:color w:val="auto"/>
                <w:kern w:val="0"/>
                <w:sz w:val="24"/>
              </w:rPr>
            </w:pPr>
            <w:r>
              <w:rPr>
                <w:rFonts w:hint="eastAsia"/>
                <w:b/>
                <w:bCs/>
                <w:snapToGrid w:val="0"/>
                <w:color w:val="auto"/>
                <w:kern w:val="0"/>
                <w:sz w:val="24"/>
              </w:rPr>
              <w:t>废水</w:t>
            </w:r>
          </w:p>
          <w:p w14:paraId="7A024E0E">
            <w:pPr>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eastAsia"/>
                <w:color w:val="auto"/>
                <w:kern w:val="0"/>
                <w:sz w:val="24"/>
                <w:lang w:bidi="ar"/>
              </w:rPr>
              <w:t>本项目施工期生活污水定期由当地居民清运肥田，不外排；混凝土养护废水</w:t>
            </w:r>
            <w:r>
              <w:rPr>
                <w:rFonts w:hint="eastAsia"/>
                <w:color w:val="auto"/>
                <w:kern w:val="0"/>
                <w:sz w:val="24"/>
                <w:highlight w:val="none"/>
                <w:lang w:bidi="ar"/>
              </w:rPr>
              <w:t>经</w:t>
            </w:r>
            <w:r>
              <w:rPr>
                <w:rFonts w:hint="eastAsia"/>
                <w:color w:val="auto"/>
                <w:kern w:val="0"/>
                <w:sz w:val="24"/>
                <w:highlight w:val="none"/>
                <w:lang w:eastAsia="zh-CN" w:bidi="ar"/>
              </w:rPr>
              <w:t>沉淀池</w:t>
            </w:r>
            <w:r>
              <w:rPr>
                <w:rFonts w:hint="eastAsia"/>
                <w:color w:val="auto"/>
                <w:kern w:val="0"/>
                <w:sz w:val="24"/>
                <w:highlight w:val="none"/>
                <w:lang w:bidi="ar"/>
              </w:rPr>
              <w:t>处理后回用于地面洒水降尘，</w:t>
            </w:r>
            <w:r>
              <w:rPr>
                <w:rFonts w:hint="eastAsia"/>
                <w:color w:val="auto"/>
                <w:kern w:val="0"/>
                <w:sz w:val="24"/>
                <w:lang w:bidi="ar"/>
              </w:rPr>
              <w:t>不外排</w:t>
            </w:r>
            <w:r>
              <w:rPr>
                <w:rFonts w:hint="eastAsia"/>
                <w:color w:val="auto"/>
                <w:kern w:val="0"/>
                <w:sz w:val="24"/>
                <w:lang w:eastAsia="zh-CN" w:bidi="ar"/>
              </w:rPr>
              <w:t>；</w:t>
            </w:r>
            <w:r>
              <w:rPr>
                <w:rFonts w:hint="eastAsia" w:cs="Times New Roman"/>
                <w:b w:val="0"/>
                <w:bCs w:val="0"/>
                <w:color w:val="auto"/>
                <w:sz w:val="24"/>
                <w:szCs w:val="24"/>
                <w:highlight w:val="none"/>
                <w:lang w:val="en-US" w:eastAsia="zh-CN"/>
              </w:rPr>
              <w:t>设备冲洗、车辆冲洗废水</w:t>
            </w:r>
            <w:r>
              <w:rPr>
                <w:color w:val="auto"/>
                <w:sz w:val="24"/>
              </w:rPr>
              <w:t>经隔油池处理后的废水可循环使用于施工机械</w:t>
            </w:r>
            <w:r>
              <w:rPr>
                <w:rFonts w:hint="eastAsia"/>
                <w:color w:val="auto"/>
                <w:sz w:val="24"/>
                <w:lang w:eastAsia="zh-CN"/>
              </w:rPr>
              <w:t>及车辆</w:t>
            </w:r>
            <w:r>
              <w:rPr>
                <w:color w:val="auto"/>
                <w:sz w:val="24"/>
              </w:rPr>
              <w:t>清洗，多余部分作为施工场地防尘用水，不排放。</w:t>
            </w:r>
          </w:p>
          <w:p w14:paraId="6DA7E5BB">
            <w:pPr>
              <w:spacing w:before="120" w:beforeLines="50" w:line="360" w:lineRule="auto"/>
              <w:ind w:firstLine="482" w:firstLineChars="200"/>
              <w:rPr>
                <w:b/>
                <w:bCs/>
                <w:snapToGrid w:val="0"/>
                <w:color w:val="auto"/>
                <w:kern w:val="0"/>
                <w:sz w:val="24"/>
              </w:rPr>
            </w:pPr>
            <w:r>
              <w:rPr>
                <w:rFonts w:hint="eastAsia"/>
                <w:b/>
                <w:bCs/>
                <w:snapToGrid w:val="0"/>
                <w:color w:val="auto"/>
                <w:kern w:val="0"/>
                <w:sz w:val="24"/>
              </w:rPr>
              <w:t>（三）</w:t>
            </w:r>
            <w:r>
              <w:rPr>
                <w:b/>
                <w:bCs/>
                <w:snapToGrid w:val="0"/>
                <w:color w:val="auto"/>
                <w:kern w:val="0"/>
                <w:sz w:val="24"/>
              </w:rPr>
              <w:t>噪声排放标准</w:t>
            </w:r>
          </w:p>
          <w:p w14:paraId="5D253616">
            <w:pPr>
              <w:widowControl/>
              <w:spacing w:line="360" w:lineRule="auto"/>
              <w:ind w:firstLine="480" w:firstLineChars="200"/>
              <w:rPr>
                <w:color w:val="auto"/>
                <w:sz w:val="24"/>
              </w:rPr>
            </w:pPr>
            <w:r>
              <w:rPr>
                <w:color w:val="auto"/>
                <w:kern w:val="0"/>
                <w:sz w:val="24"/>
                <w:lang w:bidi="ar"/>
              </w:rPr>
              <w:t>项目施工期场界噪声执行《建筑施工噪声排放标准》（GB12523-20</w:t>
            </w:r>
            <w:r>
              <w:rPr>
                <w:rFonts w:hint="eastAsia"/>
                <w:color w:val="auto"/>
                <w:kern w:val="0"/>
                <w:sz w:val="24"/>
                <w:lang w:bidi="ar"/>
              </w:rPr>
              <w:t>25</w:t>
            </w:r>
            <w:r>
              <w:rPr>
                <w:color w:val="auto"/>
                <w:kern w:val="0"/>
                <w:sz w:val="24"/>
                <w:lang w:bidi="ar"/>
              </w:rPr>
              <w:t>）标准（昼间≤70dB（A），夜间≤55dB（A））；</w:t>
            </w:r>
            <w:r>
              <w:rPr>
                <w:bCs/>
                <w:color w:val="auto"/>
                <w:sz w:val="24"/>
              </w:rPr>
              <w:t>运营期无噪声产生</w:t>
            </w:r>
            <w:r>
              <w:rPr>
                <w:color w:val="auto"/>
                <w:kern w:val="0"/>
                <w:sz w:val="24"/>
                <w:lang w:bidi="ar"/>
              </w:rPr>
              <w:t>。</w:t>
            </w:r>
          </w:p>
          <w:p w14:paraId="7798CD45">
            <w:pPr>
              <w:spacing w:line="360" w:lineRule="auto"/>
              <w:ind w:firstLine="482" w:firstLineChars="200"/>
              <w:rPr>
                <w:b/>
                <w:bCs/>
                <w:snapToGrid w:val="0"/>
                <w:color w:val="auto"/>
                <w:kern w:val="0"/>
                <w:sz w:val="24"/>
              </w:rPr>
            </w:pPr>
            <w:r>
              <w:rPr>
                <w:b/>
                <w:bCs/>
                <w:snapToGrid w:val="0"/>
                <w:color w:val="auto"/>
                <w:kern w:val="0"/>
                <w:sz w:val="24"/>
              </w:rPr>
              <w:t>（三）固废排放标准</w:t>
            </w:r>
          </w:p>
          <w:p w14:paraId="3C07C3C2">
            <w:pPr>
              <w:widowControl/>
              <w:spacing w:line="360" w:lineRule="auto"/>
              <w:ind w:firstLine="480" w:firstLineChars="200"/>
              <w:rPr>
                <w:color w:val="auto"/>
                <w:highlight w:val="yellow"/>
              </w:rPr>
            </w:pPr>
            <w:r>
              <w:rPr>
                <w:color w:val="auto"/>
                <w:kern w:val="0"/>
                <w:sz w:val="24"/>
                <w:lang w:bidi="ar"/>
              </w:rPr>
              <w:t>一般固体废物暂存应符合《</w:t>
            </w:r>
            <w:r>
              <w:rPr>
                <w:rFonts w:hint="default"/>
                <w:color w:val="auto"/>
                <w:kern w:val="0"/>
                <w:sz w:val="24"/>
                <w:lang w:bidi="ar"/>
              </w:rPr>
              <w:t>中华人民共和国</w:t>
            </w:r>
            <w:r>
              <w:rPr>
                <w:rFonts w:hint="default"/>
                <w:color w:val="auto"/>
                <w:kern w:val="0"/>
                <w:sz w:val="24"/>
                <w:lang w:eastAsia="zh-CN" w:bidi="ar"/>
              </w:rPr>
              <w:t>生态环境法典</w:t>
            </w:r>
            <w:r>
              <w:rPr>
                <w:color w:val="auto"/>
                <w:kern w:val="0"/>
                <w:sz w:val="24"/>
                <w:lang w:bidi="ar"/>
              </w:rPr>
              <w:t>》相关要求，采取防扬散、防流失、防渗漏或者其他防止污染环境的措施，不得擅自倾倒、堆放、丢弃、遗撒，</w:t>
            </w:r>
            <w:r>
              <w:rPr>
                <w:color w:val="auto"/>
                <w:sz w:val="24"/>
              </w:rPr>
              <w:t>危险废物执行《危险废物贮存污染物控制标准》（GB18597-2023）文件要求</w:t>
            </w:r>
            <w:r>
              <w:rPr>
                <w:rStyle w:val="26"/>
                <w:color w:val="auto"/>
                <w:kern w:val="0"/>
                <w:szCs w:val="20"/>
              </w:rPr>
              <w:t>，</w:t>
            </w:r>
            <w:r>
              <w:rPr>
                <w:color w:val="auto"/>
                <w:sz w:val="24"/>
              </w:rPr>
              <w:t>危险废物转移按照《危险废物转移管理办法》（2022年1月1日）执行</w:t>
            </w:r>
            <w:r>
              <w:rPr>
                <w:color w:val="auto"/>
                <w:sz w:val="24"/>
                <w:lang w:val="zh-CN"/>
              </w:rPr>
              <w:t>。</w:t>
            </w:r>
          </w:p>
        </w:tc>
      </w:tr>
      <w:tr w14:paraId="17B49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443" w:type="pct"/>
            <w:vAlign w:val="center"/>
          </w:tcPr>
          <w:p w14:paraId="0945F050">
            <w:pPr>
              <w:adjustRightInd w:val="0"/>
              <w:snapToGrid w:val="0"/>
              <w:jc w:val="center"/>
              <w:rPr>
                <w:color w:val="auto"/>
                <w:kern w:val="0"/>
                <w:sz w:val="24"/>
              </w:rPr>
            </w:pPr>
            <w:r>
              <w:rPr>
                <w:color w:val="auto"/>
                <w:kern w:val="0"/>
                <w:sz w:val="24"/>
              </w:rPr>
              <w:t>总量确认指标</w:t>
            </w:r>
          </w:p>
        </w:tc>
        <w:tc>
          <w:tcPr>
            <w:tcW w:w="4556" w:type="pct"/>
            <w:vAlign w:val="center"/>
          </w:tcPr>
          <w:p w14:paraId="5B20E316">
            <w:pPr>
              <w:widowControl/>
              <w:jc w:val="center"/>
              <w:rPr>
                <w:color w:val="auto"/>
                <w:kern w:val="0"/>
                <w:sz w:val="24"/>
                <w:lang w:bidi="ar"/>
              </w:rPr>
            </w:pPr>
            <w:r>
              <w:rPr>
                <w:color w:val="auto"/>
                <w:kern w:val="0"/>
                <w:sz w:val="24"/>
                <w:lang w:bidi="ar"/>
              </w:rPr>
              <w:t>本项目为</w:t>
            </w:r>
            <w:r>
              <w:rPr>
                <w:rFonts w:hint="eastAsia"/>
                <w:color w:val="auto"/>
                <w:kern w:val="0"/>
                <w:sz w:val="24"/>
                <w:lang w:bidi="ar"/>
              </w:rPr>
              <w:t>防洪除涝工程</w:t>
            </w:r>
            <w:r>
              <w:rPr>
                <w:color w:val="auto"/>
                <w:kern w:val="0"/>
                <w:sz w:val="24"/>
                <w:lang w:bidi="ar"/>
              </w:rPr>
              <w:t>，为非污染类项目，不涉及总量控制问题。</w:t>
            </w:r>
          </w:p>
        </w:tc>
      </w:tr>
    </w:tbl>
    <w:p w14:paraId="06BACB83">
      <w:pPr>
        <w:pStyle w:val="17"/>
        <w:spacing w:before="120" w:beforeLines="50" w:beforeAutospacing="0" w:after="120" w:afterLines="50" w:afterAutospacing="0"/>
        <w:jc w:val="center"/>
        <w:outlineLvl w:val="0"/>
        <w:rPr>
          <w:rFonts w:ascii="Times New Roman" w:hAnsi="Times New Roman"/>
          <w:b/>
          <w:bCs/>
          <w:snapToGrid w:val="0"/>
          <w:color w:val="auto"/>
          <w:sz w:val="28"/>
          <w:szCs w:val="28"/>
          <w:highlight w:val="yellow"/>
        </w:rPr>
        <w:sectPr>
          <w:pgSz w:w="11905" w:h="16838"/>
          <w:pgMar w:top="1417" w:right="1417" w:bottom="1417" w:left="1417" w:header="851" w:footer="1077" w:gutter="0"/>
          <w:cols w:space="720" w:num="1"/>
          <w:docGrid w:linePitch="312" w:charSpace="0"/>
        </w:sectPr>
      </w:pPr>
    </w:p>
    <w:p w14:paraId="471E1530">
      <w:pPr>
        <w:pStyle w:val="17"/>
        <w:spacing w:before="120" w:beforeLines="50" w:beforeAutospacing="0" w:after="120"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四、生态环境影响分析</w:t>
      </w:r>
    </w:p>
    <w:tbl>
      <w:tblPr>
        <w:tblStyle w:val="20"/>
        <w:tblW w:w="505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8504"/>
      </w:tblGrid>
      <w:tr w14:paraId="4D6AFE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5000" w:type="pct"/>
            <w:gridSpan w:val="2"/>
            <w:tcMar>
              <w:left w:w="28" w:type="dxa"/>
              <w:right w:w="28" w:type="dxa"/>
            </w:tcMar>
          </w:tcPr>
          <w:p w14:paraId="681FBFE8">
            <w:pPr>
              <w:pStyle w:val="37"/>
              <w:adjustRightInd/>
              <w:snapToGrid/>
              <w:ind w:left="105" w:leftChars="50" w:right="105" w:rightChars="50" w:firstLine="482"/>
              <w:jc w:val="both"/>
              <w:rPr>
                <w:rFonts w:cs="Times New Roman"/>
                <w:b/>
                <w:color w:val="auto"/>
                <w:szCs w:val="24"/>
              </w:rPr>
            </w:pPr>
            <w:r>
              <w:rPr>
                <w:rFonts w:cs="Times New Roman"/>
                <w:b/>
                <w:color w:val="auto"/>
                <w:szCs w:val="24"/>
              </w:rPr>
              <w:t>一、施工期</w:t>
            </w:r>
          </w:p>
          <w:p w14:paraId="25120F95">
            <w:pPr>
              <w:pStyle w:val="37"/>
              <w:adjustRightInd/>
              <w:snapToGrid/>
              <w:ind w:left="105" w:leftChars="50" w:right="105" w:rightChars="50" w:firstLine="482"/>
              <w:jc w:val="both"/>
              <w:rPr>
                <w:rFonts w:cs="Times New Roman"/>
                <w:b/>
                <w:color w:val="auto"/>
                <w:szCs w:val="24"/>
              </w:rPr>
            </w:pPr>
            <w:r>
              <w:rPr>
                <w:rFonts w:cs="Times New Roman"/>
                <w:b/>
                <w:color w:val="auto"/>
                <w:szCs w:val="24"/>
              </w:rPr>
              <w:t>（一）水环境影响分析</w:t>
            </w:r>
          </w:p>
          <w:p w14:paraId="6277A1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本项目施工期废水主要来自施工人员产生的生活污水；车辆及施工设备冲洗产生的废水</w:t>
            </w:r>
            <w:r>
              <w:rPr>
                <w:rFonts w:hint="eastAsia"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混凝土养护</w:t>
            </w:r>
            <w:r>
              <w:rPr>
                <w:rFonts w:hint="default" w:ascii="Times New Roman" w:hAnsi="Times New Roman" w:eastAsia="宋体" w:cs="Times New Roman"/>
                <w:b w:val="0"/>
                <w:bCs w:val="0"/>
                <w:color w:val="auto"/>
                <w:sz w:val="24"/>
                <w:szCs w:val="24"/>
                <w:highlight w:val="none"/>
                <w:lang w:val="en-US" w:eastAsia="zh-CN"/>
              </w:rPr>
              <w:t>废水。</w:t>
            </w:r>
          </w:p>
          <w:p w14:paraId="60E9E771">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施工生产废水</w:t>
            </w:r>
          </w:p>
          <w:p w14:paraId="0EAD03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施工生产废水</w:t>
            </w:r>
            <w:r>
              <w:rPr>
                <w:rFonts w:hint="default" w:ascii="Times New Roman" w:hAnsi="Times New Roman" w:eastAsia="宋体" w:cs="Times New Roman"/>
                <w:b w:val="0"/>
                <w:bCs w:val="0"/>
                <w:color w:val="auto"/>
                <w:sz w:val="24"/>
                <w:szCs w:val="24"/>
                <w:highlight w:val="none"/>
                <w:lang w:val="en-US" w:eastAsia="zh-CN"/>
              </w:rPr>
              <w:t>主要包括车辆及施工机械冲洗废水、</w:t>
            </w:r>
            <w:r>
              <w:rPr>
                <w:rFonts w:hint="eastAsia" w:cs="Times New Roman"/>
                <w:b w:val="0"/>
                <w:bCs w:val="0"/>
                <w:color w:val="auto"/>
                <w:sz w:val="24"/>
                <w:szCs w:val="24"/>
                <w:highlight w:val="none"/>
                <w:lang w:val="en-US" w:eastAsia="zh-CN"/>
              </w:rPr>
              <w:t>混凝土养护</w:t>
            </w:r>
            <w:r>
              <w:rPr>
                <w:rFonts w:hint="default" w:ascii="Times New Roman" w:hAnsi="Times New Roman" w:eastAsia="宋体" w:cs="Times New Roman"/>
                <w:b w:val="0"/>
                <w:bCs w:val="0"/>
                <w:color w:val="auto"/>
                <w:sz w:val="24"/>
                <w:szCs w:val="24"/>
                <w:highlight w:val="none"/>
                <w:lang w:val="en-US" w:eastAsia="zh-CN"/>
              </w:rPr>
              <w:t>废水。</w:t>
            </w:r>
          </w:p>
          <w:p w14:paraId="417ECC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val="en-US" w:eastAsia="zh-CN"/>
              </w:rPr>
              <w:t>车辆及施工机械冲洗废水</w:t>
            </w:r>
          </w:p>
          <w:p w14:paraId="2F2DB4D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施工组织设计，工程施工过程中施工机械主要以柴油和汽油为动力燃料。工程所需施工机械为常用机械，工程附近的城镇均具备修理条件，施工现场不进行机械设备的维修和保养，仅进行一般供零配件更换和临时故障的处理，本报告不考虑维修冲洗产生的含油废水。</w:t>
            </w:r>
          </w:p>
          <w:p w14:paraId="065BB40B">
            <w:pPr>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设备冲洗、车辆冲洗会产生少量废水，主要污染物为SS和石油类。</w:t>
            </w:r>
            <w:r>
              <w:rPr>
                <w:color w:val="auto"/>
                <w:sz w:val="24"/>
              </w:rPr>
              <w:t>根据废水特性，含油废水采用隔油池的处理方式。废水中悬浮物、部分石油类在隔油沉淀池中经絮凝沉淀、隔油后得以去除，沉淀时间3h。含油废水如直接排放，将会对周围土壤和河流造成严重污染，为避免含油废水直接排放造成环境污染，拟在各个机械修配区设置隔油沉淀池进行处理，隔油池约15天清理一次，清除的油污</w:t>
            </w:r>
            <w:r>
              <w:rPr>
                <w:rFonts w:hint="eastAsia"/>
                <w:color w:val="auto"/>
                <w:sz w:val="24"/>
                <w:lang w:val="en-US" w:eastAsia="zh-CN"/>
              </w:rPr>
              <w:t>暂存至危废暂存间，定期委托有资质</w:t>
            </w:r>
            <w:r>
              <w:rPr>
                <w:color w:val="auto"/>
                <w:sz w:val="24"/>
              </w:rPr>
              <w:t>单位进行处理；经隔油池处理后废水可循环使用于施工机械</w:t>
            </w:r>
            <w:r>
              <w:rPr>
                <w:rFonts w:hint="eastAsia"/>
                <w:color w:val="auto"/>
                <w:sz w:val="24"/>
                <w:lang w:eastAsia="zh-CN"/>
              </w:rPr>
              <w:t>及车辆</w:t>
            </w:r>
            <w:r>
              <w:rPr>
                <w:color w:val="auto"/>
                <w:sz w:val="24"/>
              </w:rPr>
              <w:t>清洗，多余部分作为施工场地防尘用水，不排放。</w:t>
            </w:r>
          </w:p>
          <w:p w14:paraId="634317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（2）</w:t>
            </w:r>
            <w:r>
              <w:rPr>
                <w:rFonts w:hint="eastAsia" w:cs="Times New Roman"/>
                <w:b w:val="0"/>
                <w:bCs w:val="0"/>
                <w:color w:val="auto"/>
                <w:sz w:val="24"/>
                <w:szCs w:val="24"/>
                <w:highlight w:val="none"/>
                <w:lang w:val="en-US" w:eastAsia="zh-CN"/>
              </w:rPr>
              <w:t>混凝土养护</w:t>
            </w:r>
            <w:r>
              <w:rPr>
                <w:rFonts w:hint="default" w:ascii="Times New Roman" w:hAnsi="Times New Roman" w:eastAsia="宋体" w:cs="Times New Roman"/>
                <w:b w:val="0"/>
                <w:bCs w:val="0"/>
                <w:color w:val="auto"/>
                <w:sz w:val="24"/>
                <w:szCs w:val="24"/>
                <w:highlight w:val="none"/>
                <w:lang w:val="en-US" w:eastAsia="zh-CN"/>
              </w:rPr>
              <w:t>废水</w:t>
            </w:r>
          </w:p>
          <w:p w14:paraId="10F50A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w:t>
            </w:r>
            <w:r>
              <w:rPr>
                <w:rFonts w:hint="eastAsia" w:cs="Times New Roman"/>
                <w:b w:val="0"/>
                <w:bCs w:val="0"/>
                <w:color w:val="auto"/>
                <w:sz w:val="24"/>
                <w:szCs w:val="24"/>
                <w:highlight w:val="none"/>
                <w:lang w:val="en-US" w:eastAsia="zh-CN"/>
              </w:rPr>
              <w:t>混凝土</w:t>
            </w:r>
            <w:r>
              <w:rPr>
                <w:rFonts w:hint="default" w:ascii="Times New Roman" w:hAnsi="Times New Roman" w:eastAsia="宋体" w:cs="Times New Roman"/>
                <w:b w:val="0"/>
                <w:bCs w:val="0"/>
                <w:color w:val="auto"/>
                <w:sz w:val="24"/>
                <w:szCs w:val="24"/>
                <w:highlight w:val="none"/>
                <w:lang w:val="en-US" w:eastAsia="zh-CN"/>
              </w:rPr>
              <w:t>施工</w:t>
            </w:r>
            <w:r>
              <w:rPr>
                <w:rFonts w:hint="eastAsia" w:cs="Times New Roman"/>
                <w:b w:val="0"/>
                <w:bCs w:val="0"/>
                <w:color w:val="auto"/>
                <w:sz w:val="24"/>
                <w:szCs w:val="24"/>
                <w:highlight w:val="none"/>
                <w:lang w:val="en-US" w:eastAsia="zh-CN"/>
              </w:rPr>
              <w:t>会产生一定的废水，</w:t>
            </w:r>
            <w:r>
              <w:rPr>
                <w:rFonts w:hint="default" w:ascii="Times New Roman" w:hAnsi="Times New Roman" w:eastAsia="宋体" w:cs="Times New Roman"/>
                <w:b w:val="0"/>
                <w:bCs w:val="0"/>
                <w:color w:val="auto"/>
                <w:sz w:val="24"/>
                <w:szCs w:val="24"/>
                <w:highlight w:val="none"/>
                <w:lang w:val="en-US" w:eastAsia="zh-CN"/>
              </w:rPr>
              <w:t>主要污染物为SS。</w:t>
            </w:r>
          </w:p>
          <w:p w14:paraId="696214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本项目施工期在</w:t>
            </w:r>
            <w:r>
              <w:rPr>
                <w:rFonts w:hint="eastAsia" w:cs="Times New Roman"/>
                <w:b w:val="0"/>
                <w:bCs w:val="0"/>
                <w:color w:val="auto"/>
                <w:sz w:val="24"/>
                <w:szCs w:val="24"/>
                <w:highlight w:val="none"/>
                <w:lang w:val="en-US" w:eastAsia="zh-CN"/>
              </w:rPr>
              <w:t>混凝土</w:t>
            </w:r>
            <w:r>
              <w:rPr>
                <w:rFonts w:hint="default" w:ascii="Times New Roman" w:hAnsi="Times New Roman" w:eastAsia="宋体" w:cs="Times New Roman"/>
                <w:b w:val="0"/>
                <w:bCs w:val="0"/>
                <w:color w:val="auto"/>
                <w:sz w:val="24"/>
                <w:szCs w:val="24"/>
                <w:highlight w:val="none"/>
                <w:lang w:val="en-US" w:eastAsia="zh-CN"/>
              </w:rPr>
              <w:t>施工时现场设置泥浆池，泥浆循环使用，施工完成后，泥浆废水在</w:t>
            </w:r>
            <w:r>
              <w:rPr>
                <w:rFonts w:hint="eastAsia" w:cs="Times New Roman"/>
                <w:b w:val="0"/>
                <w:bCs w:val="0"/>
                <w:color w:val="auto"/>
                <w:sz w:val="24"/>
                <w:szCs w:val="24"/>
                <w:highlight w:val="none"/>
                <w:lang w:val="en-US" w:eastAsia="zh-CN"/>
              </w:rPr>
              <w:t>沉淀池</w:t>
            </w:r>
            <w:r>
              <w:rPr>
                <w:rFonts w:hint="default" w:ascii="Times New Roman" w:hAnsi="Times New Roman" w:eastAsia="宋体" w:cs="Times New Roman"/>
                <w:b w:val="0"/>
                <w:bCs w:val="0"/>
                <w:color w:val="auto"/>
                <w:sz w:val="24"/>
                <w:szCs w:val="24"/>
                <w:highlight w:val="none"/>
                <w:lang w:val="en-US" w:eastAsia="zh-CN"/>
              </w:rPr>
              <w:t>中沉淀后上清液用做场地降尘洒水，不外排。</w:t>
            </w:r>
          </w:p>
          <w:p w14:paraId="38FD3844">
            <w:pPr>
              <w:spacing w:line="360" w:lineRule="auto"/>
              <w:ind w:firstLine="504" w:firstLineChars="200"/>
              <w:rPr>
                <w:color w:val="auto"/>
                <w:sz w:val="24"/>
              </w:rPr>
            </w:pPr>
            <w:r>
              <w:rPr>
                <w:rFonts w:hint="eastAsia"/>
                <w:color w:val="auto"/>
                <w:spacing w:val="6"/>
                <w:sz w:val="24"/>
                <w:lang w:val="en-US" w:eastAsia="zh-CN"/>
              </w:rPr>
              <w:t>2、</w:t>
            </w:r>
            <w:r>
              <w:rPr>
                <w:color w:val="auto"/>
                <w:spacing w:val="6"/>
                <w:sz w:val="24"/>
              </w:rPr>
              <w:t>生活污水</w:t>
            </w:r>
          </w:p>
          <w:p w14:paraId="65646D54">
            <w:pPr>
              <w:spacing w:line="360" w:lineRule="auto"/>
              <w:ind w:firstLine="477"/>
              <w:rPr>
                <w:color w:val="auto"/>
                <w:sz w:val="24"/>
              </w:rPr>
            </w:pPr>
            <w:r>
              <w:rPr>
                <w:color w:val="auto"/>
                <w:spacing w:val="7"/>
                <w:sz w:val="24"/>
              </w:rPr>
              <w:t>施工过程中生活污水组成为餐饮污水、粪便污水和洗浴污水，其中主要污</w:t>
            </w:r>
            <w:r>
              <w:rPr>
                <w:color w:val="auto"/>
                <w:spacing w:val="3"/>
                <w:sz w:val="24"/>
              </w:rPr>
              <w:t>染</w:t>
            </w:r>
            <w:r>
              <w:rPr>
                <w:color w:val="auto"/>
                <w:spacing w:val="4"/>
                <w:sz w:val="24"/>
              </w:rPr>
              <w:t>成分为</w:t>
            </w:r>
            <w:r>
              <w:rPr>
                <w:color w:val="auto"/>
                <w:sz w:val="24"/>
              </w:rPr>
              <w:t>COD</w:t>
            </w:r>
            <w:r>
              <w:rPr>
                <w:color w:val="auto"/>
                <w:spacing w:val="4"/>
                <w:sz w:val="24"/>
              </w:rPr>
              <w:t>、</w:t>
            </w:r>
            <w:r>
              <w:rPr>
                <w:color w:val="auto"/>
                <w:sz w:val="24"/>
              </w:rPr>
              <w:t>BOD</w:t>
            </w:r>
            <w:r>
              <w:rPr>
                <w:color w:val="auto"/>
                <w:sz w:val="24"/>
                <w:vertAlign w:val="subscript"/>
              </w:rPr>
              <w:t>5</w:t>
            </w:r>
            <w:r>
              <w:rPr>
                <w:color w:val="auto"/>
                <w:spacing w:val="4"/>
                <w:sz w:val="24"/>
              </w:rPr>
              <w:t>，此外还含有致病病菌、总磷、总氮、病毒和寄生虫卵等。</w:t>
            </w:r>
          </w:p>
          <w:p w14:paraId="58C32D8B">
            <w:pPr>
              <w:widowControl/>
              <w:spacing w:line="360" w:lineRule="auto"/>
              <w:ind w:firstLine="524" w:firstLineChars="200"/>
              <w:rPr>
                <w:color w:val="auto"/>
                <w:spacing w:val="9"/>
                <w:sz w:val="24"/>
              </w:rPr>
            </w:pPr>
            <w:r>
              <w:rPr>
                <w:color w:val="auto"/>
                <w:spacing w:val="11"/>
                <w:sz w:val="24"/>
              </w:rPr>
              <w:t>根据水利工程施工经验，施工人员生活用水按人均日用水80</w:t>
            </w:r>
            <w:r>
              <w:rPr>
                <w:color w:val="auto"/>
                <w:sz w:val="24"/>
              </w:rPr>
              <w:t>L</w:t>
            </w:r>
            <w:r>
              <w:rPr>
                <w:color w:val="auto"/>
                <w:spacing w:val="11"/>
                <w:sz w:val="24"/>
              </w:rPr>
              <w:t>计算，排污</w:t>
            </w:r>
            <w:r>
              <w:rPr>
                <w:color w:val="auto"/>
                <w:spacing w:val="4"/>
                <w:sz w:val="24"/>
              </w:rPr>
              <w:t>系数取0.8系数折算，施工人数按照50人计算，</w:t>
            </w:r>
            <w:r>
              <w:rPr>
                <w:color w:val="auto"/>
                <w:spacing w:val="3"/>
                <w:sz w:val="24"/>
              </w:rPr>
              <w:t>施</w:t>
            </w:r>
            <w:r>
              <w:rPr>
                <w:color w:val="auto"/>
                <w:spacing w:val="2"/>
                <w:sz w:val="24"/>
              </w:rPr>
              <w:t>工产生的废水量为3.2</w:t>
            </w:r>
            <w:r>
              <w:rPr>
                <w:color w:val="auto"/>
                <w:sz w:val="24"/>
              </w:rPr>
              <w:t>m</w:t>
            </w:r>
            <w:r>
              <w:rPr>
                <w:color w:val="auto"/>
                <w:sz w:val="24"/>
                <w:vertAlign w:val="superscript"/>
              </w:rPr>
              <w:t>3</w:t>
            </w:r>
            <w:r>
              <w:rPr>
                <w:color w:val="auto"/>
                <w:spacing w:val="2"/>
                <w:sz w:val="24"/>
              </w:rPr>
              <w:t>/</w:t>
            </w:r>
            <w:r>
              <w:rPr>
                <w:color w:val="auto"/>
                <w:sz w:val="24"/>
              </w:rPr>
              <w:t>d</w:t>
            </w:r>
            <w:r>
              <w:rPr>
                <w:color w:val="auto"/>
                <w:spacing w:val="2"/>
                <w:sz w:val="24"/>
              </w:rPr>
              <w:t>，</w:t>
            </w:r>
            <w:r>
              <w:rPr>
                <w:color w:val="auto"/>
                <w:spacing w:val="7"/>
                <w:sz w:val="24"/>
              </w:rPr>
              <w:t>施工期间临时生活区产生</w:t>
            </w:r>
            <w:r>
              <w:rPr>
                <w:color w:val="auto"/>
                <w:spacing w:val="2"/>
                <w:sz w:val="24"/>
              </w:rPr>
              <w:t>的</w:t>
            </w:r>
            <w:r>
              <w:rPr>
                <w:color w:val="auto"/>
                <w:spacing w:val="7"/>
                <w:sz w:val="24"/>
              </w:rPr>
              <w:t>生活污水定期由当地居民清运肥田，并</w:t>
            </w:r>
            <w:r>
              <w:rPr>
                <w:color w:val="auto"/>
                <w:spacing w:val="5"/>
                <w:sz w:val="24"/>
              </w:rPr>
              <w:t>设置4个环保厕所，</w:t>
            </w:r>
            <w:r>
              <w:rPr>
                <w:color w:val="auto"/>
                <w:spacing w:val="9"/>
                <w:sz w:val="24"/>
              </w:rPr>
              <w:t>不会造成水环境污染。</w:t>
            </w:r>
          </w:p>
          <w:p w14:paraId="52B71B44">
            <w:pPr>
              <w:spacing w:line="360" w:lineRule="auto"/>
              <w:ind w:firstLine="512" w:firstLineChars="200"/>
              <w:rPr>
                <w:color w:val="auto"/>
                <w:sz w:val="24"/>
              </w:rPr>
            </w:pPr>
            <w:r>
              <w:rPr>
                <w:rFonts w:hint="eastAsia"/>
                <w:color w:val="auto"/>
                <w:spacing w:val="8"/>
                <w:sz w:val="24"/>
                <w:lang w:val="en-US" w:eastAsia="zh-CN"/>
              </w:rPr>
              <w:t>3、</w:t>
            </w:r>
            <w:r>
              <w:rPr>
                <w:color w:val="auto"/>
                <w:spacing w:val="8"/>
                <w:sz w:val="24"/>
              </w:rPr>
              <w:t>对地下水环境的影</w:t>
            </w:r>
            <w:r>
              <w:rPr>
                <w:color w:val="auto"/>
                <w:spacing w:val="6"/>
                <w:sz w:val="24"/>
              </w:rPr>
              <w:t>响</w:t>
            </w:r>
          </w:p>
          <w:p w14:paraId="559DDD83">
            <w:pPr>
              <w:spacing w:line="360" w:lineRule="auto"/>
              <w:ind w:firstLine="516" w:firstLineChars="200"/>
              <w:rPr>
                <w:color w:val="auto"/>
                <w:sz w:val="24"/>
              </w:rPr>
            </w:pPr>
            <w:r>
              <w:rPr>
                <w:color w:val="auto"/>
                <w:spacing w:val="9"/>
                <w:sz w:val="24"/>
              </w:rPr>
              <w:t>①水位影响预测结果</w:t>
            </w:r>
          </w:p>
          <w:p w14:paraId="2447D451">
            <w:pPr>
              <w:spacing w:line="360" w:lineRule="auto"/>
              <w:ind w:firstLine="508" w:firstLineChars="200"/>
              <w:rPr>
                <w:color w:val="auto"/>
                <w:sz w:val="24"/>
              </w:rPr>
            </w:pPr>
            <w:r>
              <w:rPr>
                <w:color w:val="auto"/>
                <w:spacing w:val="7"/>
                <w:sz w:val="24"/>
              </w:rPr>
              <w:t>通过对区域地下水环境特征分析可知，丰水期，绝大多数河道地表水会补</w:t>
            </w:r>
            <w:r>
              <w:rPr>
                <w:color w:val="auto"/>
                <w:spacing w:val="3"/>
                <w:sz w:val="24"/>
              </w:rPr>
              <w:t>给</w:t>
            </w:r>
            <w:r>
              <w:rPr>
                <w:color w:val="auto"/>
                <w:spacing w:val="7"/>
                <w:sz w:val="24"/>
              </w:rPr>
              <w:t>浅层地下水，使地下水水位发生变化；枯水期地下水对河水进行补给。治理工</w:t>
            </w:r>
            <w:r>
              <w:rPr>
                <w:color w:val="auto"/>
                <w:spacing w:val="5"/>
                <w:sz w:val="24"/>
              </w:rPr>
              <w:t>程</w:t>
            </w:r>
            <w:r>
              <w:rPr>
                <w:color w:val="auto"/>
                <w:spacing w:val="7"/>
                <w:sz w:val="24"/>
              </w:rPr>
              <w:t>后，治理河段地下水与河水补给关系与治理工程前相比保持不变，工程对当地水</w:t>
            </w:r>
            <w:r>
              <w:rPr>
                <w:color w:val="auto"/>
                <w:spacing w:val="9"/>
                <w:sz w:val="24"/>
              </w:rPr>
              <w:t>位</w:t>
            </w:r>
            <w:r>
              <w:rPr>
                <w:color w:val="auto"/>
                <w:spacing w:val="7"/>
                <w:sz w:val="24"/>
              </w:rPr>
              <w:t>影响并不大，造成的影响属于短期影响，随着降雨及浅层地下水与地表水补给</w:t>
            </w:r>
            <w:r>
              <w:rPr>
                <w:color w:val="auto"/>
                <w:spacing w:val="14"/>
                <w:sz w:val="24"/>
              </w:rPr>
              <w:t>流</w:t>
            </w:r>
            <w:r>
              <w:rPr>
                <w:color w:val="auto"/>
                <w:spacing w:val="8"/>
                <w:sz w:val="24"/>
              </w:rPr>
              <w:t>动，会很快达到原有状态。</w:t>
            </w:r>
          </w:p>
          <w:p w14:paraId="72A8E637">
            <w:pPr>
              <w:spacing w:line="360" w:lineRule="auto"/>
              <w:ind w:firstLine="520" w:firstLineChars="200"/>
              <w:rPr>
                <w:color w:val="auto"/>
                <w:sz w:val="24"/>
              </w:rPr>
            </w:pPr>
            <w:r>
              <w:rPr>
                <w:color w:val="auto"/>
                <w:spacing w:val="10"/>
                <w:sz w:val="24"/>
              </w:rPr>
              <w:t>②</w:t>
            </w:r>
            <w:r>
              <w:rPr>
                <w:color w:val="auto"/>
                <w:spacing w:val="9"/>
                <w:sz w:val="24"/>
              </w:rPr>
              <w:t>水质影响预测结果</w:t>
            </w:r>
          </w:p>
          <w:p w14:paraId="5494AE10">
            <w:pPr>
              <w:spacing w:line="360" w:lineRule="auto"/>
              <w:ind w:firstLine="479"/>
              <w:rPr>
                <w:color w:val="auto"/>
                <w:sz w:val="24"/>
              </w:rPr>
            </w:pPr>
            <w:r>
              <w:rPr>
                <w:color w:val="auto"/>
                <w:spacing w:val="23"/>
                <w:sz w:val="24"/>
              </w:rPr>
              <w:t>施</w:t>
            </w:r>
            <w:r>
              <w:rPr>
                <w:color w:val="auto"/>
                <w:spacing w:val="14"/>
                <w:sz w:val="24"/>
              </w:rPr>
              <w:t>工期间对地下水的污染主要是由于工程施工废水以及生活废水中的污染</w:t>
            </w:r>
            <w:r>
              <w:rPr>
                <w:color w:val="auto"/>
                <w:spacing w:val="9"/>
                <w:sz w:val="24"/>
              </w:rPr>
              <w:t>物</w:t>
            </w:r>
            <w:r>
              <w:rPr>
                <w:color w:val="auto"/>
                <w:spacing w:val="7"/>
                <w:sz w:val="24"/>
              </w:rPr>
              <w:t>迁移穿过包气带进入含水层造成。包气带即地表与潜水面之间的地带，是地下</w:t>
            </w:r>
            <w:r>
              <w:rPr>
                <w:color w:val="auto"/>
                <w:spacing w:val="9"/>
                <w:sz w:val="24"/>
              </w:rPr>
              <w:t>含</w:t>
            </w:r>
            <w:r>
              <w:rPr>
                <w:color w:val="auto"/>
                <w:spacing w:val="7"/>
                <w:sz w:val="24"/>
              </w:rPr>
              <w:t>水层的天然保护层，是地表污染物质进入含水层的垂直过渡带。污染物质进入</w:t>
            </w:r>
            <w:r>
              <w:rPr>
                <w:color w:val="auto"/>
                <w:spacing w:val="9"/>
                <w:sz w:val="24"/>
              </w:rPr>
              <w:t>包</w:t>
            </w:r>
            <w:r>
              <w:rPr>
                <w:color w:val="auto"/>
                <w:spacing w:val="7"/>
                <w:sz w:val="24"/>
              </w:rPr>
              <w:t>气带便与周围介质发生物理化学生物化学等作用，其作用时间越长越充分，包</w:t>
            </w:r>
            <w:r>
              <w:rPr>
                <w:color w:val="auto"/>
                <w:spacing w:val="8"/>
                <w:sz w:val="24"/>
              </w:rPr>
              <w:t>气带净化能力越强</w:t>
            </w:r>
            <w:r>
              <w:rPr>
                <w:color w:val="auto"/>
                <w:spacing w:val="6"/>
                <w:sz w:val="24"/>
              </w:rPr>
              <w:t>。</w:t>
            </w:r>
          </w:p>
          <w:p w14:paraId="66E66CCF">
            <w:pPr>
              <w:spacing w:line="360" w:lineRule="auto"/>
              <w:ind w:firstLine="481"/>
              <w:rPr>
                <w:color w:val="auto"/>
                <w:sz w:val="24"/>
              </w:rPr>
            </w:pPr>
            <w:r>
              <w:rPr>
                <w:color w:val="auto"/>
                <w:spacing w:val="21"/>
                <w:sz w:val="24"/>
              </w:rPr>
              <w:t>本</w:t>
            </w:r>
            <w:r>
              <w:rPr>
                <w:color w:val="auto"/>
                <w:spacing w:val="14"/>
                <w:sz w:val="24"/>
              </w:rPr>
              <w:t>工程和地下水环境关系主要是施工人员生活污水下渗和施工生产废水的</w:t>
            </w:r>
            <w:r>
              <w:rPr>
                <w:color w:val="auto"/>
                <w:spacing w:val="9"/>
                <w:sz w:val="24"/>
              </w:rPr>
              <w:t>影</w:t>
            </w:r>
            <w:r>
              <w:rPr>
                <w:color w:val="auto"/>
                <w:spacing w:val="7"/>
                <w:sz w:val="24"/>
              </w:rPr>
              <w:t>响。根据施工期地表水环境影响分析结果，施工期产生的主要生活污水和生产</w:t>
            </w:r>
            <w:r>
              <w:rPr>
                <w:color w:val="auto"/>
                <w:spacing w:val="11"/>
                <w:sz w:val="24"/>
              </w:rPr>
              <w:t>废</w:t>
            </w:r>
            <w:r>
              <w:rPr>
                <w:color w:val="auto"/>
                <w:spacing w:val="8"/>
                <w:sz w:val="24"/>
              </w:rPr>
              <w:t>水分别通过清运、沉淀等措施统一处理，污废水排放量小且浓度较低，</w:t>
            </w:r>
            <w:r>
              <w:rPr>
                <w:color w:val="auto"/>
                <w:spacing w:val="9"/>
                <w:sz w:val="24"/>
              </w:rPr>
              <w:t>可</w:t>
            </w:r>
            <w:r>
              <w:rPr>
                <w:color w:val="auto"/>
                <w:spacing w:val="7"/>
                <w:sz w:val="24"/>
              </w:rPr>
              <w:t>达污水排放标准的要求，不会造成地下水水质恶化；同时，本工程区的包气带</w:t>
            </w:r>
            <w:r>
              <w:rPr>
                <w:color w:val="auto"/>
                <w:spacing w:val="9"/>
                <w:sz w:val="24"/>
              </w:rPr>
              <w:t>防</w:t>
            </w:r>
            <w:r>
              <w:rPr>
                <w:color w:val="auto"/>
                <w:spacing w:val="7"/>
                <w:sz w:val="24"/>
              </w:rPr>
              <w:t>污性能较强，建设项目场地含水层污染特征达到中级，较不易被污染，所以工</w:t>
            </w:r>
            <w:r>
              <w:rPr>
                <w:color w:val="auto"/>
                <w:spacing w:val="12"/>
                <w:sz w:val="24"/>
              </w:rPr>
              <w:t>程</w:t>
            </w:r>
            <w:r>
              <w:rPr>
                <w:color w:val="auto"/>
                <w:spacing w:val="9"/>
                <w:sz w:val="24"/>
              </w:rPr>
              <w:t>施工不会对区域地下水环境质量产生较大影响。</w:t>
            </w:r>
          </w:p>
          <w:p w14:paraId="30E9289A">
            <w:pPr>
              <w:spacing w:line="360" w:lineRule="auto"/>
              <w:ind w:firstLine="520" w:firstLineChars="200"/>
              <w:rPr>
                <w:color w:val="auto"/>
                <w:sz w:val="24"/>
              </w:rPr>
            </w:pPr>
            <w:r>
              <w:rPr>
                <w:color w:val="auto"/>
                <w:spacing w:val="10"/>
                <w:sz w:val="24"/>
              </w:rPr>
              <w:t>5）</w:t>
            </w:r>
            <w:r>
              <w:rPr>
                <w:color w:val="auto"/>
                <w:spacing w:val="8"/>
                <w:sz w:val="24"/>
              </w:rPr>
              <w:t>对周边城镇及乡村取用水的影响</w:t>
            </w:r>
          </w:p>
          <w:p w14:paraId="7BC768E5">
            <w:pPr>
              <w:widowControl/>
              <w:spacing w:line="360" w:lineRule="auto"/>
              <w:ind w:firstLine="528" w:firstLineChars="200"/>
              <w:rPr>
                <w:color w:val="auto"/>
                <w:spacing w:val="4"/>
                <w:sz w:val="24"/>
              </w:rPr>
            </w:pPr>
            <w:r>
              <w:rPr>
                <w:color w:val="auto"/>
                <w:spacing w:val="12"/>
                <w:sz w:val="24"/>
              </w:rPr>
              <w:t>项目区内</w:t>
            </w:r>
            <w:r>
              <w:rPr>
                <w:color w:val="auto"/>
                <w:spacing w:val="7"/>
                <w:sz w:val="24"/>
              </w:rPr>
              <w:t>无</w:t>
            </w:r>
            <w:r>
              <w:rPr>
                <w:color w:val="auto"/>
                <w:spacing w:val="6"/>
                <w:sz w:val="24"/>
              </w:rPr>
              <w:t>城镇饮用水取水口及农业取水口，工程对饮用水取水及农业取水无</w:t>
            </w:r>
            <w:r>
              <w:rPr>
                <w:color w:val="auto"/>
                <w:spacing w:val="4"/>
                <w:sz w:val="24"/>
              </w:rPr>
              <w:t>影响。</w:t>
            </w:r>
          </w:p>
          <w:p w14:paraId="2C1007F0">
            <w:pPr>
              <w:widowControl/>
              <w:spacing w:line="360" w:lineRule="auto"/>
              <w:ind w:left="105" w:leftChars="50" w:right="105" w:rightChars="50" w:firstLine="482" w:firstLineChars="200"/>
              <w:rPr>
                <w:b/>
                <w:bCs/>
                <w:color w:val="auto"/>
                <w:sz w:val="24"/>
              </w:rPr>
            </w:pPr>
            <w:r>
              <w:rPr>
                <w:b/>
                <w:bCs/>
                <w:color w:val="auto"/>
                <w:sz w:val="24"/>
              </w:rPr>
              <w:t>（二）大气环境影响分析</w:t>
            </w:r>
          </w:p>
          <w:p w14:paraId="7E0D47A4">
            <w:pPr>
              <w:widowControl/>
              <w:spacing w:line="360" w:lineRule="auto"/>
              <w:ind w:left="105" w:leftChars="50" w:right="105" w:rightChars="50" w:firstLine="480" w:firstLineChars="200"/>
              <w:rPr>
                <w:color w:val="auto"/>
                <w:kern w:val="0"/>
                <w:sz w:val="24"/>
                <w:lang w:bidi="ar"/>
              </w:rPr>
            </w:pPr>
            <w:r>
              <w:rPr>
                <w:color w:val="auto"/>
                <w:kern w:val="0"/>
                <w:sz w:val="24"/>
                <w:lang w:bidi="ar"/>
              </w:rPr>
              <w:t>施工期大气污染物主要为扬尘和燃油废气。</w:t>
            </w:r>
          </w:p>
          <w:p w14:paraId="5E826D64">
            <w:pPr>
              <w:widowControl/>
              <w:numPr>
                <w:ilvl w:val="0"/>
                <w:numId w:val="10"/>
              </w:numPr>
              <w:spacing w:line="360" w:lineRule="auto"/>
              <w:ind w:left="105" w:leftChars="50" w:right="105" w:rightChars="50" w:firstLine="480" w:firstLineChars="200"/>
              <w:rPr>
                <w:color w:val="auto"/>
                <w:kern w:val="0"/>
                <w:sz w:val="24"/>
                <w:lang w:bidi="ar"/>
              </w:rPr>
            </w:pPr>
            <w:r>
              <w:rPr>
                <w:color w:val="auto"/>
                <w:kern w:val="0"/>
                <w:sz w:val="24"/>
                <w:lang w:bidi="ar"/>
              </w:rPr>
              <w:t>扬尘</w:t>
            </w:r>
          </w:p>
          <w:p w14:paraId="4CAB7742">
            <w:pPr>
              <w:widowControl/>
              <w:spacing w:line="360" w:lineRule="auto"/>
              <w:ind w:left="525" w:leftChars="250" w:right="105" w:rightChars="50"/>
              <w:rPr>
                <w:color w:val="auto"/>
                <w:kern w:val="0"/>
                <w:sz w:val="24"/>
                <w:lang w:bidi="ar"/>
              </w:rPr>
            </w:pPr>
            <w:r>
              <w:rPr>
                <w:color w:val="auto"/>
                <w:kern w:val="0"/>
                <w:sz w:val="24"/>
                <w:lang w:bidi="ar"/>
              </w:rPr>
              <w:t>①施工扬尘</w:t>
            </w:r>
          </w:p>
          <w:p w14:paraId="690B0853">
            <w:pPr>
              <w:spacing w:line="360" w:lineRule="auto"/>
              <w:ind w:firstLine="418"/>
              <w:rPr>
                <w:color w:val="auto"/>
                <w:sz w:val="24"/>
              </w:rPr>
            </w:pPr>
            <w:r>
              <w:rPr>
                <w:color w:val="auto"/>
                <w:spacing w:val="14"/>
                <w:sz w:val="24"/>
              </w:rPr>
              <w:t>道</w:t>
            </w:r>
            <w:r>
              <w:rPr>
                <w:color w:val="auto"/>
                <w:spacing w:val="10"/>
                <w:sz w:val="24"/>
              </w:rPr>
              <w:t>路</w:t>
            </w:r>
            <w:r>
              <w:rPr>
                <w:color w:val="auto"/>
                <w:spacing w:val="7"/>
                <w:sz w:val="24"/>
              </w:rPr>
              <w:t>施工阶段扬尘的主要来源是露天堆场和土方开挖的风力扬尘。由于施工需要，一些</w:t>
            </w:r>
            <w:r>
              <w:rPr>
                <w:color w:val="auto"/>
                <w:spacing w:val="14"/>
                <w:sz w:val="24"/>
              </w:rPr>
              <w:t>建筑</w:t>
            </w:r>
            <w:r>
              <w:rPr>
                <w:color w:val="auto"/>
                <w:spacing w:val="8"/>
                <w:sz w:val="24"/>
              </w:rPr>
              <w:t>材</w:t>
            </w:r>
            <w:r>
              <w:rPr>
                <w:color w:val="auto"/>
                <w:spacing w:val="7"/>
                <w:sz w:val="24"/>
              </w:rPr>
              <w:t>料需要露天堆放，一些施工作业点的可用于绿化等表层土壤在经过人工开挖后，临时</w:t>
            </w:r>
            <w:r>
              <w:rPr>
                <w:color w:val="auto"/>
                <w:spacing w:val="14"/>
                <w:sz w:val="24"/>
              </w:rPr>
              <w:t>堆放</w:t>
            </w:r>
            <w:r>
              <w:rPr>
                <w:color w:val="auto"/>
                <w:spacing w:val="8"/>
                <w:sz w:val="24"/>
              </w:rPr>
              <w:t>于</w:t>
            </w:r>
            <w:r>
              <w:rPr>
                <w:color w:val="auto"/>
                <w:spacing w:val="7"/>
                <w:sz w:val="24"/>
              </w:rPr>
              <w:t>露天，在气候干燥且有风的情况下，会产生大量的扬尘，扬尘量可按堆场扬尘的经验</w:t>
            </w:r>
          </w:p>
          <w:p w14:paraId="674B40D3">
            <w:pPr>
              <w:spacing w:line="360" w:lineRule="auto"/>
              <w:rPr>
                <w:color w:val="auto"/>
                <w:sz w:val="24"/>
              </w:rPr>
            </w:pPr>
            <w:r>
              <w:rPr>
                <w:color w:val="auto"/>
                <w:spacing w:val="7"/>
                <w:sz w:val="24"/>
              </w:rPr>
              <w:t>公</w:t>
            </w:r>
            <w:r>
              <w:rPr>
                <w:color w:val="auto"/>
                <w:spacing w:val="4"/>
                <w:sz w:val="24"/>
              </w:rPr>
              <w:t>式计算：</w:t>
            </w:r>
          </w:p>
          <w:p w14:paraId="4D02D557">
            <w:pPr>
              <w:spacing w:line="360" w:lineRule="auto"/>
              <w:ind w:firstLine="480" w:firstLineChars="200"/>
              <w:rPr>
                <w:color w:val="auto"/>
                <w:sz w:val="24"/>
                <w:vertAlign w:val="superscript"/>
              </w:rPr>
            </w:pPr>
            <w:r>
              <w:rPr>
                <w:color w:val="auto"/>
                <w:position w:val="13"/>
                <w:sz w:val="24"/>
              </w:rPr>
              <w:t>Q</w:t>
            </w:r>
            <w:r>
              <w:rPr>
                <w:color w:val="auto"/>
                <w:spacing w:val="-1"/>
                <w:position w:val="13"/>
                <w:sz w:val="24"/>
              </w:rPr>
              <w:t>=2.1(</w:t>
            </w:r>
            <w:r>
              <w:rPr>
                <w:color w:val="auto"/>
                <w:position w:val="13"/>
                <w:sz w:val="24"/>
              </w:rPr>
              <w:t>V</w:t>
            </w:r>
            <w:r>
              <w:rPr>
                <w:color w:val="auto"/>
                <w:position w:val="13"/>
                <w:sz w:val="24"/>
                <w:vertAlign w:val="subscript"/>
              </w:rPr>
              <w:t>50</w:t>
            </w:r>
            <w:r>
              <w:rPr>
                <w:color w:val="auto"/>
                <w:spacing w:val="-1"/>
                <w:position w:val="13"/>
                <w:sz w:val="24"/>
              </w:rPr>
              <w:t>-</w:t>
            </w:r>
            <w:r>
              <w:rPr>
                <w:color w:val="auto"/>
                <w:position w:val="13"/>
                <w:sz w:val="24"/>
              </w:rPr>
              <w:t>V</w:t>
            </w:r>
            <w:r>
              <w:rPr>
                <w:color w:val="auto"/>
                <w:position w:val="13"/>
                <w:sz w:val="24"/>
                <w:vertAlign w:val="subscript"/>
              </w:rPr>
              <w:t>0</w:t>
            </w:r>
            <w:r>
              <w:rPr>
                <w:color w:val="auto"/>
                <w:spacing w:val="-1"/>
                <w:position w:val="13"/>
                <w:sz w:val="24"/>
              </w:rPr>
              <w:t>)</w:t>
            </w:r>
            <w:r>
              <w:rPr>
                <w:color w:val="auto"/>
                <w:spacing w:val="-1"/>
                <w:position w:val="13"/>
                <w:sz w:val="24"/>
                <w:vertAlign w:val="superscript"/>
              </w:rPr>
              <w:t>3</w:t>
            </w:r>
            <w:r>
              <w:rPr>
                <w:color w:val="auto"/>
                <w:position w:val="13"/>
                <w:sz w:val="24"/>
              </w:rPr>
              <w:t>e</w:t>
            </w:r>
            <w:r>
              <w:rPr>
                <w:color w:val="auto"/>
                <w:position w:val="13"/>
                <w:sz w:val="24"/>
                <w:vertAlign w:val="superscript"/>
              </w:rPr>
              <w:t>-1.0123W</w:t>
            </w:r>
          </w:p>
          <w:p w14:paraId="00BF39A9">
            <w:pPr>
              <w:spacing w:line="360" w:lineRule="auto"/>
              <w:ind w:firstLine="516" w:firstLineChars="200"/>
              <w:rPr>
                <w:color w:val="auto"/>
                <w:sz w:val="24"/>
              </w:rPr>
            </w:pPr>
            <w:r>
              <w:rPr>
                <w:color w:val="auto"/>
                <w:spacing w:val="9"/>
                <w:position w:val="2"/>
                <w:sz w:val="24"/>
              </w:rPr>
              <w:t>式中：</w:t>
            </w:r>
            <w:r>
              <w:rPr>
                <w:color w:val="auto"/>
                <w:position w:val="2"/>
                <w:sz w:val="24"/>
              </w:rPr>
              <w:t>Q</w:t>
            </w:r>
            <w:r>
              <w:rPr>
                <w:color w:val="auto"/>
                <w:spacing w:val="9"/>
                <w:position w:val="2"/>
                <w:sz w:val="24"/>
              </w:rPr>
              <w:t>—起尘量，</w:t>
            </w:r>
            <w:r>
              <w:rPr>
                <w:color w:val="auto"/>
                <w:position w:val="2"/>
                <w:sz w:val="24"/>
              </w:rPr>
              <w:t>kg</w:t>
            </w:r>
            <w:r>
              <w:rPr>
                <w:color w:val="auto"/>
                <w:spacing w:val="9"/>
                <w:position w:val="2"/>
                <w:sz w:val="24"/>
              </w:rPr>
              <w:t>/</w:t>
            </w:r>
            <w:r>
              <w:rPr>
                <w:color w:val="auto"/>
                <w:position w:val="2"/>
                <w:sz w:val="24"/>
              </w:rPr>
              <w:t>t</w:t>
            </w:r>
            <w:r>
              <w:rPr>
                <w:color w:val="auto"/>
                <w:spacing w:val="9"/>
                <w:position w:val="2"/>
                <w:sz w:val="24"/>
              </w:rPr>
              <w:t>·</w:t>
            </w:r>
            <w:r>
              <w:rPr>
                <w:color w:val="auto"/>
                <w:position w:val="2"/>
                <w:sz w:val="24"/>
              </w:rPr>
              <w:t>a</w:t>
            </w:r>
            <w:r>
              <w:rPr>
                <w:color w:val="auto"/>
                <w:spacing w:val="8"/>
                <w:position w:val="2"/>
                <w:sz w:val="24"/>
              </w:rPr>
              <w:t>；</w:t>
            </w:r>
          </w:p>
          <w:p w14:paraId="4313ADB5">
            <w:pPr>
              <w:spacing w:line="360" w:lineRule="auto"/>
              <w:ind w:firstLine="480" w:firstLineChars="200"/>
              <w:rPr>
                <w:color w:val="auto"/>
                <w:sz w:val="24"/>
              </w:rPr>
            </w:pPr>
            <w:r>
              <w:rPr>
                <w:color w:val="auto"/>
                <w:position w:val="12"/>
                <w:sz w:val="24"/>
              </w:rPr>
              <w:t>V</w:t>
            </w:r>
            <w:r>
              <w:rPr>
                <w:color w:val="auto"/>
                <w:position w:val="12"/>
                <w:sz w:val="24"/>
                <w:vertAlign w:val="subscript"/>
              </w:rPr>
              <w:t>50</w:t>
            </w:r>
            <w:r>
              <w:rPr>
                <w:color w:val="auto"/>
                <w:spacing w:val="7"/>
                <w:position w:val="12"/>
                <w:sz w:val="24"/>
              </w:rPr>
              <w:t>—距地面50</w:t>
            </w:r>
            <w:r>
              <w:rPr>
                <w:color w:val="auto"/>
                <w:position w:val="12"/>
                <w:sz w:val="24"/>
              </w:rPr>
              <w:t>m</w:t>
            </w:r>
            <w:r>
              <w:rPr>
                <w:color w:val="auto"/>
                <w:spacing w:val="7"/>
                <w:position w:val="12"/>
                <w:sz w:val="24"/>
              </w:rPr>
              <w:t>处风速，</w:t>
            </w:r>
            <w:r>
              <w:rPr>
                <w:color w:val="auto"/>
                <w:position w:val="12"/>
                <w:sz w:val="24"/>
              </w:rPr>
              <w:t>m</w:t>
            </w:r>
            <w:r>
              <w:rPr>
                <w:color w:val="auto"/>
                <w:spacing w:val="7"/>
                <w:position w:val="12"/>
                <w:sz w:val="24"/>
              </w:rPr>
              <w:t>/</w:t>
            </w:r>
            <w:r>
              <w:rPr>
                <w:color w:val="auto"/>
                <w:position w:val="12"/>
                <w:sz w:val="24"/>
              </w:rPr>
              <w:t>s</w:t>
            </w:r>
            <w:r>
              <w:rPr>
                <w:color w:val="auto"/>
                <w:spacing w:val="7"/>
                <w:position w:val="12"/>
                <w:sz w:val="24"/>
              </w:rPr>
              <w:t>；</w:t>
            </w:r>
          </w:p>
          <w:p w14:paraId="64FBE420">
            <w:pPr>
              <w:spacing w:line="360" w:lineRule="auto"/>
              <w:ind w:firstLine="480" w:firstLineChars="200"/>
              <w:rPr>
                <w:color w:val="auto"/>
                <w:sz w:val="24"/>
              </w:rPr>
            </w:pPr>
            <w:r>
              <w:rPr>
                <w:color w:val="auto"/>
                <w:position w:val="1"/>
                <w:sz w:val="24"/>
              </w:rPr>
              <w:t>V</w:t>
            </w:r>
            <w:r>
              <w:rPr>
                <w:color w:val="auto"/>
                <w:position w:val="1"/>
                <w:sz w:val="24"/>
                <w:vertAlign w:val="subscript"/>
              </w:rPr>
              <w:t>0</w:t>
            </w:r>
            <w:r>
              <w:rPr>
                <w:color w:val="auto"/>
                <w:spacing w:val="9"/>
                <w:position w:val="1"/>
                <w:sz w:val="24"/>
              </w:rPr>
              <w:t>—起尘风速，</w:t>
            </w:r>
            <w:r>
              <w:rPr>
                <w:color w:val="auto"/>
                <w:position w:val="1"/>
                <w:sz w:val="24"/>
              </w:rPr>
              <w:t>m</w:t>
            </w:r>
            <w:r>
              <w:rPr>
                <w:color w:val="auto"/>
                <w:spacing w:val="9"/>
                <w:position w:val="1"/>
                <w:sz w:val="24"/>
              </w:rPr>
              <w:t>/</w:t>
            </w:r>
            <w:r>
              <w:rPr>
                <w:color w:val="auto"/>
                <w:position w:val="1"/>
                <w:sz w:val="24"/>
              </w:rPr>
              <w:t>s</w:t>
            </w:r>
            <w:r>
              <w:rPr>
                <w:color w:val="auto"/>
                <w:spacing w:val="8"/>
                <w:position w:val="1"/>
                <w:sz w:val="24"/>
              </w:rPr>
              <w:t>；</w:t>
            </w:r>
          </w:p>
          <w:p w14:paraId="2E6B9018">
            <w:pPr>
              <w:spacing w:line="360" w:lineRule="auto"/>
              <w:ind w:firstLine="480" w:firstLineChars="200"/>
              <w:rPr>
                <w:color w:val="auto"/>
                <w:sz w:val="24"/>
              </w:rPr>
            </w:pPr>
            <w:r>
              <w:rPr>
                <w:color w:val="auto"/>
                <w:position w:val="1"/>
                <w:sz w:val="24"/>
              </w:rPr>
              <w:t>W</w:t>
            </w:r>
            <w:r>
              <w:rPr>
                <w:color w:val="auto"/>
                <w:spacing w:val="14"/>
                <w:position w:val="1"/>
                <w:sz w:val="24"/>
              </w:rPr>
              <w:t>—</w:t>
            </w:r>
            <w:r>
              <w:rPr>
                <w:color w:val="auto"/>
                <w:spacing w:val="9"/>
                <w:position w:val="1"/>
                <w:sz w:val="24"/>
              </w:rPr>
              <w:t>尘粒的含水量，%。</w:t>
            </w:r>
          </w:p>
          <w:p w14:paraId="6F83B4D8">
            <w:pPr>
              <w:widowControl/>
              <w:spacing w:line="360" w:lineRule="auto"/>
              <w:ind w:firstLine="536" w:firstLineChars="200"/>
              <w:rPr>
                <w:b/>
                <w:bCs/>
                <w:color w:val="auto"/>
                <w:spacing w:val="5"/>
                <w:szCs w:val="21"/>
              </w:rPr>
            </w:pPr>
            <w:r>
              <w:rPr>
                <w:color w:val="auto"/>
                <w:spacing w:val="14"/>
                <w:sz w:val="24"/>
              </w:rPr>
              <w:t>起</w:t>
            </w:r>
            <w:r>
              <w:rPr>
                <w:color w:val="auto"/>
                <w:spacing w:val="9"/>
                <w:sz w:val="24"/>
              </w:rPr>
              <w:t>尘</w:t>
            </w:r>
            <w:r>
              <w:rPr>
                <w:color w:val="auto"/>
                <w:spacing w:val="7"/>
                <w:sz w:val="24"/>
              </w:rPr>
              <w:t>风速与粒径和含水量有关，因此，减少露天堆放和保证一定的含水量及减少裸露地</w:t>
            </w:r>
            <w:r>
              <w:rPr>
                <w:color w:val="auto"/>
                <w:spacing w:val="14"/>
                <w:sz w:val="24"/>
              </w:rPr>
              <w:t>面是</w:t>
            </w:r>
            <w:r>
              <w:rPr>
                <w:color w:val="auto"/>
                <w:spacing w:val="8"/>
                <w:sz w:val="24"/>
              </w:rPr>
              <w:t>减</w:t>
            </w:r>
            <w:r>
              <w:rPr>
                <w:color w:val="auto"/>
                <w:spacing w:val="7"/>
                <w:sz w:val="24"/>
              </w:rPr>
              <w:t>少风力起尘的有效手段。粉尘在空气中的扩散稀释与风速等气象条件有关，也与粉尘</w:t>
            </w:r>
            <w:r>
              <w:rPr>
                <w:color w:val="auto"/>
                <w:spacing w:val="12"/>
                <w:sz w:val="24"/>
              </w:rPr>
              <w:t>本身</w:t>
            </w:r>
            <w:r>
              <w:rPr>
                <w:color w:val="auto"/>
                <w:spacing w:val="9"/>
                <w:sz w:val="24"/>
              </w:rPr>
              <w:t>的</w:t>
            </w:r>
            <w:r>
              <w:rPr>
                <w:color w:val="auto"/>
                <w:spacing w:val="6"/>
                <w:sz w:val="24"/>
              </w:rPr>
              <w:t>沉降速度有关。不同粒径粉尘的沉降速度见表4-1。</w:t>
            </w:r>
          </w:p>
          <w:p w14:paraId="2ABDB14A">
            <w:pPr>
              <w:ind w:left="2416" w:firstLine="442" w:firstLineChars="200"/>
              <w:rPr>
                <w:color w:val="auto"/>
                <w:szCs w:val="21"/>
              </w:rPr>
            </w:pPr>
            <w:r>
              <w:rPr>
                <w:b/>
                <w:bCs/>
                <w:color w:val="auto"/>
                <w:spacing w:val="5"/>
                <w:szCs w:val="21"/>
              </w:rPr>
              <w:t>表4-1  不同粒径尘粒的沉降速度</w:t>
            </w:r>
          </w:p>
          <w:tbl>
            <w:tblPr>
              <w:tblStyle w:val="20"/>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610"/>
              <w:gridCol w:w="938"/>
              <w:gridCol w:w="938"/>
              <w:gridCol w:w="935"/>
              <w:gridCol w:w="938"/>
              <w:gridCol w:w="935"/>
              <w:gridCol w:w="867"/>
              <w:gridCol w:w="976"/>
            </w:tblGrid>
            <w:tr w14:paraId="7BEEFA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1427" w:type="pct"/>
                  <w:vAlign w:val="center"/>
                </w:tcPr>
                <w:p w14:paraId="4A47303C">
                  <w:pPr>
                    <w:jc w:val="center"/>
                    <w:rPr>
                      <w:color w:val="auto"/>
                      <w:szCs w:val="21"/>
                    </w:rPr>
                  </w:pPr>
                  <w:r>
                    <w:rPr>
                      <w:color w:val="auto"/>
                      <w:spacing w:val="10"/>
                      <w:position w:val="2"/>
                      <w:szCs w:val="21"/>
                    </w:rPr>
                    <w:t>粉</w:t>
                  </w:r>
                  <w:r>
                    <w:rPr>
                      <w:color w:val="auto"/>
                      <w:spacing w:val="7"/>
                      <w:position w:val="2"/>
                      <w:szCs w:val="21"/>
                    </w:rPr>
                    <w:t>尘粒径(μ</w:t>
                  </w:r>
                  <w:r>
                    <w:rPr>
                      <w:color w:val="auto"/>
                      <w:position w:val="2"/>
                      <w:szCs w:val="21"/>
                    </w:rPr>
                    <w:t>m</w:t>
                  </w:r>
                  <w:r>
                    <w:rPr>
                      <w:color w:val="auto"/>
                      <w:spacing w:val="7"/>
                      <w:position w:val="2"/>
                      <w:szCs w:val="21"/>
                    </w:rPr>
                    <w:t>)</w:t>
                  </w:r>
                </w:p>
              </w:tc>
              <w:tc>
                <w:tcPr>
                  <w:tcW w:w="513" w:type="pct"/>
                  <w:vAlign w:val="center"/>
                </w:tcPr>
                <w:p w14:paraId="28124B29">
                  <w:pPr>
                    <w:jc w:val="center"/>
                    <w:rPr>
                      <w:color w:val="auto"/>
                      <w:szCs w:val="21"/>
                    </w:rPr>
                  </w:pPr>
                  <w:r>
                    <w:rPr>
                      <w:color w:val="auto"/>
                      <w:spacing w:val="-5"/>
                      <w:szCs w:val="21"/>
                    </w:rPr>
                    <w:t>10</w:t>
                  </w:r>
                </w:p>
              </w:tc>
              <w:tc>
                <w:tcPr>
                  <w:tcW w:w="513" w:type="pct"/>
                  <w:vAlign w:val="center"/>
                </w:tcPr>
                <w:p w14:paraId="60DA23CF">
                  <w:pPr>
                    <w:jc w:val="center"/>
                    <w:rPr>
                      <w:color w:val="auto"/>
                      <w:szCs w:val="21"/>
                    </w:rPr>
                  </w:pPr>
                  <w:r>
                    <w:rPr>
                      <w:color w:val="auto"/>
                      <w:spacing w:val="4"/>
                      <w:szCs w:val="21"/>
                    </w:rPr>
                    <w:t>2</w:t>
                  </w:r>
                  <w:r>
                    <w:rPr>
                      <w:color w:val="auto"/>
                      <w:spacing w:val="3"/>
                      <w:szCs w:val="21"/>
                    </w:rPr>
                    <w:t>0</w:t>
                  </w:r>
                </w:p>
              </w:tc>
              <w:tc>
                <w:tcPr>
                  <w:tcW w:w="511" w:type="pct"/>
                  <w:vAlign w:val="center"/>
                </w:tcPr>
                <w:p w14:paraId="2B9C93B8">
                  <w:pPr>
                    <w:jc w:val="center"/>
                    <w:rPr>
                      <w:color w:val="auto"/>
                      <w:szCs w:val="21"/>
                    </w:rPr>
                  </w:pPr>
                  <w:r>
                    <w:rPr>
                      <w:color w:val="auto"/>
                      <w:spacing w:val="2"/>
                      <w:szCs w:val="21"/>
                    </w:rPr>
                    <w:t>3</w:t>
                  </w:r>
                  <w:r>
                    <w:rPr>
                      <w:color w:val="auto"/>
                      <w:spacing w:val="1"/>
                      <w:szCs w:val="21"/>
                    </w:rPr>
                    <w:t>0</w:t>
                  </w:r>
                </w:p>
              </w:tc>
              <w:tc>
                <w:tcPr>
                  <w:tcW w:w="513" w:type="pct"/>
                  <w:vAlign w:val="center"/>
                </w:tcPr>
                <w:p w14:paraId="30DBB351">
                  <w:pPr>
                    <w:jc w:val="center"/>
                    <w:rPr>
                      <w:color w:val="auto"/>
                      <w:szCs w:val="21"/>
                    </w:rPr>
                  </w:pPr>
                  <w:r>
                    <w:rPr>
                      <w:color w:val="auto"/>
                      <w:spacing w:val="4"/>
                      <w:szCs w:val="21"/>
                    </w:rPr>
                    <w:t>40</w:t>
                  </w:r>
                </w:p>
              </w:tc>
              <w:tc>
                <w:tcPr>
                  <w:tcW w:w="511" w:type="pct"/>
                  <w:vAlign w:val="center"/>
                </w:tcPr>
                <w:p w14:paraId="777AEA1D">
                  <w:pPr>
                    <w:jc w:val="center"/>
                    <w:rPr>
                      <w:color w:val="auto"/>
                      <w:szCs w:val="21"/>
                    </w:rPr>
                  </w:pPr>
                  <w:r>
                    <w:rPr>
                      <w:color w:val="auto"/>
                      <w:spacing w:val="1"/>
                      <w:szCs w:val="21"/>
                    </w:rPr>
                    <w:t>50</w:t>
                  </w:r>
                </w:p>
              </w:tc>
              <w:tc>
                <w:tcPr>
                  <w:tcW w:w="474" w:type="pct"/>
                  <w:vAlign w:val="center"/>
                </w:tcPr>
                <w:p w14:paraId="41744383">
                  <w:pPr>
                    <w:jc w:val="center"/>
                    <w:rPr>
                      <w:color w:val="auto"/>
                      <w:szCs w:val="21"/>
                    </w:rPr>
                  </w:pPr>
                  <w:r>
                    <w:rPr>
                      <w:color w:val="auto"/>
                      <w:spacing w:val="2"/>
                      <w:szCs w:val="21"/>
                    </w:rPr>
                    <w:t>6</w:t>
                  </w:r>
                  <w:r>
                    <w:rPr>
                      <w:color w:val="auto"/>
                      <w:spacing w:val="1"/>
                      <w:szCs w:val="21"/>
                    </w:rPr>
                    <w:t>0</w:t>
                  </w:r>
                </w:p>
              </w:tc>
              <w:tc>
                <w:tcPr>
                  <w:tcW w:w="533" w:type="pct"/>
                  <w:vAlign w:val="center"/>
                </w:tcPr>
                <w:p w14:paraId="244EBE80">
                  <w:pPr>
                    <w:jc w:val="center"/>
                    <w:rPr>
                      <w:color w:val="auto"/>
                      <w:szCs w:val="21"/>
                    </w:rPr>
                  </w:pPr>
                  <w:r>
                    <w:rPr>
                      <w:color w:val="auto"/>
                      <w:spacing w:val="2"/>
                      <w:szCs w:val="21"/>
                    </w:rPr>
                    <w:t>70</w:t>
                  </w:r>
                </w:p>
              </w:tc>
            </w:tr>
            <w:tr w14:paraId="3C5C0C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9" w:hRule="atLeast"/>
              </w:trPr>
              <w:tc>
                <w:tcPr>
                  <w:tcW w:w="1427" w:type="pct"/>
                  <w:vAlign w:val="center"/>
                </w:tcPr>
                <w:p w14:paraId="19FAF454">
                  <w:pPr>
                    <w:jc w:val="center"/>
                    <w:rPr>
                      <w:color w:val="auto"/>
                      <w:szCs w:val="21"/>
                    </w:rPr>
                  </w:pPr>
                  <w:r>
                    <w:rPr>
                      <w:color w:val="auto"/>
                      <w:spacing w:val="11"/>
                      <w:position w:val="2"/>
                      <w:szCs w:val="21"/>
                    </w:rPr>
                    <w:t>沉</w:t>
                  </w:r>
                  <w:r>
                    <w:rPr>
                      <w:color w:val="auto"/>
                      <w:spacing w:val="7"/>
                      <w:position w:val="2"/>
                      <w:szCs w:val="21"/>
                    </w:rPr>
                    <w:t>降速度(</w:t>
                  </w:r>
                  <w:r>
                    <w:rPr>
                      <w:color w:val="auto"/>
                      <w:position w:val="2"/>
                      <w:szCs w:val="21"/>
                    </w:rPr>
                    <w:t>m</w:t>
                  </w:r>
                  <w:r>
                    <w:rPr>
                      <w:color w:val="auto"/>
                      <w:spacing w:val="7"/>
                      <w:position w:val="2"/>
                      <w:szCs w:val="21"/>
                    </w:rPr>
                    <w:t>/</w:t>
                  </w:r>
                  <w:r>
                    <w:rPr>
                      <w:color w:val="auto"/>
                      <w:position w:val="2"/>
                      <w:szCs w:val="21"/>
                    </w:rPr>
                    <w:t>s</w:t>
                  </w:r>
                  <w:r>
                    <w:rPr>
                      <w:color w:val="auto"/>
                      <w:spacing w:val="7"/>
                      <w:position w:val="2"/>
                      <w:szCs w:val="21"/>
                    </w:rPr>
                    <w:t>)</w:t>
                  </w:r>
                </w:p>
              </w:tc>
              <w:tc>
                <w:tcPr>
                  <w:tcW w:w="513" w:type="pct"/>
                  <w:vAlign w:val="center"/>
                </w:tcPr>
                <w:p w14:paraId="4B7BF1E3">
                  <w:pPr>
                    <w:jc w:val="center"/>
                    <w:rPr>
                      <w:color w:val="auto"/>
                      <w:szCs w:val="21"/>
                    </w:rPr>
                  </w:pPr>
                  <w:r>
                    <w:rPr>
                      <w:color w:val="auto"/>
                      <w:spacing w:val="5"/>
                      <w:szCs w:val="21"/>
                    </w:rPr>
                    <w:t>0</w:t>
                  </w:r>
                  <w:r>
                    <w:rPr>
                      <w:color w:val="auto"/>
                      <w:spacing w:val="3"/>
                      <w:szCs w:val="21"/>
                    </w:rPr>
                    <w:t>.003</w:t>
                  </w:r>
                </w:p>
              </w:tc>
              <w:tc>
                <w:tcPr>
                  <w:tcW w:w="513" w:type="pct"/>
                  <w:vAlign w:val="center"/>
                </w:tcPr>
                <w:p w14:paraId="6CFB7438">
                  <w:pPr>
                    <w:jc w:val="center"/>
                    <w:rPr>
                      <w:color w:val="auto"/>
                      <w:szCs w:val="21"/>
                    </w:rPr>
                  </w:pPr>
                  <w:r>
                    <w:rPr>
                      <w:color w:val="auto"/>
                      <w:spacing w:val="5"/>
                      <w:szCs w:val="21"/>
                    </w:rPr>
                    <w:t>0</w:t>
                  </w:r>
                  <w:r>
                    <w:rPr>
                      <w:color w:val="auto"/>
                      <w:spacing w:val="3"/>
                      <w:szCs w:val="21"/>
                    </w:rPr>
                    <w:t>.012</w:t>
                  </w:r>
                </w:p>
              </w:tc>
              <w:tc>
                <w:tcPr>
                  <w:tcW w:w="511" w:type="pct"/>
                  <w:vAlign w:val="center"/>
                </w:tcPr>
                <w:p w14:paraId="05A6719F">
                  <w:pPr>
                    <w:jc w:val="center"/>
                    <w:rPr>
                      <w:color w:val="auto"/>
                      <w:szCs w:val="21"/>
                    </w:rPr>
                  </w:pPr>
                  <w:r>
                    <w:rPr>
                      <w:color w:val="auto"/>
                      <w:spacing w:val="3"/>
                      <w:szCs w:val="21"/>
                    </w:rPr>
                    <w:t>0.027</w:t>
                  </w:r>
                </w:p>
              </w:tc>
              <w:tc>
                <w:tcPr>
                  <w:tcW w:w="513" w:type="pct"/>
                  <w:vAlign w:val="center"/>
                </w:tcPr>
                <w:p w14:paraId="5D619C2E">
                  <w:pPr>
                    <w:jc w:val="center"/>
                    <w:rPr>
                      <w:color w:val="auto"/>
                      <w:szCs w:val="21"/>
                    </w:rPr>
                  </w:pPr>
                  <w:r>
                    <w:rPr>
                      <w:color w:val="auto"/>
                      <w:spacing w:val="5"/>
                      <w:szCs w:val="21"/>
                    </w:rPr>
                    <w:t>0</w:t>
                  </w:r>
                  <w:r>
                    <w:rPr>
                      <w:color w:val="auto"/>
                      <w:spacing w:val="3"/>
                      <w:szCs w:val="21"/>
                    </w:rPr>
                    <w:t>.048</w:t>
                  </w:r>
                </w:p>
              </w:tc>
              <w:tc>
                <w:tcPr>
                  <w:tcW w:w="511" w:type="pct"/>
                  <w:vAlign w:val="center"/>
                </w:tcPr>
                <w:p w14:paraId="04B16C21">
                  <w:pPr>
                    <w:jc w:val="center"/>
                    <w:rPr>
                      <w:color w:val="auto"/>
                      <w:szCs w:val="21"/>
                    </w:rPr>
                  </w:pPr>
                  <w:r>
                    <w:rPr>
                      <w:color w:val="auto"/>
                      <w:spacing w:val="3"/>
                      <w:szCs w:val="21"/>
                    </w:rPr>
                    <w:t>0.075</w:t>
                  </w:r>
                </w:p>
              </w:tc>
              <w:tc>
                <w:tcPr>
                  <w:tcW w:w="474" w:type="pct"/>
                  <w:vAlign w:val="center"/>
                </w:tcPr>
                <w:p w14:paraId="258DD22E">
                  <w:pPr>
                    <w:jc w:val="center"/>
                    <w:rPr>
                      <w:color w:val="auto"/>
                      <w:szCs w:val="21"/>
                    </w:rPr>
                  </w:pPr>
                  <w:r>
                    <w:rPr>
                      <w:color w:val="auto"/>
                      <w:spacing w:val="-5"/>
                      <w:szCs w:val="21"/>
                    </w:rPr>
                    <w:t>0</w:t>
                  </w:r>
                  <w:r>
                    <w:rPr>
                      <w:color w:val="auto"/>
                      <w:spacing w:val="-4"/>
                      <w:szCs w:val="21"/>
                    </w:rPr>
                    <w:t>.108</w:t>
                  </w:r>
                </w:p>
              </w:tc>
              <w:tc>
                <w:tcPr>
                  <w:tcW w:w="533" w:type="pct"/>
                  <w:vAlign w:val="center"/>
                </w:tcPr>
                <w:p w14:paraId="4CC4FE49">
                  <w:pPr>
                    <w:jc w:val="center"/>
                    <w:rPr>
                      <w:color w:val="auto"/>
                      <w:szCs w:val="21"/>
                    </w:rPr>
                  </w:pPr>
                  <w:r>
                    <w:rPr>
                      <w:color w:val="auto"/>
                      <w:spacing w:val="-5"/>
                      <w:szCs w:val="21"/>
                    </w:rPr>
                    <w:t>0</w:t>
                  </w:r>
                  <w:r>
                    <w:rPr>
                      <w:color w:val="auto"/>
                      <w:spacing w:val="-4"/>
                      <w:szCs w:val="21"/>
                    </w:rPr>
                    <w:t>.146</w:t>
                  </w:r>
                </w:p>
              </w:tc>
            </w:tr>
            <w:tr w14:paraId="799E6C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1427" w:type="pct"/>
                  <w:vAlign w:val="center"/>
                </w:tcPr>
                <w:p w14:paraId="325CB190">
                  <w:pPr>
                    <w:jc w:val="center"/>
                    <w:rPr>
                      <w:color w:val="auto"/>
                      <w:szCs w:val="21"/>
                    </w:rPr>
                  </w:pPr>
                  <w:r>
                    <w:rPr>
                      <w:color w:val="auto"/>
                      <w:spacing w:val="10"/>
                      <w:position w:val="2"/>
                      <w:szCs w:val="21"/>
                    </w:rPr>
                    <w:t>粉</w:t>
                  </w:r>
                  <w:r>
                    <w:rPr>
                      <w:color w:val="auto"/>
                      <w:spacing w:val="7"/>
                      <w:position w:val="2"/>
                      <w:szCs w:val="21"/>
                    </w:rPr>
                    <w:t>尘粒径(μ</w:t>
                  </w:r>
                  <w:r>
                    <w:rPr>
                      <w:color w:val="auto"/>
                      <w:position w:val="2"/>
                      <w:szCs w:val="21"/>
                    </w:rPr>
                    <w:t>m</w:t>
                  </w:r>
                  <w:r>
                    <w:rPr>
                      <w:color w:val="auto"/>
                      <w:spacing w:val="7"/>
                      <w:position w:val="2"/>
                      <w:szCs w:val="21"/>
                    </w:rPr>
                    <w:t>)</w:t>
                  </w:r>
                </w:p>
              </w:tc>
              <w:tc>
                <w:tcPr>
                  <w:tcW w:w="513" w:type="pct"/>
                  <w:vAlign w:val="center"/>
                </w:tcPr>
                <w:p w14:paraId="2914A294">
                  <w:pPr>
                    <w:jc w:val="center"/>
                    <w:rPr>
                      <w:color w:val="auto"/>
                      <w:szCs w:val="21"/>
                    </w:rPr>
                  </w:pPr>
                  <w:r>
                    <w:rPr>
                      <w:color w:val="auto"/>
                      <w:szCs w:val="21"/>
                    </w:rPr>
                    <w:t>80</w:t>
                  </w:r>
                </w:p>
              </w:tc>
              <w:tc>
                <w:tcPr>
                  <w:tcW w:w="513" w:type="pct"/>
                  <w:vAlign w:val="center"/>
                </w:tcPr>
                <w:p w14:paraId="17ADC343">
                  <w:pPr>
                    <w:jc w:val="center"/>
                    <w:rPr>
                      <w:color w:val="auto"/>
                      <w:szCs w:val="21"/>
                    </w:rPr>
                  </w:pPr>
                  <w:r>
                    <w:rPr>
                      <w:color w:val="auto"/>
                      <w:spacing w:val="2"/>
                      <w:szCs w:val="21"/>
                    </w:rPr>
                    <w:t>9</w:t>
                  </w:r>
                  <w:r>
                    <w:rPr>
                      <w:color w:val="auto"/>
                      <w:spacing w:val="1"/>
                      <w:szCs w:val="21"/>
                    </w:rPr>
                    <w:t>0</w:t>
                  </w:r>
                </w:p>
              </w:tc>
              <w:tc>
                <w:tcPr>
                  <w:tcW w:w="511" w:type="pct"/>
                  <w:vAlign w:val="center"/>
                </w:tcPr>
                <w:p w14:paraId="00289D5D">
                  <w:pPr>
                    <w:jc w:val="center"/>
                    <w:rPr>
                      <w:color w:val="auto"/>
                      <w:szCs w:val="21"/>
                    </w:rPr>
                  </w:pPr>
                  <w:r>
                    <w:rPr>
                      <w:color w:val="auto"/>
                      <w:spacing w:val="-3"/>
                      <w:szCs w:val="21"/>
                    </w:rPr>
                    <w:t>1</w:t>
                  </w:r>
                  <w:r>
                    <w:rPr>
                      <w:color w:val="auto"/>
                      <w:spacing w:val="-2"/>
                      <w:szCs w:val="21"/>
                    </w:rPr>
                    <w:t>00</w:t>
                  </w:r>
                </w:p>
              </w:tc>
              <w:tc>
                <w:tcPr>
                  <w:tcW w:w="513" w:type="pct"/>
                  <w:vAlign w:val="center"/>
                </w:tcPr>
                <w:p w14:paraId="312998DB">
                  <w:pPr>
                    <w:jc w:val="center"/>
                    <w:rPr>
                      <w:color w:val="auto"/>
                      <w:szCs w:val="21"/>
                    </w:rPr>
                  </w:pPr>
                  <w:r>
                    <w:rPr>
                      <w:color w:val="auto"/>
                      <w:spacing w:val="-3"/>
                      <w:szCs w:val="21"/>
                    </w:rPr>
                    <w:t>1</w:t>
                  </w:r>
                  <w:r>
                    <w:rPr>
                      <w:color w:val="auto"/>
                      <w:spacing w:val="-2"/>
                      <w:szCs w:val="21"/>
                    </w:rPr>
                    <w:t>50</w:t>
                  </w:r>
                </w:p>
              </w:tc>
              <w:tc>
                <w:tcPr>
                  <w:tcW w:w="511" w:type="pct"/>
                  <w:vAlign w:val="center"/>
                </w:tcPr>
                <w:p w14:paraId="23D9D983">
                  <w:pPr>
                    <w:jc w:val="center"/>
                    <w:rPr>
                      <w:color w:val="auto"/>
                      <w:szCs w:val="21"/>
                    </w:rPr>
                  </w:pPr>
                  <w:r>
                    <w:rPr>
                      <w:color w:val="auto"/>
                      <w:spacing w:val="5"/>
                      <w:szCs w:val="21"/>
                    </w:rPr>
                    <w:t>2</w:t>
                  </w:r>
                  <w:r>
                    <w:rPr>
                      <w:color w:val="auto"/>
                      <w:spacing w:val="3"/>
                      <w:szCs w:val="21"/>
                    </w:rPr>
                    <w:t>00</w:t>
                  </w:r>
                </w:p>
              </w:tc>
              <w:tc>
                <w:tcPr>
                  <w:tcW w:w="474" w:type="pct"/>
                  <w:vAlign w:val="center"/>
                </w:tcPr>
                <w:p w14:paraId="777A312E">
                  <w:pPr>
                    <w:jc w:val="center"/>
                    <w:rPr>
                      <w:color w:val="auto"/>
                      <w:szCs w:val="21"/>
                    </w:rPr>
                  </w:pPr>
                  <w:r>
                    <w:rPr>
                      <w:color w:val="auto"/>
                      <w:spacing w:val="5"/>
                      <w:szCs w:val="21"/>
                    </w:rPr>
                    <w:t>2</w:t>
                  </w:r>
                  <w:r>
                    <w:rPr>
                      <w:color w:val="auto"/>
                      <w:spacing w:val="3"/>
                      <w:szCs w:val="21"/>
                    </w:rPr>
                    <w:t>50</w:t>
                  </w:r>
                </w:p>
              </w:tc>
              <w:tc>
                <w:tcPr>
                  <w:tcW w:w="533" w:type="pct"/>
                  <w:vAlign w:val="center"/>
                </w:tcPr>
                <w:p w14:paraId="25BDB390">
                  <w:pPr>
                    <w:jc w:val="center"/>
                    <w:rPr>
                      <w:color w:val="auto"/>
                      <w:szCs w:val="21"/>
                    </w:rPr>
                  </w:pPr>
                  <w:r>
                    <w:rPr>
                      <w:color w:val="auto"/>
                      <w:spacing w:val="3"/>
                      <w:szCs w:val="21"/>
                    </w:rPr>
                    <w:t>3</w:t>
                  </w:r>
                  <w:r>
                    <w:rPr>
                      <w:color w:val="auto"/>
                      <w:spacing w:val="2"/>
                      <w:szCs w:val="21"/>
                    </w:rPr>
                    <w:t>50</w:t>
                  </w:r>
                </w:p>
              </w:tc>
            </w:tr>
            <w:tr w14:paraId="5928AB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2627" w:type="dxa"/>
                  <w:vAlign w:val="center"/>
                </w:tcPr>
                <w:p w14:paraId="4DC4F911">
                  <w:pPr>
                    <w:jc w:val="center"/>
                    <w:rPr>
                      <w:color w:val="auto"/>
                      <w:spacing w:val="10"/>
                      <w:position w:val="2"/>
                      <w:szCs w:val="21"/>
                    </w:rPr>
                  </w:pPr>
                  <w:r>
                    <w:rPr>
                      <w:color w:val="auto"/>
                      <w:spacing w:val="45"/>
                      <w:position w:val="1"/>
                      <w:szCs w:val="21"/>
                    </w:rPr>
                    <w:t>沉</w:t>
                  </w:r>
                  <w:r>
                    <w:rPr>
                      <w:color w:val="auto"/>
                      <w:spacing w:val="42"/>
                      <w:position w:val="1"/>
                      <w:szCs w:val="21"/>
                    </w:rPr>
                    <w:t>降速度(</w:t>
                  </w:r>
                  <w:r>
                    <w:rPr>
                      <w:color w:val="auto"/>
                      <w:position w:val="1"/>
                      <w:szCs w:val="21"/>
                    </w:rPr>
                    <w:t>m</w:t>
                  </w:r>
                  <w:r>
                    <w:rPr>
                      <w:color w:val="auto"/>
                      <w:spacing w:val="42"/>
                      <w:position w:val="1"/>
                      <w:szCs w:val="21"/>
                    </w:rPr>
                    <w:t>/</w:t>
                  </w:r>
                  <w:r>
                    <w:rPr>
                      <w:color w:val="auto"/>
                      <w:position w:val="1"/>
                      <w:szCs w:val="21"/>
                    </w:rPr>
                    <w:t>s</w:t>
                  </w:r>
                  <w:r>
                    <w:rPr>
                      <w:color w:val="auto"/>
                      <w:spacing w:val="42"/>
                      <w:position w:val="1"/>
                      <w:szCs w:val="21"/>
                    </w:rPr>
                    <w:t>)</w:t>
                  </w:r>
                </w:p>
              </w:tc>
              <w:tc>
                <w:tcPr>
                  <w:tcW w:w="944" w:type="dxa"/>
                  <w:vAlign w:val="center"/>
                </w:tcPr>
                <w:p w14:paraId="1893D386">
                  <w:pPr>
                    <w:jc w:val="center"/>
                    <w:rPr>
                      <w:color w:val="auto"/>
                      <w:szCs w:val="21"/>
                    </w:rPr>
                  </w:pPr>
                  <w:r>
                    <w:rPr>
                      <w:color w:val="auto"/>
                      <w:spacing w:val="3"/>
                      <w:position w:val="-2"/>
                      <w:szCs w:val="21"/>
                    </w:rPr>
                    <w:t>0.1</w:t>
                  </w:r>
                  <w:r>
                    <w:rPr>
                      <w:color w:val="auto"/>
                      <w:spacing w:val="2"/>
                      <w:position w:val="-2"/>
                      <w:szCs w:val="21"/>
                    </w:rPr>
                    <w:t>5</w:t>
                  </w:r>
                </w:p>
              </w:tc>
              <w:tc>
                <w:tcPr>
                  <w:tcW w:w="944" w:type="dxa"/>
                  <w:vAlign w:val="center"/>
                </w:tcPr>
                <w:p w14:paraId="7A26870E">
                  <w:pPr>
                    <w:jc w:val="center"/>
                    <w:rPr>
                      <w:color w:val="auto"/>
                      <w:spacing w:val="2"/>
                      <w:szCs w:val="21"/>
                    </w:rPr>
                  </w:pPr>
                  <w:r>
                    <w:rPr>
                      <w:color w:val="auto"/>
                      <w:spacing w:val="5"/>
                      <w:position w:val="-2"/>
                      <w:szCs w:val="21"/>
                    </w:rPr>
                    <w:t>0.</w:t>
                  </w:r>
                  <w:r>
                    <w:rPr>
                      <w:color w:val="auto"/>
                      <w:spacing w:val="3"/>
                      <w:position w:val="-2"/>
                      <w:szCs w:val="21"/>
                    </w:rPr>
                    <w:t>170</w:t>
                  </w:r>
                </w:p>
              </w:tc>
              <w:tc>
                <w:tcPr>
                  <w:tcW w:w="941" w:type="dxa"/>
                  <w:vAlign w:val="center"/>
                </w:tcPr>
                <w:p w14:paraId="331819F3">
                  <w:pPr>
                    <w:jc w:val="center"/>
                    <w:rPr>
                      <w:color w:val="auto"/>
                      <w:spacing w:val="-3"/>
                      <w:szCs w:val="21"/>
                    </w:rPr>
                  </w:pPr>
                  <w:r>
                    <w:rPr>
                      <w:color w:val="auto"/>
                      <w:spacing w:val="3"/>
                      <w:position w:val="-2"/>
                      <w:szCs w:val="21"/>
                    </w:rPr>
                    <w:t>0.182</w:t>
                  </w:r>
                </w:p>
              </w:tc>
              <w:tc>
                <w:tcPr>
                  <w:tcW w:w="944" w:type="dxa"/>
                  <w:vAlign w:val="center"/>
                </w:tcPr>
                <w:p w14:paraId="3EA84E7A">
                  <w:pPr>
                    <w:jc w:val="center"/>
                    <w:rPr>
                      <w:color w:val="auto"/>
                      <w:spacing w:val="-3"/>
                      <w:szCs w:val="21"/>
                    </w:rPr>
                  </w:pPr>
                  <w:r>
                    <w:rPr>
                      <w:color w:val="auto"/>
                      <w:spacing w:val="5"/>
                      <w:position w:val="-2"/>
                      <w:szCs w:val="21"/>
                    </w:rPr>
                    <w:t>0.</w:t>
                  </w:r>
                  <w:r>
                    <w:rPr>
                      <w:color w:val="auto"/>
                      <w:spacing w:val="3"/>
                      <w:position w:val="-2"/>
                      <w:szCs w:val="21"/>
                    </w:rPr>
                    <w:t>239</w:t>
                  </w:r>
                </w:p>
              </w:tc>
              <w:tc>
                <w:tcPr>
                  <w:tcW w:w="941" w:type="dxa"/>
                  <w:vAlign w:val="center"/>
                </w:tcPr>
                <w:p w14:paraId="59D777EF">
                  <w:pPr>
                    <w:jc w:val="center"/>
                    <w:rPr>
                      <w:color w:val="auto"/>
                      <w:spacing w:val="5"/>
                      <w:szCs w:val="21"/>
                    </w:rPr>
                  </w:pPr>
                  <w:r>
                    <w:rPr>
                      <w:color w:val="auto"/>
                      <w:spacing w:val="3"/>
                      <w:position w:val="-2"/>
                      <w:szCs w:val="21"/>
                    </w:rPr>
                    <w:t>0.804</w:t>
                  </w:r>
                </w:p>
              </w:tc>
              <w:tc>
                <w:tcPr>
                  <w:tcW w:w="873" w:type="dxa"/>
                  <w:vAlign w:val="center"/>
                </w:tcPr>
                <w:p w14:paraId="3A20EEF4">
                  <w:pPr>
                    <w:jc w:val="center"/>
                    <w:rPr>
                      <w:color w:val="auto"/>
                      <w:spacing w:val="5"/>
                      <w:szCs w:val="21"/>
                    </w:rPr>
                  </w:pPr>
                  <w:r>
                    <w:rPr>
                      <w:color w:val="auto"/>
                      <w:spacing w:val="1"/>
                      <w:position w:val="-2"/>
                      <w:szCs w:val="21"/>
                    </w:rPr>
                    <w:t>1.0</w:t>
                  </w:r>
                  <w:r>
                    <w:rPr>
                      <w:color w:val="auto"/>
                      <w:position w:val="-2"/>
                      <w:szCs w:val="21"/>
                    </w:rPr>
                    <w:t>05</w:t>
                  </w:r>
                </w:p>
              </w:tc>
              <w:tc>
                <w:tcPr>
                  <w:tcW w:w="982" w:type="dxa"/>
                  <w:vAlign w:val="center"/>
                </w:tcPr>
                <w:p w14:paraId="1C7BEC65">
                  <w:pPr>
                    <w:jc w:val="center"/>
                    <w:rPr>
                      <w:color w:val="auto"/>
                      <w:spacing w:val="3"/>
                      <w:szCs w:val="21"/>
                    </w:rPr>
                  </w:pPr>
                  <w:r>
                    <w:rPr>
                      <w:color w:val="auto"/>
                      <w:spacing w:val="-3"/>
                      <w:position w:val="-2"/>
                      <w:szCs w:val="21"/>
                    </w:rPr>
                    <w:t>1.</w:t>
                  </w:r>
                  <w:r>
                    <w:rPr>
                      <w:color w:val="auto"/>
                      <w:spacing w:val="-2"/>
                      <w:position w:val="-2"/>
                      <w:szCs w:val="21"/>
                    </w:rPr>
                    <w:t>9</w:t>
                  </w:r>
                </w:p>
              </w:tc>
            </w:tr>
            <w:tr w14:paraId="26A7BC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2627" w:type="dxa"/>
                  <w:vAlign w:val="center"/>
                </w:tcPr>
                <w:p w14:paraId="08536111">
                  <w:pPr>
                    <w:jc w:val="center"/>
                    <w:rPr>
                      <w:color w:val="auto"/>
                      <w:spacing w:val="10"/>
                      <w:position w:val="2"/>
                      <w:szCs w:val="21"/>
                    </w:rPr>
                  </w:pPr>
                  <w:r>
                    <w:rPr>
                      <w:color w:val="auto"/>
                      <w:spacing w:val="10"/>
                      <w:position w:val="2"/>
                      <w:szCs w:val="21"/>
                    </w:rPr>
                    <w:t>粉</w:t>
                  </w:r>
                  <w:r>
                    <w:rPr>
                      <w:color w:val="auto"/>
                      <w:spacing w:val="7"/>
                      <w:position w:val="2"/>
                      <w:szCs w:val="21"/>
                    </w:rPr>
                    <w:t>尘粒径(μ</w:t>
                  </w:r>
                  <w:r>
                    <w:rPr>
                      <w:color w:val="auto"/>
                      <w:position w:val="2"/>
                      <w:szCs w:val="21"/>
                    </w:rPr>
                    <w:t>m</w:t>
                  </w:r>
                  <w:r>
                    <w:rPr>
                      <w:color w:val="auto"/>
                      <w:spacing w:val="7"/>
                      <w:position w:val="2"/>
                      <w:szCs w:val="21"/>
                    </w:rPr>
                    <w:t>)</w:t>
                  </w:r>
                </w:p>
              </w:tc>
              <w:tc>
                <w:tcPr>
                  <w:tcW w:w="944" w:type="dxa"/>
                  <w:vAlign w:val="center"/>
                </w:tcPr>
                <w:p w14:paraId="01BF863F">
                  <w:pPr>
                    <w:jc w:val="center"/>
                    <w:rPr>
                      <w:color w:val="auto"/>
                      <w:szCs w:val="21"/>
                    </w:rPr>
                  </w:pPr>
                  <w:r>
                    <w:rPr>
                      <w:color w:val="auto"/>
                      <w:spacing w:val="4"/>
                      <w:szCs w:val="21"/>
                    </w:rPr>
                    <w:t>450</w:t>
                  </w:r>
                </w:p>
              </w:tc>
              <w:tc>
                <w:tcPr>
                  <w:tcW w:w="944" w:type="dxa"/>
                  <w:vAlign w:val="center"/>
                </w:tcPr>
                <w:p w14:paraId="2B8DD3CA">
                  <w:pPr>
                    <w:jc w:val="center"/>
                    <w:rPr>
                      <w:color w:val="auto"/>
                      <w:spacing w:val="2"/>
                      <w:szCs w:val="21"/>
                    </w:rPr>
                  </w:pPr>
                  <w:r>
                    <w:rPr>
                      <w:color w:val="auto"/>
                      <w:spacing w:val="2"/>
                      <w:szCs w:val="21"/>
                    </w:rPr>
                    <w:t>550</w:t>
                  </w:r>
                </w:p>
              </w:tc>
              <w:tc>
                <w:tcPr>
                  <w:tcW w:w="941" w:type="dxa"/>
                  <w:vAlign w:val="center"/>
                </w:tcPr>
                <w:p w14:paraId="7B02A900">
                  <w:pPr>
                    <w:jc w:val="center"/>
                    <w:rPr>
                      <w:color w:val="auto"/>
                      <w:spacing w:val="-3"/>
                      <w:szCs w:val="21"/>
                    </w:rPr>
                  </w:pPr>
                  <w:r>
                    <w:rPr>
                      <w:color w:val="auto"/>
                      <w:spacing w:val="3"/>
                      <w:szCs w:val="21"/>
                    </w:rPr>
                    <w:t>6</w:t>
                  </w:r>
                  <w:r>
                    <w:rPr>
                      <w:color w:val="auto"/>
                      <w:spacing w:val="2"/>
                      <w:szCs w:val="21"/>
                    </w:rPr>
                    <w:t>50</w:t>
                  </w:r>
                </w:p>
              </w:tc>
              <w:tc>
                <w:tcPr>
                  <w:tcW w:w="944" w:type="dxa"/>
                  <w:vAlign w:val="center"/>
                </w:tcPr>
                <w:p w14:paraId="301A53D2">
                  <w:pPr>
                    <w:jc w:val="center"/>
                    <w:rPr>
                      <w:color w:val="auto"/>
                      <w:spacing w:val="-3"/>
                      <w:szCs w:val="21"/>
                    </w:rPr>
                  </w:pPr>
                  <w:r>
                    <w:rPr>
                      <w:color w:val="auto"/>
                      <w:spacing w:val="4"/>
                      <w:szCs w:val="21"/>
                    </w:rPr>
                    <w:t>7</w:t>
                  </w:r>
                  <w:r>
                    <w:rPr>
                      <w:color w:val="auto"/>
                      <w:spacing w:val="2"/>
                      <w:szCs w:val="21"/>
                    </w:rPr>
                    <w:t>50</w:t>
                  </w:r>
                </w:p>
              </w:tc>
              <w:tc>
                <w:tcPr>
                  <w:tcW w:w="941" w:type="dxa"/>
                  <w:vAlign w:val="center"/>
                </w:tcPr>
                <w:p w14:paraId="7D0E6BA3">
                  <w:pPr>
                    <w:jc w:val="center"/>
                    <w:rPr>
                      <w:color w:val="auto"/>
                      <w:spacing w:val="5"/>
                      <w:szCs w:val="21"/>
                    </w:rPr>
                  </w:pPr>
                  <w:r>
                    <w:rPr>
                      <w:color w:val="auto"/>
                      <w:spacing w:val="2"/>
                      <w:szCs w:val="21"/>
                    </w:rPr>
                    <w:t>8</w:t>
                  </w:r>
                  <w:r>
                    <w:rPr>
                      <w:color w:val="auto"/>
                      <w:spacing w:val="1"/>
                      <w:szCs w:val="21"/>
                    </w:rPr>
                    <w:t>50</w:t>
                  </w:r>
                </w:p>
              </w:tc>
              <w:tc>
                <w:tcPr>
                  <w:tcW w:w="873" w:type="dxa"/>
                  <w:vAlign w:val="center"/>
                </w:tcPr>
                <w:p w14:paraId="2D444FF1">
                  <w:pPr>
                    <w:jc w:val="center"/>
                    <w:rPr>
                      <w:color w:val="auto"/>
                      <w:spacing w:val="5"/>
                      <w:szCs w:val="21"/>
                    </w:rPr>
                  </w:pPr>
                  <w:r>
                    <w:rPr>
                      <w:color w:val="auto"/>
                      <w:spacing w:val="3"/>
                      <w:szCs w:val="21"/>
                    </w:rPr>
                    <w:t>9</w:t>
                  </w:r>
                  <w:r>
                    <w:rPr>
                      <w:color w:val="auto"/>
                      <w:spacing w:val="2"/>
                      <w:szCs w:val="21"/>
                    </w:rPr>
                    <w:t>50</w:t>
                  </w:r>
                </w:p>
              </w:tc>
              <w:tc>
                <w:tcPr>
                  <w:tcW w:w="982" w:type="dxa"/>
                  <w:vAlign w:val="center"/>
                </w:tcPr>
                <w:p w14:paraId="30BB909E">
                  <w:pPr>
                    <w:jc w:val="center"/>
                    <w:rPr>
                      <w:color w:val="auto"/>
                      <w:spacing w:val="3"/>
                      <w:szCs w:val="21"/>
                    </w:rPr>
                  </w:pPr>
                  <w:r>
                    <w:rPr>
                      <w:color w:val="auto"/>
                      <w:szCs w:val="21"/>
                    </w:rPr>
                    <w:t>1050</w:t>
                  </w:r>
                </w:p>
              </w:tc>
            </w:tr>
            <w:tr w14:paraId="76B97F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4" w:hRule="atLeast"/>
              </w:trPr>
              <w:tc>
                <w:tcPr>
                  <w:tcW w:w="2627" w:type="dxa"/>
                  <w:vAlign w:val="center"/>
                </w:tcPr>
                <w:p w14:paraId="0BF6DF01">
                  <w:pPr>
                    <w:jc w:val="center"/>
                    <w:rPr>
                      <w:color w:val="auto"/>
                      <w:spacing w:val="10"/>
                      <w:position w:val="2"/>
                      <w:szCs w:val="21"/>
                    </w:rPr>
                  </w:pPr>
                  <w:r>
                    <w:rPr>
                      <w:color w:val="auto"/>
                      <w:spacing w:val="11"/>
                      <w:position w:val="2"/>
                      <w:szCs w:val="21"/>
                    </w:rPr>
                    <w:t>沉</w:t>
                  </w:r>
                  <w:r>
                    <w:rPr>
                      <w:color w:val="auto"/>
                      <w:spacing w:val="7"/>
                      <w:position w:val="2"/>
                      <w:szCs w:val="21"/>
                    </w:rPr>
                    <w:t>降速度(</w:t>
                  </w:r>
                  <w:r>
                    <w:rPr>
                      <w:color w:val="auto"/>
                      <w:position w:val="2"/>
                      <w:szCs w:val="21"/>
                    </w:rPr>
                    <w:t>m</w:t>
                  </w:r>
                  <w:r>
                    <w:rPr>
                      <w:color w:val="auto"/>
                      <w:spacing w:val="7"/>
                      <w:position w:val="2"/>
                      <w:szCs w:val="21"/>
                    </w:rPr>
                    <w:t>/</w:t>
                  </w:r>
                  <w:r>
                    <w:rPr>
                      <w:color w:val="auto"/>
                      <w:position w:val="2"/>
                      <w:szCs w:val="21"/>
                    </w:rPr>
                    <w:t>s</w:t>
                  </w:r>
                  <w:r>
                    <w:rPr>
                      <w:color w:val="auto"/>
                      <w:spacing w:val="7"/>
                      <w:position w:val="2"/>
                      <w:szCs w:val="21"/>
                    </w:rPr>
                    <w:t>)</w:t>
                  </w:r>
                </w:p>
              </w:tc>
              <w:tc>
                <w:tcPr>
                  <w:tcW w:w="944" w:type="dxa"/>
                  <w:vAlign w:val="center"/>
                </w:tcPr>
                <w:p w14:paraId="18D5E9CE">
                  <w:pPr>
                    <w:jc w:val="center"/>
                    <w:rPr>
                      <w:color w:val="auto"/>
                      <w:szCs w:val="21"/>
                    </w:rPr>
                  </w:pPr>
                  <w:r>
                    <w:rPr>
                      <w:color w:val="auto"/>
                      <w:spacing w:val="4"/>
                      <w:szCs w:val="21"/>
                    </w:rPr>
                    <w:t>2.211</w:t>
                  </w:r>
                </w:p>
              </w:tc>
              <w:tc>
                <w:tcPr>
                  <w:tcW w:w="944" w:type="dxa"/>
                  <w:vAlign w:val="center"/>
                </w:tcPr>
                <w:p w14:paraId="61773F67">
                  <w:pPr>
                    <w:jc w:val="center"/>
                    <w:rPr>
                      <w:color w:val="auto"/>
                      <w:spacing w:val="2"/>
                      <w:szCs w:val="21"/>
                    </w:rPr>
                  </w:pPr>
                  <w:r>
                    <w:rPr>
                      <w:color w:val="auto"/>
                      <w:spacing w:val="4"/>
                      <w:szCs w:val="21"/>
                    </w:rPr>
                    <w:t>2.614</w:t>
                  </w:r>
                </w:p>
              </w:tc>
              <w:tc>
                <w:tcPr>
                  <w:tcW w:w="941" w:type="dxa"/>
                  <w:vAlign w:val="center"/>
                </w:tcPr>
                <w:p w14:paraId="36C83BC5">
                  <w:pPr>
                    <w:jc w:val="center"/>
                    <w:rPr>
                      <w:color w:val="auto"/>
                      <w:spacing w:val="-3"/>
                      <w:szCs w:val="21"/>
                    </w:rPr>
                  </w:pPr>
                  <w:r>
                    <w:rPr>
                      <w:color w:val="auto"/>
                      <w:spacing w:val="3"/>
                      <w:szCs w:val="21"/>
                    </w:rPr>
                    <w:t>3.01</w:t>
                  </w:r>
                  <w:r>
                    <w:rPr>
                      <w:color w:val="auto"/>
                      <w:spacing w:val="2"/>
                      <w:szCs w:val="21"/>
                    </w:rPr>
                    <w:t>6</w:t>
                  </w:r>
                </w:p>
              </w:tc>
              <w:tc>
                <w:tcPr>
                  <w:tcW w:w="944" w:type="dxa"/>
                  <w:vAlign w:val="center"/>
                </w:tcPr>
                <w:p w14:paraId="3AA9B6E1">
                  <w:pPr>
                    <w:jc w:val="center"/>
                    <w:rPr>
                      <w:color w:val="auto"/>
                      <w:spacing w:val="-3"/>
                      <w:szCs w:val="21"/>
                    </w:rPr>
                  </w:pPr>
                  <w:r>
                    <w:rPr>
                      <w:color w:val="auto"/>
                      <w:spacing w:val="4"/>
                      <w:szCs w:val="21"/>
                    </w:rPr>
                    <w:t>3</w:t>
                  </w:r>
                  <w:r>
                    <w:rPr>
                      <w:color w:val="auto"/>
                      <w:spacing w:val="3"/>
                      <w:szCs w:val="21"/>
                    </w:rPr>
                    <w:t>.418</w:t>
                  </w:r>
                </w:p>
              </w:tc>
              <w:tc>
                <w:tcPr>
                  <w:tcW w:w="941" w:type="dxa"/>
                  <w:vAlign w:val="center"/>
                </w:tcPr>
                <w:p w14:paraId="1BD9A610">
                  <w:pPr>
                    <w:jc w:val="center"/>
                    <w:rPr>
                      <w:color w:val="auto"/>
                      <w:spacing w:val="5"/>
                      <w:szCs w:val="21"/>
                    </w:rPr>
                  </w:pPr>
                  <w:r>
                    <w:rPr>
                      <w:color w:val="auto"/>
                      <w:spacing w:val="4"/>
                      <w:szCs w:val="21"/>
                    </w:rPr>
                    <w:t>3</w:t>
                  </w:r>
                  <w:r>
                    <w:rPr>
                      <w:color w:val="auto"/>
                      <w:spacing w:val="2"/>
                      <w:szCs w:val="21"/>
                    </w:rPr>
                    <w:t>.82</w:t>
                  </w:r>
                </w:p>
              </w:tc>
              <w:tc>
                <w:tcPr>
                  <w:tcW w:w="873" w:type="dxa"/>
                  <w:vAlign w:val="center"/>
                </w:tcPr>
                <w:p w14:paraId="07C482DE">
                  <w:pPr>
                    <w:jc w:val="center"/>
                    <w:rPr>
                      <w:color w:val="auto"/>
                      <w:spacing w:val="5"/>
                      <w:szCs w:val="21"/>
                    </w:rPr>
                  </w:pPr>
                  <w:r>
                    <w:rPr>
                      <w:color w:val="auto"/>
                      <w:spacing w:val="5"/>
                      <w:szCs w:val="21"/>
                    </w:rPr>
                    <w:t>4</w:t>
                  </w:r>
                  <w:r>
                    <w:rPr>
                      <w:color w:val="auto"/>
                      <w:spacing w:val="4"/>
                      <w:szCs w:val="21"/>
                    </w:rPr>
                    <w:t>.222</w:t>
                  </w:r>
                </w:p>
              </w:tc>
              <w:tc>
                <w:tcPr>
                  <w:tcW w:w="982" w:type="dxa"/>
                  <w:vAlign w:val="center"/>
                </w:tcPr>
                <w:p w14:paraId="18DD23F7">
                  <w:pPr>
                    <w:jc w:val="center"/>
                    <w:rPr>
                      <w:color w:val="auto"/>
                      <w:spacing w:val="3"/>
                      <w:szCs w:val="21"/>
                    </w:rPr>
                  </w:pPr>
                  <w:r>
                    <w:rPr>
                      <w:color w:val="auto"/>
                      <w:spacing w:val="5"/>
                      <w:szCs w:val="21"/>
                    </w:rPr>
                    <w:t>4</w:t>
                  </w:r>
                  <w:r>
                    <w:rPr>
                      <w:color w:val="auto"/>
                      <w:spacing w:val="4"/>
                      <w:szCs w:val="21"/>
                    </w:rPr>
                    <w:t>.624</w:t>
                  </w:r>
                </w:p>
              </w:tc>
            </w:tr>
          </w:tbl>
          <w:p w14:paraId="45665AAA">
            <w:pPr>
              <w:widowControl/>
              <w:spacing w:line="360" w:lineRule="auto"/>
              <w:ind w:firstLine="520" w:firstLineChars="200"/>
              <w:rPr>
                <w:color w:val="auto"/>
                <w:spacing w:val="3"/>
                <w:sz w:val="24"/>
              </w:rPr>
            </w:pPr>
            <w:r>
              <w:rPr>
                <w:color w:val="auto"/>
                <w:spacing w:val="10"/>
                <w:sz w:val="24"/>
              </w:rPr>
              <w:t>由</w:t>
            </w:r>
            <w:r>
              <w:rPr>
                <w:color w:val="auto"/>
                <w:spacing w:val="7"/>
                <w:sz w:val="24"/>
              </w:rPr>
              <w:t>上表可知，粉尘的沉降速度随粒径的增大而迅速增大。当粒径为250微米时，沉</w:t>
            </w:r>
            <w:r>
              <w:rPr>
                <w:color w:val="auto"/>
                <w:spacing w:val="8"/>
                <w:sz w:val="24"/>
              </w:rPr>
              <w:t>降速度为</w:t>
            </w:r>
            <w:r>
              <w:rPr>
                <w:color w:val="auto"/>
                <w:spacing w:val="7"/>
                <w:sz w:val="24"/>
              </w:rPr>
              <w:t>1</w:t>
            </w:r>
            <w:r>
              <w:rPr>
                <w:color w:val="auto"/>
                <w:spacing w:val="4"/>
                <w:sz w:val="24"/>
              </w:rPr>
              <w:t>.005</w:t>
            </w:r>
            <w:r>
              <w:rPr>
                <w:color w:val="auto"/>
                <w:sz w:val="24"/>
              </w:rPr>
              <w:t>m</w:t>
            </w:r>
            <w:r>
              <w:rPr>
                <w:color w:val="auto"/>
                <w:spacing w:val="4"/>
                <w:sz w:val="24"/>
              </w:rPr>
              <w:t>/</w:t>
            </w:r>
            <w:r>
              <w:rPr>
                <w:color w:val="auto"/>
                <w:sz w:val="24"/>
              </w:rPr>
              <w:t>s</w:t>
            </w:r>
            <w:r>
              <w:rPr>
                <w:color w:val="auto"/>
                <w:spacing w:val="4"/>
                <w:sz w:val="24"/>
              </w:rPr>
              <w:t>，因此可以认为当尘粒大于250微米时，主要影响范围在扬尘点下风向近</w:t>
            </w:r>
            <w:r>
              <w:rPr>
                <w:color w:val="auto"/>
                <w:spacing w:val="6"/>
                <w:sz w:val="24"/>
              </w:rPr>
              <w:t>距离范围内，而真正对</w:t>
            </w:r>
            <w:r>
              <w:rPr>
                <w:color w:val="auto"/>
                <w:spacing w:val="3"/>
                <w:sz w:val="24"/>
              </w:rPr>
              <w:t>外环境产生影响的是一些微小粒径的粉尘。根据现场的气候情况不同，</w:t>
            </w:r>
            <w:r>
              <w:rPr>
                <w:color w:val="auto"/>
                <w:spacing w:val="8"/>
                <w:sz w:val="24"/>
              </w:rPr>
              <w:t>其影响范围也有所不同。根据淄博市经开区的长期气象资料可知，主导风向为</w:t>
            </w:r>
            <w:r>
              <w:rPr>
                <w:color w:val="auto"/>
                <w:sz w:val="24"/>
              </w:rPr>
              <w:t>SW</w:t>
            </w:r>
            <w:r>
              <w:rPr>
                <w:color w:val="auto"/>
                <w:spacing w:val="8"/>
                <w:sz w:val="24"/>
              </w:rPr>
              <w:t>风向，因此施</w:t>
            </w:r>
            <w:r>
              <w:rPr>
                <w:color w:val="auto"/>
                <w:spacing w:val="1"/>
                <w:sz w:val="24"/>
              </w:rPr>
              <w:t>工</w:t>
            </w:r>
            <w:r>
              <w:rPr>
                <w:color w:val="auto"/>
                <w:spacing w:val="14"/>
                <w:sz w:val="24"/>
              </w:rPr>
              <w:t>扬尘</w:t>
            </w:r>
            <w:r>
              <w:rPr>
                <w:color w:val="auto"/>
                <w:spacing w:val="9"/>
                <w:sz w:val="24"/>
              </w:rPr>
              <w:t>主</w:t>
            </w:r>
            <w:r>
              <w:rPr>
                <w:color w:val="auto"/>
                <w:spacing w:val="7"/>
                <w:sz w:val="24"/>
              </w:rPr>
              <w:t>要影响为施工点东北面区域。另外，根据淄博市的气象资料可知，该地区降雨</w:t>
            </w:r>
            <w:r>
              <w:rPr>
                <w:color w:val="auto"/>
                <w:spacing w:val="10"/>
                <w:sz w:val="24"/>
              </w:rPr>
              <w:t>集中在汛期6-9月</w:t>
            </w:r>
            <w:r>
              <w:rPr>
                <w:color w:val="auto"/>
                <w:spacing w:val="12"/>
                <w:sz w:val="24"/>
              </w:rPr>
              <w:t>，以剩余时间的1/2为易产生扬尘的时间计，全年产生扬尘的气象机会有</w:t>
            </w:r>
            <w:r>
              <w:rPr>
                <w:color w:val="auto"/>
                <w:spacing w:val="10"/>
                <w:sz w:val="24"/>
              </w:rPr>
              <w:t>33.6%</w:t>
            </w:r>
            <w:r>
              <w:rPr>
                <w:color w:val="auto"/>
                <w:spacing w:val="5"/>
                <w:sz w:val="24"/>
              </w:rPr>
              <w:t>。由于粉尘的产生量与天气、温度、</w:t>
            </w:r>
            <w:r>
              <w:rPr>
                <w:color w:val="auto"/>
                <w:spacing w:val="14"/>
                <w:sz w:val="24"/>
              </w:rPr>
              <w:t>风速</w:t>
            </w:r>
            <w:r>
              <w:rPr>
                <w:color w:val="auto"/>
                <w:spacing w:val="9"/>
                <w:sz w:val="24"/>
              </w:rPr>
              <w:t>、</w:t>
            </w:r>
            <w:r>
              <w:rPr>
                <w:color w:val="auto"/>
                <w:spacing w:val="7"/>
                <w:sz w:val="24"/>
              </w:rPr>
              <w:t>施工队文明作业程度和管理水平等因素有关，因此，其排放量难以定量估算。因此本</w:t>
            </w:r>
            <w:r>
              <w:rPr>
                <w:color w:val="auto"/>
                <w:spacing w:val="14"/>
                <w:sz w:val="24"/>
              </w:rPr>
              <w:t>工程</w:t>
            </w:r>
            <w:r>
              <w:rPr>
                <w:color w:val="auto"/>
                <w:spacing w:val="9"/>
                <w:sz w:val="24"/>
              </w:rPr>
              <w:t>施</w:t>
            </w:r>
            <w:r>
              <w:rPr>
                <w:color w:val="auto"/>
                <w:spacing w:val="7"/>
                <w:sz w:val="24"/>
              </w:rPr>
              <w:t>工期应注意施工扬尘的防治问题，制定必要的防治措施，减少施工扬尘对周围环境的</w:t>
            </w:r>
            <w:r>
              <w:rPr>
                <w:color w:val="auto"/>
                <w:spacing w:val="4"/>
                <w:sz w:val="24"/>
              </w:rPr>
              <w:t>影</w:t>
            </w:r>
            <w:r>
              <w:rPr>
                <w:color w:val="auto"/>
                <w:spacing w:val="3"/>
                <w:sz w:val="24"/>
              </w:rPr>
              <w:t>响。</w:t>
            </w:r>
          </w:p>
          <w:p w14:paraId="02B0FFE8">
            <w:pPr>
              <w:widowControl/>
              <w:spacing w:line="360" w:lineRule="auto"/>
              <w:ind w:left="525" w:leftChars="250" w:right="105" w:rightChars="50"/>
              <w:rPr>
                <w:color w:val="auto"/>
                <w:kern w:val="0"/>
                <w:sz w:val="24"/>
                <w:lang w:bidi="ar"/>
              </w:rPr>
            </w:pPr>
            <w:r>
              <w:rPr>
                <w:color w:val="auto"/>
                <w:kern w:val="0"/>
                <w:sz w:val="24"/>
                <w:lang w:bidi="ar"/>
              </w:rPr>
              <w:t>②运输扬尘</w:t>
            </w:r>
          </w:p>
          <w:p w14:paraId="5B561A15">
            <w:pPr>
              <w:spacing w:line="360" w:lineRule="auto"/>
              <w:ind w:firstLine="417"/>
              <w:rPr>
                <w:color w:val="auto"/>
                <w:sz w:val="24"/>
              </w:rPr>
            </w:pPr>
            <w:r>
              <w:rPr>
                <w:color w:val="auto"/>
                <w:spacing w:val="8"/>
                <w:sz w:val="24"/>
              </w:rPr>
              <w:t>在</w:t>
            </w:r>
            <w:r>
              <w:rPr>
                <w:color w:val="auto"/>
                <w:spacing w:val="7"/>
                <w:sz w:val="24"/>
              </w:rPr>
              <w:t>施工过程中，根据有关文献资料可知，车辆行驶产生的扬尘占扬尘总量的60%以上。</w:t>
            </w:r>
            <w:r>
              <w:rPr>
                <w:color w:val="auto"/>
                <w:spacing w:val="18"/>
                <w:sz w:val="24"/>
              </w:rPr>
              <w:t>车</w:t>
            </w:r>
            <w:r>
              <w:rPr>
                <w:color w:val="auto"/>
                <w:spacing w:val="12"/>
                <w:sz w:val="24"/>
              </w:rPr>
              <w:t>辆</w:t>
            </w:r>
            <w:r>
              <w:rPr>
                <w:color w:val="auto"/>
                <w:spacing w:val="9"/>
                <w:sz w:val="24"/>
              </w:rPr>
              <w:t>在行驶过程中产生的扬尘，在完全干燥的情况下，可按下列经验公式计算：</w:t>
            </w:r>
          </w:p>
          <w:p w14:paraId="11337751">
            <w:pPr>
              <w:spacing w:line="360" w:lineRule="auto"/>
              <w:ind w:firstLine="2094"/>
              <w:textAlignment w:val="center"/>
              <w:rPr>
                <w:color w:val="auto"/>
                <w:sz w:val="24"/>
              </w:rPr>
            </w:pPr>
            <w:r>
              <w:rPr>
                <w:color w:val="auto"/>
                <w:sz w:val="24"/>
              </w:rPr>
              <w:drawing>
                <wp:inline distT="0" distB="0" distL="114300" distR="114300">
                  <wp:extent cx="2279650" cy="542290"/>
                  <wp:effectExtent l="0" t="0" r="6350" b="10160"/>
                  <wp:docPr id="3" name="图片 15"/>
                  <wp:cNvGraphicFramePr/>
                  <a:graphic xmlns:a="http://schemas.openxmlformats.org/drawingml/2006/main">
                    <a:graphicData uri="http://schemas.openxmlformats.org/drawingml/2006/picture">
                      <pic:pic xmlns:pic="http://schemas.openxmlformats.org/drawingml/2006/picture">
                        <pic:nvPicPr>
                          <pic:cNvPr id="3" name="图片 15"/>
                          <pic:cNvPicPr/>
                        </pic:nvPicPr>
                        <pic:blipFill>
                          <a:blip r:embed="rId35">
                            <a:lum contrast="12000"/>
                          </a:blip>
                          <a:stretch>
                            <a:fillRect/>
                          </a:stretch>
                        </pic:blipFill>
                        <pic:spPr>
                          <a:xfrm>
                            <a:off x="0" y="0"/>
                            <a:ext cx="2279650" cy="542290"/>
                          </a:xfrm>
                          <a:prstGeom prst="rect">
                            <a:avLst/>
                          </a:prstGeom>
                          <a:noFill/>
                          <a:ln>
                            <a:noFill/>
                          </a:ln>
                        </pic:spPr>
                      </pic:pic>
                    </a:graphicData>
                  </a:graphic>
                </wp:inline>
              </w:drawing>
            </w:r>
          </w:p>
          <w:p w14:paraId="7E75272D">
            <w:pPr>
              <w:spacing w:line="360" w:lineRule="auto"/>
              <w:ind w:firstLine="552" w:firstLineChars="200"/>
              <w:rPr>
                <w:color w:val="auto"/>
                <w:sz w:val="24"/>
              </w:rPr>
            </w:pPr>
            <w:r>
              <w:rPr>
                <w:color w:val="auto"/>
                <w:spacing w:val="18"/>
                <w:position w:val="2"/>
                <w:sz w:val="24"/>
              </w:rPr>
              <w:t>式</w:t>
            </w:r>
            <w:r>
              <w:rPr>
                <w:color w:val="auto"/>
                <w:spacing w:val="10"/>
                <w:position w:val="2"/>
                <w:sz w:val="24"/>
              </w:rPr>
              <w:t>中</w:t>
            </w:r>
            <w:r>
              <w:rPr>
                <w:color w:val="auto"/>
                <w:spacing w:val="9"/>
                <w:position w:val="2"/>
                <w:sz w:val="24"/>
              </w:rPr>
              <w:t>：</w:t>
            </w:r>
            <w:r>
              <w:rPr>
                <w:color w:val="auto"/>
                <w:position w:val="2"/>
                <w:sz w:val="24"/>
              </w:rPr>
              <w:t>Q</w:t>
            </w:r>
            <w:r>
              <w:rPr>
                <w:color w:val="auto"/>
                <w:spacing w:val="9"/>
                <w:position w:val="2"/>
                <w:sz w:val="24"/>
              </w:rPr>
              <w:t>——汽车行驶的扬尘，</w:t>
            </w:r>
            <w:r>
              <w:rPr>
                <w:color w:val="auto"/>
                <w:position w:val="2"/>
                <w:sz w:val="24"/>
              </w:rPr>
              <w:t>kg</w:t>
            </w:r>
            <w:r>
              <w:rPr>
                <w:color w:val="auto"/>
                <w:spacing w:val="9"/>
                <w:position w:val="2"/>
                <w:sz w:val="24"/>
              </w:rPr>
              <w:t>/</w:t>
            </w:r>
            <w:r>
              <w:rPr>
                <w:color w:val="auto"/>
                <w:position w:val="2"/>
                <w:sz w:val="24"/>
              </w:rPr>
              <w:t>km</w:t>
            </w:r>
            <w:r>
              <w:rPr>
                <w:color w:val="auto"/>
                <w:spacing w:val="9"/>
                <w:position w:val="2"/>
                <w:sz w:val="24"/>
              </w:rPr>
              <w:t>•辆；</w:t>
            </w:r>
          </w:p>
          <w:p w14:paraId="6F6CF7DC">
            <w:pPr>
              <w:spacing w:line="360" w:lineRule="auto"/>
              <w:ind w:firstLine="480" w:firstLineChars="200"/>
              <w:rPr>
                <w:color w:val="auto"/>
                <w:sz w:val="24"/>
              </w:rPr>
            </w:pPr>
            <w:r>
              <w:rPr>
                <w:color w:val="auto"/>
                <w:position w:val="1"/>
                <w:sz w:val="24"/>
              </w:rPr>
              <w:t>V</w:t>
            </w:r>
            <w:r>
              <w:rPr>
                <w:color w:val="auto"/>
                <w:spacing w:val="13"/>
                <w:position w:val="1"/>
                <w:sz w:val="24"/>
              </w:rPr>
              <w:t>—</w:t>
            </w:r>
            <w:r>
              <w:rPr>
                <w:color w:val="auto"/>
                <w:spacing w:val="10"/>
                <w:position w:val="1"/>
                <w:sz w:val="24"/>
              </w:rPr>
              <w:t>—汽车速度，</w:t>
            </w:r>
            <w:r>
              <w:rPr>
                <w:color w:val="auto"/>
                <w:position w:val="1"/>
                <w:sz w:val="24"/>
              </w:rPr>
              <w:t>km</w:t>
            </w:r>
            <w:r>
              <w:rPr>
                <w:color w:val="auto"/>
                <w:spacing w:val="10"/>
                <w:position w:val="1"/>
                <w:sz w:val="24"/>
              </w:rPr>
              <w:t>/</w:t>
            </w:r>
            <w:r>
              <w:rPr>
                <w:color w:val="auto"/>
                <w:position w:val="1"/>
                <w:sz w:val="24"/>
              </w:rPr>
              <w:t>h</w:t>
            </w:r>
            <w:r>
              <w:rPr>
                <w:color w:val="auto"/>
                <w:spacing w:val="10"/>
                <w:position w:val="1"/>
                <w:sz w:val="24"/>
              </w:rPr>
              <w:t>；</w:t>
            </w:r>
          </w:p>
          <w:p w14:paraId="426D9F58">
            <w:pPr>
              <w:spacing w:line="360" w:lineRule="auto"/>
              <w:ind w:firstLine="480" w:firstLineChars="200"/>
              <w:rPr>
                <w:color w:val="auto"/>
                <w:sz w:val="24"/>
              </w:rPr>
            </w:pPr>
            <w:r>
              <w:rPr>
                <w:color w:val="auto"/>
                <w:position w:val="1"/>
                <w:sz w:val="24"/>
              </w:rPr>
              <w:t>W</w:t>
            </w:r>
            <w:r>
              <w:rPr>
                <w:color w:val="auto"/>
                <w:spacing w:val="10"/>
                <w:position w:val="1"/>
                <w:sz w:val="24"/>
              </w:rPr>
              <w:t>——汽车载重量，</w:t>
            </w:r>
            <w:r>
              <w:rPr>
                <w:color w:val="auto"/>
                <w:position w:val="1"/>
                <w:sz w:val="24"/>
              </w:rPr>
              <w:t>t</w:t>
            </w:r>
            <w:r>
              <w:rPr>
                <w:color w:val="auto"/>
                <w:spacing w:val="10"/>
                <w:position w:val="1"/>
                <w:sz w:val="24"/>
              </w:rPr>
              <w:t>；</w:t>
            </w:r>
          </w:p>
          <w:p w14:paraId="0286C685">
            <w:pPr>
              <w:spacing w:line="360" w:lineRule="auto"/>
              <w:ind w:firstLine="480" w:firstLineChars="200"/>
              <w:rPr>
                <w:color w:val="auto"/>
                <w:sz w:val="24"/>
              </w:rPr>
            </w:pPr>
            <w:r>
              <w:rPr>
                <w:color w:val="auto"/>
                <w:position w:val="2"/>
                <w:sz w:val="24"/>
              </w:rPr>
              <w:t>P</w:t>
            </w:r>
            <w:r>
              <w:rPr>
                <w:color w:val="auto"/>
                <w:spacing w:val="18"/>
                <w:position w:val="2"/>
                <w:sz w:val="24"/>
              </w:rPr>
              <w:t>—</w:t>
            </w:r>
            <w:r>
              <w:rPr>
                <w:color w:val="auto"/>
                <w:spacing w:val="10"/>
                <w:position w:val="2"/>
                <w:sz w:val="24"/>
              </w:rPr>
              <w:t>—</w:t>
            </w:r>
            <w:r>
              <w:rPr>
                <w:color w:val="auto"/>
                <w:spacing w:val="9"/>
                <w:position w:val="2"/>
                <w:sz w:val="24"/>
              </w:rPr>
              <w:t>道路表面粉尘量，</w:t>
            </w:r>
            <w:r>
              <w:rPr>
                <w:color w:val="auto"/>
                <w:position w:val="2"/>
                <w:sz w:val="24"/>
              </w:rPr>
              <w:t>kg</w:t>
            </w:r>
            <w:r>
              <w:rPr>
                <w:color w:val="auto"/>
                <w:spacing w:val="9"/>
                <w:position w:val="2"/>
                <w:sz w:val="24"/>
              </w:rPr>
              <w:t>/</w:t>
            </w:r>
            <w:r>
              <w:rPr>
                <w:color w:val="auto"/>
                <w:position w:val="2"/>
                <w:sz w:val="24"/>
              </w:rPr>
              <w:t>m</w:t>
            </w:r>
            <w:r>
              <w:rPr>
                <w:color w:val="auto"/>
                <w:position w:val="2"/>
                <w:sz w:val="24"/>
                <w:vertAlign w:val="superscript"/>
              </w:rPr>
              <w:t>2</w:t>
            </w:r>
            <w:r>
              <w:rPr>
                <w:color w:val="auto"/>
                <w:spacing w:val="9"/>
                <w:position w:val="2"/>
                <w:sz w:val="24"/>
              </w:rPr>
              <w:t>。</w:t>
            </w:r>
          </w:p>
          <w:p w14:paraId="077A7DBD">
            <w:pPr>
              <w:spacing w:line="360" w:lineRule="auto"/>
              <w:ind w:firstLine="423"/>
              <w:rPr>
                <w:color w:val="auto"/>
                <w:sz w:val="24"/>
              </w:rPr>
            </w:pPr>
            <w:r>
              <w:rPr>
                <w:color w:val="auto"/>
                <w:spacing w:val="14"/>
                <w:sz w:val="24"/>
              </w:rPr>
              <w:t>从</w:t>
            </w:r>
            <w:r>
              <w:rPr>
                <w:color w:val="auto"/>
                <w:spacing w:val="7"/>
                <w:sz w:val="24"/>
              </w:rPr>
              <w:t>上面的公式中可见，在同样的路面条件下，车速越快，扬尘量越大；在同样的车速情</w:t>
            </w:r>
            <w:r>
              <w:rPr>
                <w:color w:val="auto"/>
                <w:spacing w:val="14"/>
                <w:sz w:val="24"/>
              </w:rPr>
              <w:t>况下</w:t>
            </w:r>
            <w:r>
              <w:rPr>
                <w:color w:val="auto"/>
                <w:spacing w:val="9"/>
                <w:sz w:val="24"/>
              </w:rPr>
              <w:t>，</w:t>
            </w:r>
            <w:r>
              <w:rPr>
                <w:color w:val="auto"/>
                <w:spacing w:val="7"/>
                <w:sz w:val="24"/>
              </w:rPr>
              <w:t>路面越脏，扬尘量越大。因此，限制车辆行驶速度以及保持路面的清洁是减少汽车扬</w:t>
            </w:r>
            <w:r>
              <w:rPr>
                <w:color w:val="auto"/>
                <w:spacing w:val="14"/>
                <w:sz w:val="24"/>
              </w:rPr>
              <w:t>尘的</w:t>
            </w:r>
            <w:r>
              <w:rPr>
                <w:color w:val="auto"/>
                <w:spacing w:val="7"/>
                <w:sz w:val="24"/>
              </w:rPr>
              <w:t>有效手段。本项目运输车辆行驶过程中速度较低，所经道路路面整洁度较高，本项目运</w:t>
            </w:r>
            <w:r>
              <w:rPr>
                <w:color w:val="auto"/>
                <w:spacing w:val="9"/>
                <w:sz w:val="24"/>
              </w:rPr>
              <w:t>输扬尘产生量较少，不进行定量分析</w:t>
            </w:r>
            <w:r>
              <w:rPr>
                <w:color w:val="auto"/>
                <w:spacing w:val="6"/>
                <w:sz w:val="24"/>
              </w:rPr>
              <w:t>。</w:t>
            </w:r>
          </w:p>
          <w:p w14:paraId="01366F98">
            <w:pPr>
              <w:spacing w:line="360" w:lineRule="auto"/>
              <w:ind w:firstLine="437"/>
              <w:rPr>
                <w:color w:val="auto"/>
                <w:sz w:val="24"/>
              </w:rPr>
            </w:pPr>
            <w:r>
              <w:rPr>
                <w:color w:val="auto"/>
                <w:spacing w:val="7"/>
                <w:sz w:val="24"/>
              </w:rPr>
              <w:t>因此，减少露天堆放和保证物料一定的含水率及减少裸露地面可有效降低风力起尘、</w:t>
            </w:r>
            <w:r>
              <w:rPr>
                <w:color w:val="auto"/>
                <w:sz w:val="24"/>
              </w:rPr>
              <w:t>限</w:t>
            </w:r>
            <w:r>
              <w:rPr>
                <w:color w:val="auto"/>
                <w:spacing w:val="10"/>
                <w:sz w:val="24"/>
              </w:rPr>
              <w:t>速</w:t>
            </w:r>
            <w:r>
              <w:rPr>
                <w:color w:val="auto"/>
                <w:spacing w:val="9"/>
                <w:sz w:val="24"/>
              </w:rPr>
              <w:t>行驶及保持路面的清洁可有效降低运输扬尘。</w:t>
            </w:r>
          </w:p>
          <w:p w14:paraId="2063B99B">
            <w:pPr>
              <w:spacing w:line="360" w:lineRule="auto"/>
              <w:ind w:firstLine="480" w:firstLineChars="200"/>
              <w:rPr>
                <w:color w:val="auto"/>
                <w:sz w:val="24"/>
              </w:rPr>
            </w:pPr>
            <w:r>
              <w:rPr>
                <w:color w:val="auto"/>
                <w:sz w:val="24"/>
              </w:rPr>
              <w:t>③</w:t>
            </w:r>
            <w:r>
              <w:rPr>
                <w:color w:val="auto"/>
                <w:spacing w:val="8"/>
                <w:sz w:val="24"/>
              </w:rPr>
              <w:t>土方开挖回填扬尘</w:t>
            </w:r>
          </w:p>
          <w:p w14:paraId="13CAF229">
            <w:pPr>
              <w:spacing w:line="360" w:lineRule="auto"/>
              <w:ind w:firstLine="536" w:firstLineChars="200"/>
              <w:rPr>
                <w:color w:val="auto"/>
                <w:kern w:val="0"/>
                <w:sz w:val="24"/>
                <w:lang w:bidi="ar"/>
              </w:rPr>
            </w:pPr>
            <w:r>
              <w:rPr>
                <w:color w:val="auto"/>
                <w:spacing w:val="14"/>
                <w:sz w:val="24"/>
              </w:rPr>
              <w:t>施</w:t>
            </w:r>
            <w:r>
              <w:rPr>
                <w:color w:val="auto"/>
                <w:spacing w:val="10"/>
                <w:sz w:val="24"/>
              </w:rPr>
              <w:t>工</w:t>
            </w:r>
            <w:r>
              <w:rPr>
                <w:color w:val="auto"/>
                <w:spacing w:val="7"/>
                <w:sz w:val="24"/>
              </w:rPr>
              <w:t>阶段土方的开挖和回填会产生扬尘，尤其在风力较大和天气干燥的情况下对附近区</w:t>
            </w:r>
            <w:r>
              <w:rPr>
                <w:color w:val="auto"/>
                <w:spacing w:val="31"/>
                <w:sz w:val="24"/>
              </w:rPr>
              <w:t>域</w:t>
            </w:r>
            <w:r>
              <w:rPr>
                <w:color w:val="auto"/>
                <w:spacing w:val="24"/>
                <w:sz w:val="24"/>
              </w:rPr>
              <w:t>的影响较为严重，根据有关施工工程的调查资料，其施工现场近地面粉尘浓度可达</w:t>
            </w:r>
            <w:r>
              <w:rPr>
                <w:color w:val="auto"/>
                <w:spacing w:val="7"/>
                <w:position w:val="1"/>
                <w:sz w:val="24"/>
              </w:rPr>
              <w:t>1.5～30</w:t>
            </w:r>
            <w:r>
              <w:rPr>
                <w:color w:val="auto"/>
                <w:position w:val="1"/>
                <w:sz w:val="24"/>
              </w:rPr>
              <w:t>mg</w:t>
            </w:r>
            <w:r>
              <w:rPr>
                <w:color w:val="auto"/>
                <w:spacing w:val="7"/>
                <w:position w:val="1"/>
                <w:sz w:val="24"/>
              </w:rPr>
              <w:t>/</w:t>
            </w:r>
            <w:r>
              <w:rPr>
                <w:color w:val="auto"/>
                <w:position w:val="1"/>
                <w:sz w:val="24"/>
              </w:rPr>
              <w:t>m</w:t>
            </w:r>
            <w:r>
              <w:rPr>
                <w:color w:val="auto"/>
                <w:position w:val="1"/>
                <w:sz w:val="24"/>
                <w:vertAlign w:val="superscript"/>
              </w:rPr>
              <w:t>3</w:t>
            </w:r>
            <w:r>
              <w:rPr>
                <w:color w:val="auto"/>
                <w:spacing w:val="7"/>
                <w:position w:val="1"/>
                <w:sz w:val="24"/>
              </w:rPr>
              <w:t>，随地面风速、开挖土方和土方的湿度而发生较大变化</w:t>
            </w:r>
            <w:r>
              <w:rPr>
                <w:color w:val="auto"/>
                <w:spacing w:val="4"/>
                <w:position w:val="1"/>
                <w:sz w:val="24"/>
              </w:rPr>
              <w:t>。</w:t>
            </w:r>
            <w:r>
              <w:rPr>
                <w:color w:val="auto"/>
                <w:kern w:val="0"/>
                <w:sz w:val="24"/>
                <w:lang w:bidi="ar"/>
              </w:rPr>
              <w:t>堆场可通过设置围挡和洒水，以有效降低堆场起尘量。经采取相关措施后，其抑尘率可达到50%。</w:t>
            </w:r>
          </w:p>
          <w:p w14:paraId="2DF0BB0D">
            <w:pPr>
              <w:spacing w:line="360" w:lineRule="auto"/>
              <w:ind w:firstLine="480" w:firstLineChars="200"/>
              <w:rPr>
                <w:color w:val="auto"/>
                <w:sz w:val="24"/>
              </w:rPr>
            </w:pPr>
            <w:r>
              <w:rPr>
                <w:color w:val="auto"/>
                <w:sz w:val="24"/>
              </w:rPr>
              <w:t>为了进一步降临时堆场扬尘污染，应按照《山东省</w:t>
            </w:r>
            <w:r>
              <w:rPr>
                <w:rFonts w:hint="eastAsia"/>
                <w:color w:val="auto"/>
                <w:sz w:val="24"/>
              </w:rPr>
              <w:t>扬尘污染综合整治方案</w:t>
            </w:r>
            <w:r>
              <w:rPr>
                <w:color w:val="auto"/>
                <w:sz w:val="24"/>
              </w:rPr>
              <w:t>》</w:t>
            </w:r>
            <w:r>
              <w:rPr>
                <w:rFonts w:hint="eastAsia"/>
                <w:color w:val="auto"/>
                <w:sz w:val="24"/>
              </w:rPr>
              <w:t>、</w:t>
            </w:r>
            <w:r>
              <w:rPr>
                <w:color w:val="auto"/>
                <w:sz w:val="24"/>
              </w:rPr>
              <w:t>《山东省扬尘污染防治管理办法》（山东省人民政府令第248号）、《山东省环境保护厅关于贯彻实施&lt;山东省扬尘污染防治管理办法&gt;有关问题的通知》（鲁环函[2012]179号）、《滨州市扬尘污染防治条例》（滨州市人民代表大会常务委员会第78号）等的要求</w:t>
            </w:r>
            <w:r>
              <w:rPr>
                <w:rFonts w:hint="eastAsia"/>
                <w:color w:val="auto"/>
                <w:sz w:val="24"/>
                <w:lang w:eastAsia="zh-CN"/>
              </w:rPr>
              <w:t>，</w:t>
            </w:r>
            <w:r>
              <w:rPr>
                <w:color w:val="auto"/>
                <w:sz w:val="24"/>
              </w:rPr>
              <w:t>本项目临时堆土区堆场防尘应采取的措施主要如下：</w:t>
            </w:r>
          </w:p>
          <w:p w14:paraId="6FFC7617">
            <w:pPr>
              <w:spacing w:line="360" w:lineRule="auto"/>
              <w:ind w:firstLine="480" w:firstLineChars="200"/>
              <w:rPr>
                <w:color w:val="auto"/>
                <w:sz w:val="24"/>
              </w:rPr>
            </w:pPr>
            <w:r>
              <w:rPr>
                <w:rFonts w:hint="eastAsia"/>
                <w:color w:val="auto"/>
                <w:sz w:val="24"/>
                <w:lang w:val="en-US" w:eastAsia="zh-CN"/>
              </w:rPr>
              <w:t>①</w:t>
            </w:r>
            <w:r>
              <w:rPr>
                <w:color w:val="auto"/>
                <w:sz w:val="24"/>
              </w:rPr>
              <w:t>易产生扬尘的各类粉状、粒状、块状物料及燃料堆场要进行封闭式改造，密闭储存。堆场封闭原则应采取全方位封闭措施，对于受运输、生产配套设施等制约无法全封闭的堆场，也应最大限度进行封闭，如实施三侧封闭等；</w:t>
            </w:r>
          </w:p>
          <w:p w14:paraId="434B3CED">
            <w:pPr>
              <w:spacing w:line="360" w:lineRule="auto"/>
              <w:ind w:firstLine="480" w:firstLineChars="200"/>
              <w:rPr>
                <w:color w:val="auto"/>
                <w:sz w:val="24"/>
              </w:rPr>
            </w:pPr>
            <w:r>
              <w:rPr>
                <w:rFonts w:hint="eastAsia"/>
                <w:color w:val="auto"/>
                <w:sz w:val="24"/>
                <w:lang w:val="en-US" w:eastAsia="zh-CN"/>
              </w:rPr>
              <w:t>②</w:t>
            </w:r>
            <w:r>
              <w:rPr>
                <w:color w:val="auto"/>
                <w:sz w:val="24"/>
              </w:rPr>
              <w:t>暂时不能密闭的堆场，应当设置严密围挡。设置实体墙围挡的，堆放物不得高于墙高；设置防风抑尘网的应符合下列规定：a除留出用于装卸的专用通道外，堆场周围必须全部建设闭合的防风抑尘网；b防风抑尘网高度应根据堆垛高度确定，原则上应高于堆垛至少2m，同时防风抑尘网高度应不小于庇护区垂直防风网方向长度的1/25；最佳高度为庇护区长度的1/16；c防风抑尘网底端必须设置防溢座，防溢座之间无缝隙，并确保牢固；d原则上防风抑尘网板材必须是专业厂家生产的合格产品，能够达到防风抑尘要求；e除正在装卸的作业面外，对堆存的易扬尘物料必须全部覆盖，覆盖布（网）要用重物压实。覆盖布（网）必须是合格产品，要有足够的密度、强度、韧度，不能有明显破损；</w:t>
            </w:r>
          </w:p>
          <w:p w14:paraId="386D3195">
            <w:pPr>
              <w:spacing w:line="360" w:lineRule="auto"/>
              <w:ind w:firstLine="480" w:firstLineChars="200"/>
              <w:rPr>
                <w:color w:val="auto"/>
                <w:sz w:val="24"/>
              </w:rPr>
            </w:pPr>
            <w:r>
              <w:rPr>
                <w:rFonts w:hint="eastAsia"/>
                <w:color w:val="auto"/>
                <w:sz w:val="24"/>
                <w:lang w:val="en-US" w:eastAsia="zh-CN"/>
              </w:rPr>
              <w:t>③</w:t>
            </w:r>
            <w:r>
              <w:rPr>
                <w:color w:val="auto"/>
                <w:sz w:val="24"/>
              </w:rPr>
              <w:t>适合喷淋的物料堆场应设置固定式或移动式的喷淋设施，并符合下列规定：a喷淋设施的布置和选型应结合堆场面积、物料堆垛高度等条件综合确定。喷淋设施数量和供水压力应满足喷淋覆盖堆场全部区域的要求；b喷淋强度及频率应根据天气情况确定。原则上每天喷淋不少于4次，每次不低于20分钟。干燥、大风天气要加大喷淋频率，以不产生扬尘为目标。因物料特性，不适宜长时间喷淋抑尘的，报政府主管部门，申请采取其它抑尘措施；c喷淋系统可采用集中控制和分散控制，以集中控制为宜。</w:t>
            </w:r>
          </w:p>
          <w:p w14:paraId="655BDB35">
            <w:pPr>
              <w:widowControl/>
              <w:numPr>
                <w:ilvl w:val="0"/>
                <w:numId w:val="10"/>
              </w:numPr>
              <w:spacing w:line="360" w:lineRule="auto"/>
              <w:ind w:left="105" w:leftChars="50" w:right="105" w:rightChars="50" w:firstLine="480" w:firstLineChars="200"/>
              <w:rPr>
                <w:color w:val="auto"/>
                <w:kern w:val="0"/>
                <w:sz w:val="24"/>
                <w:lang w:bidi="ar"/>
              </w:rPr>
            </w:pPr>
            <w:r>
              <w:rPr>
                <w:color w:val="auto"/>
                <w:kern w:val="0"/>
                <w:sz w:val="24"/>
                <w:lang w:bidi="ar"/>
              </w:rPr>
              <w:t>燃油废气</w:t>
            </w:r>
          </w:p>
          <w:p w14:paraId="0FF567D8">
            <w:pPr>
              <w:spacing w:line="360" w:lineRule="auto"/>
              <w:ind w:firstLine="552" w:firstLineChars="200"/>
              <w:rPr>
                <w:color w:val="auto"/>
                <w:sz w:val="20"/>
                <w:szCs w:val="20"/>
              </w:rPr>
            </w:pPr>
            <w:r>
              <w:rPr>
                <w:color w:val="auto"/>
                <w:spacing w:val="18"/>
                <w:sz w:val="24"/>
              </w:rPr>
              <w:t>燃油废气</w:t>
            </w:r>
            <w:r>
              <w:rPr>
                <w:color w:val="auto"/>
                <w:spacing w:val="9"/>
                <w:sz w:val="24"/>
              </w:rPr>
              <w:t>主要来自施工机械和交通运输车辆，本项目施工燃油机械和运输车辆以</w:t>
            </w:r>
            <w:r>
              <w:rPr>
                <w:color w:val="auto"/>
                <w:spacing w:val="24"/>
                <w:sz w:val="24"/>
              </w:rPr>
              <w:t>汽油</w:t>
            </w:r>
            <w:r>
              <w:rPr>
                <w:color w:val="auto"/>
                <w:spacing w:val="16"/>
                <w:sz w:val="24"/>
              </w:rPr>
              <w:t>和</w:t>
            </w:r>
            <w:r>
              <w:rPr>
                <w:color w:val="auto"/>
                <w:spacing w:val="12"/>
                <w:sz w:val="24"/>
              </w:rPr>
              <w:t>柴油为燃料，其废气排放特点是排放量小，属间断性排放，废气中有害物质主要有</w:t>
            </w:r>
            <w:r>
              <w:rPr>
                <w:color w:val="auto"/>
                <w:sz w:val="24"/>
              </w:rPr>
              <w:t>CO</w:t>
            </w:r>
            <w:r>
              <w:rPr>
                <w:color w:val="auto"/>
                <w:spacing w:val="12"/>
                <w:sz w:val="24"/>
              </w:rPr>
              <w:t>、</w:t>
            </w:r>
            <w:r>
              <w:rPr>
                <w:color w:val="auto"/>
                <w:sz w:val="24"/>
              </w:rPr>
              <w:t>NO</w:t>
            </w:r>
            <w:r>
              <w:rPr>
                <w:color w:val="auto"/>
                <w:sz w:val="24"/>
                <w:vertAlign w:val="subscript"/>
              </w:rPr>
              <w:t>x</w:t>
            </w:r>
            <w:r>
              <w:rPr>
                <w:color w:val="auto"/>
                <w:spacing w:val="7"/>
                <w:sz w:val="24"/>
              </w:rPr>
              <w:t>和</w:t>
            </w:r>
            <w:r>
              <w:rPr>
                <w:color w:val="auto"/>
                <w:spacing w:val="6"/>
                <w:sz w:val="24"/>
              </w:rPr>
              <w:t>烃类等。由于这部分污染物排放强度小，且工程地区地势平坦、开阔，有利于</w:t>
            </w:r>
            <w:r>
              <w:rPr>
                <w:color w:val="auto"/>
                <w:spacing w:val="18"/>
                <w:sz w:val="24"/>
              </w:rPr>
              <w:t>废</w:t>
            </w:r>
            <w:r>
              <w:rPr>
                <w:color w:val="auto"/>
                <w:spacing w:val="9"/>
                <w:sz w:val="24"/>
              </w:rPr>
              <w:t>气稀释、扩散，此部分废气不会对周围大气环境产生明显影响。</w:t>
            </w:r>
          </w:p>
          <w:p w14:paraId="549D94B2">
            <w:pPr>
              <w:jc w:val="center"/>
              <w:rPr>
                <w:b/>
                <w:bCs/>
                <w:color w:val="auto"/>
                <w:szCs w:val="21"/>
              </w:rPr>
            </w:pPr>
            <w:r>
              <w:rPr>
                <w:b/>
                <w:bCs/>
                <w:color w:val="auto"/>
                <w:spacing w:val="8"/>
                <w:szCs w:val="21"/>
              </w:rPr>
              <w:t>表4-2  机动车辆污染物排放系</w:t>
            </w:r>
            <w:r>
              <w:rPr>
                <w:b/>
                <w:bCs/>
                <w:color w:val="auto"/>
                <w:spacing w:val="4"/>
                <w:szCs w:val="21"/>
              </w:rPr>
              <w:t>数</w:t>
            </w:r>
          </w:p>
          <w:tbl>
            <w:tblPr>
              <w:tblStyle w:val="20"/>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134"/>
              <w:gridCol w:w="3895"/>
              <w:gridCol w:w="3110"/>
            </w:tblGrid>
            <w:tr w14:paraId="0E975E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1" w:hRule="atLeast"/>
              </w:trPr>
              <w:tc>
                <w:tcPr>
                  <w:tcW w:w="1167" w:type="pct"/>
                  <w:vMerge w:val="restart"/>
                  <w:vAlign w:val="center"/>
                </w:tcPr>
                <w:p w14:paraId="3C5E5897">
                  <w:pPr>
                    <w:jc w:val="center"/>
                    <w:rPr>
                      <w:color w:val="auto"/>
                      <w:szCs w:val="21"/>
                    </w:rPr>
                  </w:pPr>
                  <w:r>
                    <w:rPr>
                      <w:color w:val="auto"/>
                      <w:spacing w:val="8"/>
                      <w:szCs w:val="21"/>
                    </w:rPr>
                    <w:t>污染</w:t>
                  </w:r>
                  <w:r>
                    <w:rPr>
                      <w:color w:val="auto"/>
                      <w:spacing w:val="7"/>
                      <w:szCs w:val="21"/>
                    </w:rPr>
                    <w:t>物</w:t>
                  </w:r>
                </w:p>
              </w:tc>
              <w:tc>
                <w:tcPr>
                  <w:tcW w:w="2130" w:type="pct"/>
                  <w:vAlign w:val="center"/>
                </w:tcPr>
                <w:p w14:paraId="0A79703A">
                  <w:pPr>
                    <w:jc w:val="center"/>
                    <w:rPr>
                      <w:color w:val="auto"/>
                      <w:szCs w:val="21"/>
                    </w:rPr>
                  </w:pPr>
                  <w:r>
                    <w:rPr>
                      <w:color w:val="auto"/>
                      <w:spacing w:val="6"/>
                      <w:position w:val="2"/>
                      <w:szCs w:val="21"/>
                    </w:rPr>
                    <w:t>以汽油为燃料(</w:t>
                  </w:r>
                  <w:r>
                    <w:rPr>
                      <w:color w:val="auto"/>
                      <w:position w:val="2"/>
                      <w:szCs w:val="21"/>
                    </w:rPr>
                    <w:t>g</w:t>
                  </w:r>
                  <w:r>
                    <w:rPr>
                      <w:color w:val="auto"/>
                      <w:spacing w:val="6"/>
                      <w:position w:val="2"/>
                      <w:szCs w:val="21"/>
                    </w:rPr>
                    <w:t>/</w:t>
                  </w:r>
                  <w:r>
                    <w:rPr>
                      <w:color w:val="auto"/>
                      <w:position w:val="2"/>
                      <w:szCs w:val="21"/>
                    </w:rPr>
                    <w:t>L</w:t>
                  </w:r>
                  <w:r>
                    <w:rPr>
                      <w:color w:val="auto"/>
                      <w:spacing w:val="6"/>
                      <w:position w:val="2"/>
                      <w:szCs w:val="21"/>
                    </w:rPr>
                    <w:t>)</w:t>
                  </w:r>
                </w:p>
              </w:tc>
              <w:tc>
                <w:tcPr>
                  <w:tcW w:w="1701" w:type="pct"/>
                  <w:vAlign w:val="center"/>
                </w:tcPr>
                <w:p w14:paraId="6FD30C9A">
                  <w:pPr>
                    <w:jc w:val="center"/>
                    <w:rPr>
                      <w:color w:val="auto"/>
                      <w:szCs w:val="21"/>
                    </w:rPr>
                  </w:pPr>
                  <w:r>
                    <w:rPr>
                      <w:color w:val="auto"/>
                      <w:spacing w:val="9"/>
                      <w:position w:val="2"/>
                      <w:szCs w:val="21"/>
                    </w:rPr>
                    <w:t>以</w:t>
                  </w:r>
                  <w:r>
                    <w:rPr>
                      <w:color w:val="auto"/>
                      <w:spacing w:val="6"/>
                      <w:position w:val="2"/>
                      <w:szCs w:val="21"/>
                    </w:rPr>
                    <w:t>柴油为燃料(</w:t>
                  </w:r>
                  <w:r>
                    <w:rPr>
                      <w:color w:val="auto"/>
                      <w:position w:val="2"/>
                      <w:szCs w:val="21"/>
                    </w:rPr>
                    <w:t>g</w:t>
                  </w:r>
                  <w:r>
                    <w:rPr>
                      <w:color w:val="auto"/>
                      <w:spacing w:val="6"/>
                      <w:position w:val="2"/>
                      <w:szCs w:val="21"/>
                    </w:rPr>
                    <w:t>/</w:t>
                  </w:r>
                  <w:r>
                    <w:rPr>
                      <w:color w:val="auto"/>
                      <w:position w:val="2"/>
                      <w:szCs w:val="21"/>
                    </w:rPr>
                    <w:t>L</w:t>
                  </w:r>
                  <w:r>
                    <w:rPr>
                      <w:color w:val="auto"/>
                      <w:spacing w:val="6"/>
                      <w:position w:val="2"/>
                      <w:szCs w:val="21"/>
                    </w:rPr>
                    <w:t>)</w:t>
                  </w:r>
                </w:p>
              </w:tc>
            </w:tr>
            <w:tr w14:paraId="6FAD16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8" w:hRule="atLeast"/>
              </w:trPr>
              <w:tc>
                <w:tcPr>
                  <w:tcW w:w="1167" w:type="pct"/>
                  <w:vMerge w:val="continue"/>
                  <w:vAlign w:val="center"/>
                </w:tcPr>
                <w:p w14:paraId="60073262">
                  <w:pPr>
                    <w:jc w:val="center"/>
                    <w:rPr>
                      <w:color w:val="auto"/>
                      <w:szCs w:val="21"/>
                    </w:rPr>
                  </w:pPr>
                </w:p>
              </w:tc>
              <w:tc>
                <w:tcPr>
                  <w:tcW w:w="2130" w:type="pct"/>
                  <w:vAlign w:val="center"/>
                </w:tcPr>
                <w:p w14:paraId="0F24CCD8">
                  <w:pPr>
                    <w:jc w:val="center"/>
                    <w:rPr>
                      <w:color w:val="auto"/>
                      <w:szCs w:val="21"/>
                    </w:rPr>
                  </w:pPr>
                  <w:r>
                    <w:rPr>
                      <w:color w:val="auto"/>
                      <w:spacing w:val="6"/>
                      <w:szCs w:val="21"/>
                    </w:rPr>
                    <w:t>小汽车</w:t>
                  </w:r>
                </w:p>
              </w:tc>
              <w:tc>
                <w:tcPr>
                  <w:tcW w:w="1701" w:type="pct"/>
                  <w:vAlign w:val="center"/>
                </w:tcPr>
                <w:p w14:paraId="11D33BE2">
                  <w:pPr>
                    <w:jc w:val="center"/>
                    <w:rPr>
                      <w:color w:val="auto"/>
                      <w:szCs w:val="21"/>
                    </w:rPr>
                  </w:pPr>
                  <w:r>
                    <w:rPr>
                      <w:color w:val="auto"/>
                      <w:spacing w:val="8"/>
                      <w:szCs w:val="21"/>
                    </w:rPr>
                    <w:t>载</w:t>
                  </w:r>
                  <w:r>
                    <w:rPr>
                      <w:color w:val="auto"/>
                      <w:spacing w:val="7"/>
                      <w:szCs w:val="21"/>
                    </w:rPr>
                    <w:t>重车</w:t>
                  </w:r>
                </w:p>
              </w:tc>
            </w:tr>
            <w:tr w14:paraId="28AA3C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1" w:hRule="atLeast"/>
              </w:trPr>
              <w:tc>
                <w:tcPr>
                  <w:tcW w:w="1167" w:type="pct"/>
                  <w:vAlign w:val="center"/>
                </w:tcPr>
                <w:p w14:paraId="5E46398B">
                  <w:pPr>
                    <w:jc w:val="center"/>
                    <w:rPr>
                      <w:color w:val="auto"/>
                      <w:szCs w:val="21"/>
                    </w:rPr>
                  </w:pPr>
                  <w:r>
                    <w:rPr>
                      <w:color w:val="auto"/>
                      <w:spacing w:val="4"/>
                      <w:szCs w:val="21"/>
                    </w:rPr>
                    <w:t>C</w:t>
                  </w:r>
                  <w:r>
                    <w:rPr>
                      <w:color w:val="auto"/>
                      <w:spacing w:val="3"/>
                      <w:szCs w:val="21"/>
                    </w:rPr>
                    <w:t>O</w:t>
                  </w:r>
                </w:p>
              </w:tc>
              <w:tc>
                <w:tcPr>
                  <w:tcW w:w="2130" w:type="pct"/>
                  <w:vAlign w:val="center"/>
                </w:tcPr>
                <w:p w14:paraId="471A771E">
                  <w:pPr>
                    <w:jc w:val="center"/>
                    <w:rPr>
                      <w:color w:val="auto"/>
                      <w:szCs w:val="21"/>
                    </w:rPr>
                  </w:pPr>
                  <w:r>
                    <w:rPr>
                      <w:color w:val="auto"/>
                      <w:szCs w:val="21"/>
                    </w:rPr>
                    <w:t>169.0</w:t>
                  </w:r>
                </w:p>
              </w:tc>
              <w:tc>
                <w:tcPr>
                  <w:tcW w:w="1701" w:type="pct"/>
                  <w:vAlign w:val="center"/>
                </w:tcPr>
                <w:p w14:paraId="5D5889C5">
                  <w:pPr>
                    <w:jc w:val="center"/>
                    <w:rPr>
                      <w:color w:val="auto"/>
                      <w:szCs w:val="21"/>
                    </w:rPr>
                  </w:pPr>
                  <w:r>
                    <w:rPr>
                      <w:color w:val="auto"/>
                      <w:spacing w:val="4"/>
                      <w:szCs w:val="21"/>
                    </w:rPr>
                    <w:t>27.</w:t>
                  </w:r>
                  <w:r>
                    <w:rPr>
                      <w:color w:val="auto"/>
                      <w:spacing w:val="3"/>
                      <w:szCs w:val="21"/>
                    </w:rPr>
                    <w:t>0</w:t>
                  </w:r>
                </w:p>
              </w:tc>
            </w:tr>
            <w:tr w14:paraId="1F30C4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67" w:type="pct"/>
                  <w:vAlign w:val="center"/>
                </w:tcPr>
                <w:p w14:paraId="25E111D0">
                  <w:pPr>
                    <w:jc w:val="center"/>
                    <w:rPr>
                      <w:color w:val="auto"/>
                      <w:szCs w:val="21"/>
                      <w:vertAlign w:val="subscript"/>
                    </w:rPr>
                  </w:pPr>
                  <w:r>
                    <w:rPr>
                      <w:color w:val="auto"/>
                      <w:spacing w:val="7"/>
                      <w:szCs w:val="21"/>
                    </w:rPr>
                    <w:t>N</w:t>
                  </w:r>
                  <w:r>
                    <w:rPr>
                      <w:color w:val="auto"/>
                      <w:spacing w:val="6"/>
                      <w:szCs w:val="21"/>
                    </w:rPr>
                    <w:t>O</w:t>
                  </w:r>
                  <w:r>
                    <w:rPr>
                      <w:color w:val="auto"/>
                      <w:spacing w:val="6"/>
                      <w:szCs w:val="21"/>
                      <w:vertAlign w:val="subscript"/>
                    </w:rPr>
                    <w:t>x</w:t>
                  </w:r>
                </w:p>
              </w:tc>
              <w:tc>
                <w:tcPr>
                  <w:tcW w:w="2130" w:type="pct"/>
                  <w:vAlign w:val="center"/>
                </w:tcPr>
                <w:p w14:paraId="46751B53">
                  <w:pPr>
                    <w:jc w:val="center"/>
                    <w:rPr>
                      <w:color w:val="auto"/>
                      <w:szCs w:val="21"/>
                    </w:rPr>
                  </w:pPr>
                  <w:r>
                    <w:rPr>
                      <w:color w:val="auto"/>
                      <w:spacing w:val="-4"/>
                      <w:szCs w:val="21"/>
                    </w:rPr>
                    <w:t>2</w:t>
                  </w:r>
                  <w:r>
                    <w:rPr>
                      <w:color w:val="auto"/>
                      <w:spacing w:val="-3"/>
                      <w:szCs w:val="21"/>
                    </w:rPr>
                    <w:t>1</w:t>
                  </w:r>
                  <w:r>
                    <w:rPr>
                      <w:color w:val="auto"/>
                      <w:spacing w:val="-2"/>
                      <w:szCs w:val="21"/>
                    </w:rPr>
                    <w:t>.1</w:t>
                  </w:r>
                </w:p>
              </w:tc>
              <w:tc>
                <w:tcPr>
                  <w:tcW w:w="1701" w:type="pct"/>
                  <w:vAlign w:val="center"/>
                </w:tcPr>
                <w:p w14:paraId="15A612ED">
                  <w:pPr>
                    <w:jc w:val="center"/>
                    <w:rPr>
                      <w:color w:val="auto"/>
                      <w:szCs w:val="21"/>
                    </w:rPr>
                  </w:pPr>
                  <w:r>
                    <w:rPr>
                      <w:color w:val="auto"/>
                      <w:spacing w:val="6"/>
                      <w:szCs w:val="21"/>
                    </w:rPr>
                    <w:t>4</w:t>
                  </w:r>
                  <w:r>
                    <w:rPr>
                      <w:color w:val="auto"/>
                      <w:spacing w:val="3"/>
                      <w:szCs w:val="21"/>
                    </w:rPr>
                    <w:t>4.4</w:t>
                  </w:r>
                </w:p>
              </w:tc>
            </w:tr>
            <w:tr w14:paraId="74C474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1" w:hRule="atLeast"/>
              </w:trPr>
              <w:tc>
                <w:tcPr>
                  <w:tcW w:w="1167" w:type="pct"/>
                  <w:vAlign w:val="center"/>
                </w:tcPr>
                <w:p w14:paraId="2CEC3129">
                  <w:pPr>
                    <w:jc w:val="center"/>
                    <w:rPr>
                      <w:color w:val="auto"/>
                      <w:szCs w:val="21"/>
                    </w:rPr>
                  </w:pPr>
                  <w:r>
                    <w:rPr>
                      <w:color w:val="auto"/>
                      <w:spacing w:val="6"/>
                      <w:szCs w:val="21"/>
                    </w:rPr>
                    <w:t>烃类</w:t>
                  </w:r>
                </w:p>
              </w:tc>
              <w:tc>
                <w:tcPr>
                  <w:tcW w:w="2130" w:type="pct"/>
                  <w:vAlign w:val="center"/>
                </w:tcPr>
                <w:p w14:paraId="7C26C822">
                  <w:pPr>
                    <w:jc w:val="center"/>
                    <w:rPr>
                      <w:color w:val="auto"/>
                      <w:szCs w:val="21"/>
                    </w:rPr>
                  </w:pPr>
                  <w:r>
                    <w:rPr>
                      <w:color w:val="auto"/>
                      <w:spacing w:val="4"/>
                      <w:szCs w:val="21"/>
                    </w:rPr>
                    <w:t>3</w:t>
                  </w:r>
                  <w:r>
                    <w:rPr>
                      <w:color w:val="auto"/>
                      <w:spacing w:val="3"/>
                      <w:szCs w:val="21"/>
                    </w:rPr>
                    <w:t>3.3</w:t>
                  </w:r>
                </w:p>
              </w:tc>
              <w:tc>
                <w:tcPr>
                  <w:tcW w:w="1701" w:type="pct"/>
                  <w:vAlign w:val="center"/>
                </w:tcPr>
                <w:p w14:paraId="76D8C32C">
                  <w:pPr>
                    <w:jc w:val="center"/>
                    <w:rPr>
                      <w:color w:val="auto"/>
                      <w:szCs w:val="21"/>
                    </w:rPr>
                  </w:pPr>
                  <w:r>
                    <w:rPr>
                      <w:color w:val="auto"/>
                      <w:spacing w:val="6"/>
                      <w:szCs w:val="21"/>
                    </w:rPr>
                    <w:t>4</w:t>
                  </w:r>
                  <w:r>
                    <w:rPr>
                      <w:color w:val="auto"/>
                      <w:spacing w:val="3"/>
                      <w:szCs w:val="21"/>
                    </w:rPr>
                    <w:t>.44</w:t>
                  </w:r>
                </w:p>
              </w:tc>
            </w:tr>
          </w:tbl>
          <w:p w14:paraId="3D1892AE">
            <w:pPr>
              <w:spacing w:line="360" w:lineRule="auto"/>
              <w:ind w:firstLine="480" w:firstLineChars="200"/>
              <w:rPr>
                <w:color w:val="auto"/>
                <w:sz w:val="24"/>
              </w:rPr>
            </w:pPr>
            <w:r>
              <w:rPr>
                <w:color w:val="auto"/>
                <w:sz w:val="24"/>
              </w:rPr>
              <w:t>根据《机动车和非道路移动机械排放污染防治条例》（2020年5月1日实施）和《山东省机动车排气污染防治条例》（</w:t>
            </w:r>
            <w:r>
              <w:rPr>
                <w:rFonts w:hint="eastAsia"/>
                <w:color w:val="auto"/>
                <w:sz w:val="24"/>
              </w:rPr>
              <w:t>2022年</w:t>
            </w:r>
            <w:r>
              <w:rPr>
                <w:color w:val="auto"/>
                <w:sz w:val="24"/>
              </w:rPr>
              <w:t>修订），对施工期间入场的机动车和非道路移动机械提出以下控制措施和要求：</w:t>
            </w:r>
          </w:p>
          <w:p w14:paraId="72BFE00B">
            <w:pPr>
              <w:spacing w:line="360" w:lineRule="auto"/>
              <w:ind w:firstLine="480" w:firstLineChars="200"/>
              <w:rPr>
                <w:color w:val="auto"/>
                <w:sz w:val="24"/>
              </w:rPr>
            </w:pPr>
            <w:r>
              <w:rPr>
                <w:color w:val="auto"/>
                <w:sz w:val="24"/>
              </w:rPr>
              <w:t>①严格实施国家机动车油耗标准。严格落实营运重型柴油车燃料消耗量达标核查，不满足标准限值要求的新车型禁止进入施工区域。严格对照国家机动车排放标准，实施机动车大气污染物排放源头管控，进区车辆实施机动车国六排放标准。鼓励使用达到国六排放标准的燃气车辆。</w:t>
            </w:r>
          </w:p>
          <w:p w14:paraId="46030719">
            <w:pPr>
              <w:spacing w:line="360" w:lineRule="auto"/>
              <w:ind w:firstLine="480" w:firstLineChars="200"/>
              <w:rPr>
                <w:color w:val="auto"/>
                <w:sz w:val="24"/>
              </w:rPr>
            </w:pPr>
            <w:r>
              <w:rPr>
                <w:color w:val="auto"/>
                <w:sz w:val="24"/>
              </w:rPr>
              <w:t>②应制定错峰运输方案，原则上不允许柴油货车在重污染天气预警响应期间进出施工区域。</w:t>
            </w:r>
          </w:p>
          <w:p w14:paraId="7D3422B8">
            <w:pPr>
              <w:spacing w:line="360" w:lineRule="auto"/>
              <w:ind w:firstLine="480" w:firstLineChars="200"/>
              <w:rPr>
                <w:color w:val="auto"/>
                <w:sz w:val="24"/>
              </w:rPr>
            </w:pPr>
            <w:r>
              <w:rPr>
                <w:color w:val="auto"/>
                <w:sz w:val="24"/>
              </w:rPr>
              <w:t>③禁止使用高排放非道路移动机械的区域，对达不到国三排放标准的非道路移动机械禁止入场作业，禁止使用高排放非道路移动机械进入施工区域。</w:t>
            </w:r>
          </w:p>
          <w:p w14:paraId="5424E879">
            <w:pPr>
              <w:spacing w:line="360" w:lineRule="auto"/>
              <w:ind w:firstLine="480" w:firstLineChars="200"/>
              <w:rPr>
                <w:color w:val="auto"/>
                <w:sz w:val="24"/>
              </w:rPr>
            </w:pPr>
            <w:r>
              <w:rPr>
                <w:color w:val="auto"/>
                <w:sz w:val="24"/>
              </w:rPr>
              <w:t>④施工期严格落实《山东省生态环境厅关于做好机动车及非道路移动机械新标准实施有关工作的通知》（鲁环函[2019]21号）、《山东省打好柴油货车污染防治攻坚战作战方案》（鲁政办字[2019]30号）。</w:t>
            </w:r>
          </w:p>
          <w:p w14:paraId="26F75F12">
            <w:pPr>
              <w:spacing w:line="360" w:lineRule="auto"/>
              <w:ind w:firstLine="480" w:firstLineChars="200"/>
              <w:rPr>
                <w:color w:val="auto"/>
                <w:sz w:val="24"/>
              </w:rPr>
            </w:pPr>
            <w:r>
              <w:rPr>
                <w:color w:val="auto"/>
                <w:sz w:val="24"/>
              </w:rPr>
              <w:t>⑤落实《非道路移动机械污染防治技术政策》等要求，使用达到国三及以上非道路移动机械，使用达到国六标准的施工车辆或使用新能源车辆，禁止使用高排放、检测不达标设施，施工车辆及非道路移动机械使用符合国六标准的汽柴油或使用清洁能源。采取相应措施减轻施工期环境空气影响。</w:t>
            </w:r>
          </w:p>
          <w:p w14:paraId="64C20F05">
            <w:pPr>
              <w:spacing w:line="360" w:lineRule="auto"/>
              <w:ind w:firstLine="520" w:firstLineChars="200"/>
              <w:rPr>
                <w:color w:val="auto"/>
                <w:spacing w:val="10"/>
                <w:position w:val="1"/>
                <w:sz w:val="24"/>
              </w:rPr>
            </w:pPr>
            <w:r>
              <w:rPr>
                <w:rFonts w:hint="eastAsia"/>
                <w:color w:val="auto"/>
                <w:spacing w:val="10"/>
                <w:position w:val="1"/>
                <w:sz w:val="24"/>
                <w:lang w:val="en-US" w:eastAsia="zh-CN"/>
              </w:rPr>
              <w:t>3</w:t>
            </w:r>
            <w:r>
              <w:rPr>
                <w:color w:val="auto"/>
                <w:spacing w:val="10"/>
                <w:position w:val="1"/>
                <w:sz w:val="24"/>
              </w:rPr>
              <w:t>、河道淤泥臭气</w:t>
            </w:r>
          </w:p>
          <w:p w14:paraId="03C728E8">
            <w:pPr>
              <w:spacing w:line="360" w:lineRule="auto"/>
              <w:ind w:firstLine="520" w:firstLineChars="200"/>
              <w:rPr>
                <w:color w:val="auto"/>
                <w:spacing w:val="10"/>
                <w:position w:val="1"/>
                <w:sz w:val="24"/>
              </w:rPr>
            </w:pPr>
            <w:r>
              <w:rPr>
                <w:color w:val="auto"/>
                <w:spacing w:val="10"/>
                <w:position w:val="1"/>
                <w:sz w:val="24"/>
              </w:rPr>
              <w:t>河道清淤产生的底泥，在受到扰动和堆置地面时，可能会引起恶臭物质呈无组织状态释放，从而影响周围环境空气质量。主要恶臭污染物为硫化氢、氨和臭气浓度。</w:t>
            </w:r>
          </w:p>
          <w:p w14:paraId="0A7909F3">
            <w:pPr>
              <w:spacing w:line="360" w:lineRule="auto"/>
              <w:ind w:firstLine="520" w:firstLineChars="200"/>
              <w:rPr>
                <w:color w:val="auto"/>
                <w:spacing w:val="10"/>
                <w:position w:val="1"/>
                <w:sz w:val="24"/>
              </w:rPr>
            </w:pPr>
            <w:r>
              <w:rPr>
                <w:color w:val="auto"/>
                <w:spacing w:val="10"/>
                <w:position w:val="1"/>
                <w:sz w:val="24"/>
              </w:rPr>
              <w:t>用嗅觉感觉出来的臭气强度，用“嗅觉阈值”来表示，所谓嗅觉阈值就是人所能嗅到某种物质的最小刺激量。恶臭强度以臭味的嗅觉阈值为基准划分等级，划分为6级，如表4-3所示。</w:t>
            </w:r>
          </w:p>
          <w:p w14:paraId="607F758F">
            <w:pPr>
              <w:spacing w:line="360" w:lineRule="auto"/>
              <w:ind w:firstLine="520" w:firstLineChars="200"/>
              <w:rPr>
                <w:color w:val="auto"/>
                <w:spacing w:val="10"/>
                <w:position w:val="1"/>
                <w:sz w:val="24"/>
              </w:rPr>
            </w:pPr>
            <w:r>
              <w:rPr>
                <w:color w:val="auto"/>
                <w:spacing w:val="10"/>
                <w:position w:val="1"/>
                <w:sz w:val="24"/>
              </w:rPr>
              <w:t>对恶臭的限制要求一般相当于恶臭强度2.5～3.5级，超出该强度范围，即认为发生恶臭污染，需要采取措施。</w:t>
            </w:r>
          </w:p>
          <w:p w14:paraId="14CDD754">
            <w:pPr>
              <w:jc w:val="center"/>
              <w:rPr>
                <w:b/>
                <w:bCs/>
                <w:color w:val="auto"/>
                <w:spacing w:val="8"/>
                <w:szCs w:val="21"/>
              </w:rPr>
            </w:pPr>
            <w:r>
              <w:rPr>
                <w:b/>
                <w:bCs/>
                <w:color w:val="auto"/>
                <w:spacing w:val="8"/>
                <w:szCs w:val="21"/>
              </w:rPr>
              <w:t>表4-3 臭气强度与臭气浓度对应关系表</w:t>
            </w:r>
          </w:p>
          <w:tbl>
            <w:tblPr>
              <w:tblStyle w:val="20"/>
              <w:tblW w:w="5000" w:type="pct"/>
              <w:tblInd w:w="1"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1223"/>
              <w:gridCol w:w="3107"/>
              <w:gridCol w:w="4836"/>
            </w:tblGrid>
            <w:tr w14:paraId="5C41B732">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2" w:space="0"/>
                    <w:left w:val="single" w:color="auto" w:sz="2" w:space="0"/>
                    <w:bottom w:val="single" w:color="auto" w:sz="6" w:space="0"/>
                    <w:right w:val="single" w:color="auto" w:sz="6" w:space="0"/>
                  </w:tcBorders>
                  <w:vAlign w:val="center"/>
                </w:tcPr>
                <w:p w14:paraId="37CA65F7">
                  <w:pPr>
                    <w:pStyle w:val="38"/>
                    <w:spacing w:line="240" w:lineRule="auto"/>
                    <w:ind w:firstLine="0"/>
                    <w:jc w:val="center"/>
                    <w:rPr>
                      <w:rFonts w:cs="Times New Roman"/>
                      <w:color w:val="auto"/>
                      <w:sz w:val="21"/>
                      <w:szCs w:val="21"/>
                    </w:rPr>
                  </w:pPr>
                  <w:r>
                    <w:rPr>
                      <w:rFonts w:cs="Times New Roman"/>
                      <w:color w:val="auto"/>
                      <w:sz w:val="21"/>
                      <w:szCs w:val="21"/>
                    </w:rPr>
                    <w:t>臭气强度</w:t>
                  </w:r>
                </w:p>
              </w:tc>
              <w:tc>
                <w:tcPr>
                  <w:tcW w:w="3160" w:type="dxa"/>
                  <w:tcBorders>
                    <w:top w:val="single" w:color="auto" w:sz="2" w:space="0"/>
                    <w:left w:val="single" w:color="auto" w:sz="6" w:space="0"/>
                    <w:bottom w:val="single" w:color="auto" w:sz="6" w:space="0"/>
                    <w:right w:val="single" w:color="auto" w:sz="2" w:space="0"/>
                  </w:tcBorders>
                  <w:vAlign w:val="center"/>
                </w:tcPr>
                <w:p w14:paraId="6AB69443">
                  <w:pPr>
                    <w:pStyle w:val="38"/>
                    <w:spacing w:line="240" w:lineRule="auto"/>
                    <w:ind w:firstLine="0"/>
                    <w:jc w:val="center"/>
                    <w:rPr>
                      <w:rFonts w:cs="Times New Roman"/>
                      <w:color w:val="auto"/>
                      <w:sz w:val="21"/>
                      <w:szCs w:val="21"/>
                    </w:rPr>
                  </w:pPr>
                  <w:r>
                    <w:rPr>
                      <w:rFonts w:cs="Times New Roman"/>
                      <w:color w:val="auto"/>
                      <w:sz w:val="21"/>
                      <w:szCs w:val="21"/>
                    </w:rPr>
                    <w:t>臭气浓度（无量纲）</w:t>
                  </w:r>
                </w:p>
              </w:tc>
              <w:tc>
                <w:tcPr>
                  <w:tcW w:w="4918" w:type="dxa"/>
                  <w:tcBorders>
                    <w:top w:val="single" w:color="auto" w:sz="2" w:space="0"/>
                    <w:left w:val="nil"/>
                    <w:bottom w:val="single" w:color="auto" w:sz="6" w:space="0"/>
                    <w:right w:val="single" w:color="auto" w:sz="2" w:space="0"/>
                  </w:tcBorders>
                  <w:vAlign w:val="center"/>
                </w:tcPr>
                <w:p w14:paraId="7962BEE1">
                  <w:pPr>
                    <w:pStyle w:val="38"/>
                    <w:spacing w:line="240" w:lineRule="auto"/>
                    <w:jc w:val="center"/>
                    <w:rPr>
                      <w:rFonts w:cs="Times New Roman"/>
                      <w:color w:val="auto"/>
                      <w:sz w:val="21"/>
                      <w:szCs w:val="21"/>
                    </w:rPr>
                  </w:pPr>
                  <w:r>
                    <w:rPr>
                      <w:rFonts w:cs="Times New Roman"/>
                      <w:color w:val="auto"/>
                      <w:sz w:val="21"/>
                      <w:szCs w:val="21"/>
                    </w:rPr>
                    <w:t>感觉强度描述</w:t>
                  </w:r>
                </w:p>
              </w:tc>
            </w:tr>
            <w:tr w14:paraId="62CCF085">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6" w:space="0"/>
                    <w:right w:val="single" w:color="auto" w:sz="6" w:space="0"/>
                  </w:tcBorders>
                  <w:vAlign w:val="center"/>
                </w:tcPr>
                <w:p w14:paraId="601DE3EF">
                  <w:pPr>
                    <w:pStyle w:val="38"/>
                    <w:spacing w:line="240" w:lineRule="auto"/>
                    <w:ind w:firstLine="0"/>
                    <w:jc w:val="center"/>
                    <w:rPr>
                      <w:rFonts w:cs="Times New Roman"/>
                      <w:color w:val="auto"/>
                      <w:sz w:val="21"/>
                      <w:szCs w:val="21"/>
                    </w:rPr>
                  </w:pPr>
                  <w:r>
                    <w:rPr>
                      <w:rFonts w:cs="Times New Roman"/>
                      <w:color w:val="auto"/>
                      <w:sz w:val="21"/>
                      <w:szCs w:val="21"/>
                    </w:rPr>
                    <w:t>0</w:t>
                  </w:r>
                </w:p>
              </w:tc>
              <w:tc>
                <w:tcPr>
                  <w:tcW w:w="3160" w:type="dxa"/>
                  <w:tcBorders>
                    <w:top w:val="single" w:color="auto" w:sz="6" w:space="0"/>
                    <w:left w:val="single" w:color="auto" w:sz="6" w:space="0"/>
                    <w:bottom w:val="single" w:color="auto" w:sz="6" w:space="0"/>
                    <w:right w:val="single" w:color="auto" w:sz="2" w:space="0"/>
                  </w:tcBorders>
                  <w:vAlign w:val="center"/>
                </w:tcPr>
                <w:p w14:paraId="75BE41CE">
                  <w:pPr>
                    <w:pStyle w:val="38"/>
                    <w:spacing w:line="240" w:lineRule="auto"/>
                    <w:ind w:firstLine="0"/>
                    <w:jc w:val="center"/>
                    <w:rPr>
                      <w:rFonts w:cs="Times New Roman"/>
                      <w:color w:val="auto"/>
                      <w:sz w:val="21"/>
                      <w:szCs w:val="21"/>
                    </w:rPr>
                  </w:pPr>
                  <w:r>
                    <w:rPr>
                      <w:rFonts w:cs="Times New Roman"/>
                      <w:color w:val="auto"/>
                      <w:sz w:val="21"/>
                      <w:szCs w:val="21"/>
                    </w:rPr>
                    <w:t>10</w:t>
                  </w:r>
                </w:p>
              </w:tc>
              <w:tc>
                <w:tcPr>
                  <w:tcW w:w="4918" w:type="dxa"/>
                  <w:tcBorders>
                    <w:top w:val="single" w:color="auto" w:sz="6" w:space="0"/>
                    <w:left w:val="nil"/>
                    <w:bottom w:val="single" w:color="auto" w:sz="6" w:space="0"/>
                    <w:right w:val="single" w:color="auto" w:sz="2" w:space="0"/>
                  </w:tcBorders>
                  <w:vAlign w:val="center"/>
                </w:tcPr>
                <w:p w14:paraId="1EEF70F4">
                  <w:pPr>
                    <w:pStyle w:val="38"/>
                    <w:spacing w:line="240" w:lineRule="auto"/>
                    <w:ind w:firstLine="0"/>
                    <w:jc w:val="center"/>
                    <w:rPr>
                      <w:rFonts w:cs="Times New Roman"/>
                      <w:color w:val="auto"/>
                      <w:sz w:val="21"/>
                      <w:szCs w:val="21"/>
                    </w:rPr>
                  </w:pPr>
                  <w:r>
                    <w:rPr>
                      <w:rFonts w:cs="Times New Roman"/>
                      <w:color w:val="auto"/>
                      <w:sz w:val="21"/>
                      <w:szCs w:val="21"/>
                    </w:rPr>
                    <w:t>无臭</w:t>
                  </w:r>
                </w:p>
              </w:tc>
            </w:tr>
            <w:tr w14:paraId="647A2B59">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6" w:space="0"/>
                    <w:right w:val="single" w:color="auto" w:sz="6" w:space="0"/>
                  </w:tcBorders>
                  <w:vAlign w:val="center"/>
                </w:tcPr>
                <w:p w14:paraId="6B33FAC7">
                  <w:pPr>
                    <w:pStyle w:val="38"/>
                    <w:spacing w:line="240" w:lineRule="auto"/>
                    <w:ind w:firstLine="0"/>
                    <w:jc w:val="center"/>
                    <w:rPr>
                      <w:rFonts w:cs="Times New Roman"/>
                      <w:color w:val="auto"/>
                      <w:sz w:val="21"/>
                      <w:szCs w:val="21"/>
                    </w:rPr>
                  </w:pPr>
                  <w:r>
                    <w:rPr>
                      <w:rFonts w:cs="Times New Roman"/>
                      <w:color w:val="auto"/>
                      <w:sz w:val="21"/>
                      <w:szCs w:val="21"/>
                    </w:rPr>
                    <w:t>1</w:t>
                  </w:r>
                </w:p>
              </w:tc>
              <w:tc>
                <w:tcPr>
                  <w:tcW w:w="3160" w:type="dxa"/>
                  <w:tcBorders>
                    <w:top w:val="single" w:color="auto" w:sz="6" w:space="0"/>
                    <w:left w:val="single" w:color="auto" w:sz="6" w:space="0"/>
                    <w:bottom w:val="single" w:color="auto" w:sz="6" w:space="0"/>
                    <w:right w:val="single" w:color="auto" w:sz="2" w:space="0"/>
                  </w:tcBorders>
                  <w:vAlign w:val="center"/>
                </w:tcPr>
                <w:p w14:paraId="442883AD">
                  <w:pPr>
                    <w:pStyle w:val="38"/>
                    <w:spacing w:line="240" w:lineRule="auto"/>
                    <w:ind w:firstLine="0"/>
                    <w:jc w:val="center"/>
                    <w:rPr>
                      <w:rFonts w:cs="Times New Roman"/>
                      <w:color w:val="auto"/>
                      <w:sz w:val="21"/>
                      <w:szCs w:val="21"/>
                    </w:rPr>
                  </w:pPr>
                  <w:r>
                    <w:rPr>
                      <w:rFonts w:cs="Times New Roman"/>
                      <w:color w:val="auto"/>
                      <w:sz w:val="21"/>
                      <w:szCs w:val="21"/>
                    </w:rPr>
                    <w:t>23</w:t>
                  </w:r>
                </w:p>
              </w:tc>
              <w:tc>
                <w:tcPr>
                  <w:tcW w:w="4918" w:type="dxa"/>
                  <w:tcBorders>
                    <w:top w:val="single" w:color="auto" w:sz="6" w:space="0"/>
                    <w:left w:val="nil"/>
                    <w:bottom w:val="single" w:color="auto" w:sz="6" w:space="0"/>
                    <w:right w:val="single" w:color="auto" w:sz="2" w:space="0"/>
                  </w:tcBorders>
                  <w:vAlign w:val="center"/>
                </w:tcPr>
                <w:p w14:paraId="61506687">
                  <w:pPr>
                    <w:pStyle w:val="38"/>
                    <w:spacing w:line="240" w:lineRule="auto"/>
                    <w:ind w:firstLine="0"/>
                    <w:jc w:val="center"/>
                    <w:rPr>
                      <w:rFonts w:cs="Times New Roman"/>
                      <w:color w:val="auto"/>
                      <w:sz w:val="21"/>
                      <w:szCs w:val="21"/>
                    </w:rPr>
                  </w:pPr>
                  <w:r>
                    <w:rPr>
                      <w:rFonts w:cs="Times New Roman"/>
                      <w:color w:val="auto"/>
                      <w:sz w:val="21"/>
                      <w:szCs w:val="21"/>
                    </w:rPr>
                    <w:t>稍微感觉到臭味（感知阈值）</w:t>
                  </w:r>
                </w:p>
              </w:tc>
            </w:tr>
            <w:tr w14:paraId="3652C7E8">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6" w:space="0"/>
                    <w:right w:val="single" w:color="auto" w:sz="6" w:space="0"/>
                  </w:tcBorders>
                  <w:vAlign w:val="center"/>
                </w:tcPr>
                <w:p w14:paraId="3DDDDB29">
                  <w:pPr>
                    <w:pStyle w:val="38"/>
                    <w:spacing w:line="240" w:lineRule="auto"/>
                    <w:ind w:firstLine="0"/>
                    <w:jc w:val="center"/>
                    <w:rPr>
                      <w:rFonts w:cs="Times New Roman"/>
                      <w:color w:val="auto"/>
                      <w:sz w:val="21"/>
                      <w:szCs w:val="21"/>
                    </w:rPr>
                  </w:pPr>
                  <w:r>
                    <w:rPr>
                      <w:rFonts w:cs="Times New Roman"/>
                      <w:color w:val="auto"/>
                      <w:sz w:val="21"/>
                      <w:szCs w:val="21"/>
                    </w:rPr>
                    <w:t>2</w:t>
                  </w:r>
                </w:p>
              </w:tc>
              <w:tc>
                <w:tcPr>
                  <w:tcW w:w="3160" w:type="dxa"/>
                  <w:tcBorders>
                    <w:top w:val="single" w:color="auto" w:sz="6" w:space="0"/>
                    <w:left w:val="single" w:color="auto" w:sz="6" w:space="0"/>
                    <w:bottom w:val="single" w:color="auto" w:sz="6" w:space="0"/>
                    <w:right w:val="single" w:color="auto" w:sz="2" w:space="0"/>
                  </w:tcBorders>
                  <w:vAlign w:val="center"/>
                </w:tcPr>
                <w:p w14:paraId="032D87F8">
                  <w:pPr>
                    <w:pStyle w:val="38"/>
                    <w:spacing w:line="240" w:lineRule="auto"/>
                    <w:ind w:firstLine="0"/>
                    <w:jc w:val="center"/>
                    <w:rPr>
                      <w:rFonts w:cs="Times New Roman"/>
                      <w:color w:val="auto"/>
                      <w:sz w:val="21"/>
                      <w:szCs w:val="21"/>
                    </w:rPr>
                  </w:pPr>
                  <w:r>
                    <w:rPr>
                      <w:rFonts w:cs="Times New Roman"/>
                      <w:color w:val="auto"/>
                      <w:sz w:val="21"/>
                      <w:szCs w:val="21"/>
                    </w:rPr>
                    <w:t>51</w:t>
                  </w:r>
                </w:p>
              </w:tc>
              <w:tc>
                <w:tcPr>
                  <w:tcW w:w="4918" w:type="dxa"/>
                  <w:tcBorders>
                    <w:top w:val="single" w:color="auto" w:sz="6" w:space="0"/>
                    <w:left w:val="nil"/>
                    <w:bottom w:val="single" w:color="auto" w:sz="6" w:space="0"/>
                    <w:right w:val="single" w:color="auto" w:sz="2" w:space="0"/>
                  </w:tcBorders>
                  <w:vAlign w:val="center"/>
                </w:tcPr>
                <w:p w14:paraId="04C5E0EE">
                  <w:pPr>
                    <w:pStyle w:val="38"/>
                    <w:spacing w:line="240" w:lineRule="auto"/>
                    <w:ind w:firstLine="0"/>
                    <w:jc w:val="center"/>
                    <w:rPr>
                      <w:rFonts w:cs="Times New Roman"/>
                      <w:color w:val="auto"/>
                      <w:sz w:val="21"/>
                      <w:szCs w:val="21"/>
                    </w:rPr>
                  </w:pPr>
                  <w:r>
                    <w:rPr>
                      <w:rFonts w:cs="Times New Roman"/>
                      <w:color w:val="auto"/>
                      <w:sz w:val="21"/>
                      <w:szCs w:val="21"/>
                    </w:rPr>
                    <w:t>能辨认是何种臭味（认知阈值）</w:t>
                  </w:r>
                </w:p>
              </w:tc>
            </w:tr>
            <w:tr w14:paraId="669D103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6" w:space="0"/>
                    <w:right w:val="single" w:color="auto" w:sz="6" w:space="0"/>
                  </w:tcBorders>
                  <w:vAlign w:val="center"/>
                </w:tcPr>
                <w:p w14:paraId="20CBD7A8">
                  <w:pPr>
                    <w:pStyle w:val="38"/>
                    <w:spacing w:line="240" w:lineRule="auto"/>
                    <w:ind w:firstLine="0"/>
                    <w:jc w:val="center"/>
                    <w:rPr>
                      <w:rFonts w:cs="Times New Roman"/>
                      <w:color w:val="auto"/>
                      <w:sz w:val="21"/>
                      <w:szCs w:val="21"/>
                    </w:rPr>
                  </w:pPr>
                  <w:r>
                    <w:rPr>
                      <w:rFonts w:cs="Times New Roman"/>
                      <w:color w:val="auto"/>
                      <w:sz w:val="21"/>
                      <w:szCs w:val="21"/>
                    </w:rPr>
                    <w:t>3</w:t>
                  </w:r>
                </w:p>
              </w:tc>
              <w:tc>
                <w:tcPr>
                  <w:tcW w:w="3160" w:type="dxa"/>
                  <w:tcBorders>
                    <w:top w:val="single" w:color="auto" w:sz="6" w:space="0"/>
                    <w:left w:val="single" w:color="auto" w:sz="6" w:space="0"/>
                    <w:bottom w:val="single" w:color="auto" w:sz="6" w:space="0"/>
                    <w:right w:val="single" w:color="auto" w:sz="2" w:space="0"/>
                  </w:tcBorders>
                  <w:vAlign w:val="center"/>
                </w:tcPr>
                <w:p w14:paraId="471CFE0E">
                  <w:pPr>
                    <w:pStyle w:val="38"/>
                    <w:spacing w:line="240" w:lineRule="auto"/>
                    <w:ind w:firstLine="0"/>
                    <w:jc w:val="center"/>
                    <w:rPr>
                      <w:rFonts w:cs="Times New Roman"/>
                      <w:color w:val="auto"/>
                      <w:sz w:val="21"/>
                      <w:szCs w:val="21"/>
                    </w:rPr>
                  </w:pPr>
                  <w:r>
                    <w:rPr>
                      <w:rFonts w:cs="Times New Roman"/>
                      <w:color w:val="auto"/>
                      <w:sz w:val="21"/>
                      <w:szCs w:val="21"/>
                    </w:rPr>
                    <w:t>117</w:t>
                  </w:r>
                </w:p>
              </w:tc>
              <w:tc>
                <w:tcPr>
                  <w:tcW w:w="4918" w:type="dxa"/>
                  <w:tcBorders>
                    <w:top w:val="single" w:color="auto" w:sz="6" w:space="0"/>
                    <w:left w:val="nil"/>
                    <w:bottom w:val="single" w:color="auto" w:sz="6" w:space="0"/>
                    <w:right w:val="single" w:color="auto" w:sz="2" w:space="0"/>
                  </w:tcBorders>
                  <w:vAlign w:val="center"/>
                </w:tcPr>
                <w:p w14:paraId="3E4B3780">
                  <w:pPr>
                    <w:pStyle w:val="38"/>
                    <w:spacing w:line="240" w:lineRule="auto"/>
                    <w:ind w:firstLine="0"/>
                    <w:jc w:val="center"/>
                    <w:rPr>
                      <w:rFonts w:cs="Times New Roman"/>
                      <w:color w:val="auto"/>
                      <w:sz w:val="21"/>
                      <w:szCs w:val="21"/>
                    </w:rPr>
                  </w:pPr>
                  <w:r>
                    <w:rPr>
                      <w:rFonts w:cs="Times New Roman"/>
                      <w:color w:val="auto"/>
                      <w:sz w:val="21"/>
                      <w:szCs w:val="21"/>
                    </w:rPr>
                    <w:t>感觉到明显臭味</w:t>
                  </w:r>
                </w:p>
              </w:tc>
            </w:tr>
            <w:tr w14:paraId="454CBD31">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6" w:space="0"/>
                    <w:right w:val="single" w:color="auto" w:sz="6" w:space="0"/>
                  </w:tcBorders>
                  <w:vAlign w:val="center"/>
                </w:tcPr>
                <w:p w14:paraId="32845C09">
                  <w:pPr>
                    <w:pStyle w:val="38"/>
                    <w:spacing w:line="240" w:lineRule="auto"/>
                    <w:ind w:firstLine="0"/>
                    <w:jc w:val="center"/>
                    <w:rPr>
                      <w:rFonts w:cs="Times New Roman"/>
                      <w:color w:val="auto"/>
                      <w:sz w:val="21"/>
                      <w:szCs w:val="21"/>
                    </w:rPr>
                  </w:pPr>
                  <w:r>
                    <w:rPr>
                      <w:rFonts w:cs="Times New Roman"/>
                      <w:color w:val="auto"/>
                      <w:sz w:val="21"/>
                      <w:szCs w:val="21"/>
                    </w:rPr>
                    <w:t>4</w:t>
                  </w:r>
                </w:p>
              </w:tc>
              <w:tc>
                <w:tcPr>
                  <w:tcW w:w="3160" w:type="dxa"/>
                  <w:tcBorders>
                    <w:top w:val="single" w:color="auto" w:sz="6" w:space="0"/>
                    <w:left w:val="single" w:color="auto" w:sz="6" w:space="0"/>
                    <w:bottom w:val="single" w:color="auto" w:sz="6" w:space="0"/>
                    <w:right w:val="single" w:color="auto" w:sz="2" w:space="0"/>
                  </w:tcBorders>
                  <w:vAlign w:val="center"/>
                </w:tcPr>
                <w:p w14:paraId="1ACB8C61">
                  <w:pPr>
                    <w:pStyle w:val="38"/>
                    <w:spacing w:line="240" w:lineRule="auto"/>
                    <w:ind w:firstLine="0"/>
                    <w:jc w:val="center"/>
                    <w:rPr>
                      <w:rFonts w:cs="Times New Roman"/>
                      <w:color w:val="auto"/>
                      <w:sz w:val="21"/>
                      <w:szCs w:val="21"/>
                    </w:rPr>
                  </w:pPr>
                  <w:r>
                    <w:rPr>
                      <w:rFonts w:cs="Times New Roman"/>
                      <w:color w:val="auto"/>
                      <w:sz w:val="21"/>
                      <w:szCs w:val="21"/>
                    </w:rPr>
                    <w:t>265</w:t>
                  </w:r>
                </w:p>
              </w:tc>
              <w:tc>
                <w:tcPr>
                  <w:tcW w:w="4918" w:type="dxa"/>
                  <w:tcBorders>
                    <w:top w:val="single" w:color="auto" w:sz="6" w:space="0"/>
                    <w:left w:val="nil"/>
                    <w:bottom w:val="single" w:color="auto" w:sz="6" w:space="0"/>
                    <w:right w:val="single" w:color="auto" w:sz="2" w:space="0"/>
                  </w:tcBorders>
                  <w:vAlign w:val="center"/>
                </w:tcPr>
                <w:p w14:paraId="0DD5272E">
                  <w:pPr>
                    <w:pStyle w:val="38"/>
                    <w:spacing w:line="240" w:lineRule="auto"/>
                    <w:ind w:firstLine="0"/>
                    <w:jc w:val="center"/>
                    <w:rPr>
                      <w:rFonts w:cs="Times New Roman"/>
                      <w:color w:val="auto"/>
                      <w:sz w:val="21"/>
                      <w:szCs w:val="21"/>
                    </w:rPr>
                  </w:pPr>
                  <w:r>
                    <w:rPr>
                      <w:rFonts w:cs="Times New Roman"/>
                      <w:color w:val="auto"/>
                      <w:sz w:val="21"/>
                      <w:szCs w:val="21"/>
                    </w:rPr>
                    <w:t>恶臭</w:t>
                  </w:r>
                </w:p>
              </w:tc>
            </w:tr>
            <w:tr w14:paraId="0244AB5F">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0" w:type="dxa"/>
                  <w:tcBorders>
                    <w:top w:val="single" w:color="auto" w:sz="6" w:space="0"/>
                    <w:left w:val="single" w:color="auto" w:sz="2" w:space="0"/>
                    <w:bottom w:val="single" w:color="auto" w:sz="2" w:space="0"/>
                    <w:right w:val="single" w:color="auto" w:sz="6" w:space="0"/>
                  </w:tcBorders>
                  <w:vAlign w:val="center"/>
                </w:tcPr>
                <w:p w14:paraId="2C02E475">
                  <w:pPr>
                    <w:pStyle w:val="38"/>
                    <w:spacing w:line="240" w:lineRule="auto"/>
                    <w:ind w:firstLine="0"/>
                    <w:jc w:val="center"/>
                    <w:rPr>
                      <w:rFonts w:cs="Times New Roman"/>
                      <w:color w:val="auto"/>
                      <w:sz w:val="21"/>
                      <w:szCs w:val="21"/>
                    </w:rPr>
                  </w:pPr>
                  <w:r>
                    <w:rPr>
                      <w:rFonts w:cs="Times New Roman"/>
                      <w:color w:val="auto"/>
                      <w:sz w:val="21"/>
                      <w:szCs w:val="21"/>
                    </w:rPr>
                    <w:t>5</w:t>
                  </w:r>
                </w:p>
              </w:tc>
              <w:tc>
                <w:tcPr>
                  <w:tcW w:w="3160" w:type="dxa"/>
                  <w:tcBorders>
                    <w:top w:val="single" w:color="auto" w:sz="6" w:space="0"/>
                    <w:left w:val="single" w:color="auto" w:sz="6" w:space="0"/>
                    <w:bottom w:val="single" w:color="auto" w:sz="2" w:space="0"/>
                    <w:right w:val="single" w:color="auto" w:sz="2" w:space="0"/>
                  </w:tcBorders>
                  <w:vAlign w:val="center"/>
                </w:tcPr>
                <w:p w14:paraId="06032650">
                  <w:pPr>
                    <w:pStyle w:val="38"/>
                    <w:spacing w:line="240" w:lineRule="auto"/>
                    <w:ind w:firstLine="0"/>
                    <w:jc w:val="center"/>
                    <w:rPr>
                      <w:rFonts w:cs="Times New Roman"/>
                      <w:color w:val="auto"/>
                      <w:sz w:val="21"/>
                      <w:szCs w:val="21"/>
                    </w:rPr>
                  </w:pPr>
                  <w:r>
                    <w:rPr>
                      <w:rFonts w:cs="Times New Roman"/>
                      <w:color w:val="auto"/>
                      <w:sz w:val="21"/>
                      <w:szCs w:val="21"/>
                    </w:rPr>
                    <w:t>600</w:t>
                  </w:r>
                </w:p>
              </w:tc>
              <w:tc>
                <w:tcPr>
                  <w:tcW w:w="4918" w:type="dxa"/>
                  <w:tcBorders>
                    <w:top w:val="single" w:color="auto" w:sz="6" w:space="0"/>
                    <w:left w:val="nil"/>
                    <w:bottom w:val="single" w:color="auto" w:sz="2" w:space="0"/>
                    <w:right w:val="single" w:color="auto" w:sz="2" w:space="0"/>
                  </w:tcBorders>
                  <w:vAlign w:val="center"/>
                </w:tcPr>
                <w:p w14:paraId="41E17B51">
                  <w:pPr>
                    <w:pStyle w:val="38"/>
                    <w:spacing w:line="240" w:lineRule="auto"/>
                    <w:ind w:firstLine="0"/>
                    <w:jc w:val="center"/>
                    <w:rPr>
                      <w:rFonts w:cs="Times New Roman"/>
                      <w:color w:val="auto"/>
                      <w:sz w:val="21"/>
                      <w:szCs w:val="21"/>
                    </w:rPr>
                  </w:pPr>
                  <w:r>
                    <w:rPr>
                      <w:rFonts w:cs="Times New Roman"/>
                      <w:color w:val="auto"/>
                      <w:sz w:val="21"/>
                      <w:szCs w:val="21"/>
                    </w:rPr>
                    <w:t>强烈的恶臭</w:t>
                  </w:r>
                </w:p>
              </w:tc>
            </w:tr>
          </w:tbl>
          <w:p w14:paraId="1F6EFFEE">
            <w:pPr>
              <w:spacing w:line="360" w:lineRule="auto"/>
              <w:ind w:firstLine="520" w:firstLineChars="200"/>
              <w:rPr>
                <w:color w:val="auto"/>
                <w:spacing w:val="10"/>
                <w:position w:val="1"/>
                <w:sz w:val="24"/>
              </w:rPr>
            </w:pPr>
            <w:r>
              <w:rPr>
                <w:color w:val="auto"/>
                <w:spacing w:val="10"/>
                <w:position w:val="1"/>
                <w:sz w:val="24"/>
              </w:rPr>
              <w:t>本评价采用类比的方法，预测清淤底泥对邻近区域空气环境的影响范围和程度。根据已建类似工程调查结果，作业区和其淤泥堆场均能感觉到恶臭气味存在，恶臭强度约为2~3级，影响范围在10m左右。有风时，下风向影响范围将会增加，具体见下表：</w:t>
            </w:r>
          </w:p>
          <w:p w14:paraId="005D0B95">
            <w:pPr>
              <w:jc w:val="center"/>
              <w:rPr>
                <w:b/>
                <w:bCs/>
                <w:color w:val="auto"/>
                <w:spacing w:val="8"/>
                <w:szCs w:val="21"/>
              </w:rPr>
            </w:pPr>
            <w:r>
              <w:rPr>
                <w:b/>
                <w:bCs/>
                <w:color w:val="auto"/>
                <w:spacing w:val="8"/>
                <w:szCs w:val="21"/>
              </w:rPr>
              <w:t>表4-4  臭气浓度调查表</w:t>
            </w:r>
          </w:p>
          <w:tbl>
            <w:tblPr>
              <w:tblStyle w:val="20"/>
              <w:tblW w:w="5000" w:type="pct"/>
              <w:tblInd w:w="1"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2707"/>
              <w:gridCol w:w="4438"/>
              <w:gridCol w:w="2021"/>
            </w:tblGrid>
            <w:tr w14:paraId="1185D271">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50" w:type="dxa"/>
                  <w:tcBorders>
                    <w:top w:val="single" w:color="auto" w:sz="2" w:space="0"/>
                    <w:left w:val="single" w:color="auto" w:sz="2" w:space="0"/>
                    <w:bottom w:val="single" w:color="auto" w:sz="6" w:space="0"/>
                    <w:right w:val="single" w:color="auto" w:sz="6" w:space="0"/>
                  </w:tcBorders>
                  <w:vAlign w:val="center"/>
                </w:tcPr>
                <w:p w14:paraId="0C920D80">
                  <w:pPr>
                    <w:pStyle w:val="38"/>
                    <w:spacing w:line="240" w:lineRule="auto"/>
                    <w:ind w:firstLine="0"/>
                    <w:jc w:val="center"/>
                    <w:rPr>
                      <w:rFonts w:cs="Times New Roman"/>
                      <w:color w:val="auto"/>
                      <w:sz w:val="21"/>
                      <w:szCs w:val="21"/>
                    </w:rPr>
                  </w:pPr>
                  <w:r>
                    <w:rPr>
                      <w:rFonts w:cs="Times New Roman"/>
                      <w:color w:val="auto"/>
                      <w:sz w:val="21"/>
                      <w:szCs w:val="21"/>
                    </w:rPr>
                    <w:t>距离</w:t>
                  </w:r>
                </w:p>
              </w:tc>
              <w:tc>
                <w:tcPr>
                  <w:tcW w:w="4516" w:type="dxa"/>
                  <w:tcBorders>
                    <w:top w:val="single" w:color="auto" w:sz="2" w:space="0"/>
                    <w:left w:val="single" w:color="auto" w:sz="6" w:space="0"/>
                    <w:bottom w:val="single" w:color="auto" w:sz="6" w:space="0"/>
                    <w:right w:val="single" w:color="auto" w:sz="6" w:space="0"/>
                  </w:tcBorders>
                  <w:vAlign w:val="center"/>
                </w:tcPr>
                <w:p w14:paraId="5A1CAE15">
                  <w:pPr>
                    <w:pStyle w:val="38"/>
                    <w:spacing w:line="240" w:lineRule="auto"/>
                    <w:ind w:firstLine="0"/>
                    <w:jc w:val="center"/>
                    <w:rPr>
                      <w:rFonts w:cs="Times New Roman"/>
                      <w:color w:val="auto"/>
                      <w:sz w:val="21"/>
                      <w:szCs w:val="21"/>
                    </w:rPr>
                  </w:pPr>
                  <w:r>
                    <w:rPr>
                      <w:rFonts w:cs="Times New Roman"/>
                      <w:color w:val="auto"/>
                      <w:sz w:val="21"/>
                      <w:szCs w:val="21"/>
                    </w:rPr>
                    <w:t>臭气感觉强度</w:t>
                  </w:r>
                </w:p>
              </w:tc>
              <w:tc>
                <w:tcPr>
                  <w:tcW w:w="2052" w:type="dxa"/>
                  <w:tcBorders>
                    <w:top w:val="single" w:color="auto" w:sz="2" w:space="0"/>
                    <w:left w:val="single" w:color="auto" w:sz="6" w:space="0"/>
                    <w:bottom w:val="single" w:color="auto" w:sz="6" w:space="0"/>
                    <w:right w:val="single" w:color="auto" w:sz="2" w:space="0"/>
                  </w:tcBorders>
                  <w:vAlign w:val="center"/>
                </w:tcPr>
                <w:p w14:paraId="194F47E5">
                  <w:pPr>
                    <w:pStyle w:val="38"/>
                    <w:spacing w:line="240" w:lineRule="auto"/>
                    <w:ind w:firstLine="0"/>
                    <w:jc w:val="center"/>
                    <w:rPr>
                      <w:rFonts w:cs="Times New Roman"/>
                      <w:color w:val="auto"/>
                      <w:sz w:val="21"/>
                      <w:szCs w:val="21"/>
                    </w:rPr>
                  </w:pPr>
                  <w:r>
                    <w:rPr>
                      <w:rFonts w:cs="Times New Roman"/>
                      <w:color w:val="auto"/>
                      <w:sz w:val="21"/>
                      <w:szCs w:val="21"/>
                    </w:rPr>
                    <w:t>级别</w:t>
                  </w:r>
                </w:p>
              </w:tc>
            </w:tr>
            <w:tr w14:paraId="0D3FC6F6">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50" w:type="dxa"/>
                  <w:tcBorders>
                    <w:top w:val="single" w:color="auto" w:sz="6" w:space="0"/>
                    <w:left w:val="single" w:color="auto" w:sz="2" w:space="0"/>
                    <w:bottom w:val="single" w:color="auto" w:sz="6" w:space="0"/>
                    <w:right w:val="single" w:color="auto" w:sz="6" w:space="0"/>
                  </w:tcBorders>
                  <w:vAlign w:val="center"/>
                </w:tcPr>
                <w:p w14:paraId="55E70002">
                  <w:pPr>
                    <w:pStyle w:val="38"/>
                    <w:spacing w:line="240" w:lineRule="auto"/>
                    <w:ind w:firstLine="0"/>
                    <w:jc w:val="center"/>
                    <w:rPr>
                      <w:rFonts w:cs="Times New Roman"/>
                      <w:color w:val="auto"/>
                      <w:sz w:val="21"/>
                      <w:szCs w:val="21"/>
                    </w:rPr>
                  </w:pPr>
                  <w:r>
                    <w:rPr>
                      <w:rFonts w:cs="Times New Roman"/>
                      <w:color w:val="auto"/>
                      <w:sz w:val="21"/>
                      <w:szCs w:val="21"/>
                    </w:rPr>
                    <w:t>岸边</w:t>
                  </w:r>
                </w:p>
              </w:tc>
              <w:tc>
                <w:tcPr>
                  <w:tcW w:w="4516" w:type="dxa"/>
                  <w:tcBorders>
                    <w:top w:val="single" w:color="auto" w:sz="6" w:space="0"/>
                    <w:left w:val="single" w:color="auto" w:sz="6" w:space="0"/>
                    <w:bottom w:val="single" w:color="auto" w:sz="6" w:space="0"/>
                    <w:right w:val="single" w:color="auto" w:sz="6" w:space="0"/>
                  </w:tcBorders>
                  <w:vAlign w:val="center"/>
                </w:tcPr>
                <w:p w14:paraId="19F82718">
                  <w:pPr>
                    <w:pStyle w:val="38"/>
                    <w:spacing w:line="240" w:lineRule="auto"/>
                    <w:ind w:firstLine="0"/>
                    <w:jc w:val="center"/>
                    <w:rPr>
                      <w:rFonts w:cs="Times New Roman"/>
                      <w:color w:val="auto"/>
                      <w:sz w:val="21"/>
                      <w:szCs w:val="21"/>
                    </w:rPr>
                  </w:pPr>
                  <w:r>
                    <w:rPr>
                      <w:rFonts w:cs="Times New Roman"/>
                      <w:color w:val="auto"/>
                      <w:sz w:val="21"/>
                      <w:szCs w:val="21"/>
                    </w:rPr>
                    <w:t>有臭味</w:t>
                  </w:r>
                </w:p>
              </w:tc>
              <w:tc>
                <w:tcPr>
                  <w:tcW w:w="2052" w:type="dxa"/>
                  <w:tcBorders>
                    <w:top w:val="single" w:color="auto" w:sz="6" w:space="0"/>
                    <w:left w:val="single" w:color="auto" w:sz="6" w:space="0"/>
                    <w:bottom w:val="single" w:color="auto" w:sz="6" w:space="0"/>
                    <w:right w:val="single" w:color="auto" w:sz="2" w:space="0"/>
                  </w:tcBorders>
                  <w:vAlign w:val="center"/>
                </w:tcPr>
                <w:p w14:paraId="60007971">
                  <w:pPr>
                    <w:pStyle w:val="38"/>
                    <w:spacing w:line="240" w:lineRule="auto"/>
                    <w:ind w:firstLine="0"/>
                    <w:jc w:val="center"/>
                    <w:rPr>
                      <w:rFonts w:cs="Times New Roman"/>
                      <w:color w:val="auto"/>
                      <w:sz w:val="21"/>
                      <w:szCs w:val="21"/>
                    </w:rPr>
                  </w:pPr>
                  <w:r>
                    <w:rPr>
                      <w:rFonts w:cs="Times New Roman"/>
                      <w:color w:val="auto"/>
                      <w:sz w:val="21"/>
                      <w:szCs w:val="21"/>
                    </w:rPr>
                    <w:t>3级</w:t>
                  </w:r>
                </w:p>
              </w:tc>
            </w:tr>
            <w:tr w14:paraId="474ADD7D">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50" w:type="dxa"/>
                  <w:tcBorders>
                    <w:top w:val="single" w:color="auto" w:sz="6" w:space="0"/>
                    <w:left w:val="single" w:color="auto" w:sz="2" w:space="0"/>
                    <w:bottom w:val="single" w:color="auto" w:sz="6" w:space="0"/>
                    <w:right w:val="single" w:color="auto" w:sz="6" w:space="0"/>
                  </w:tcBorders>
                  <w:vAlign w:val="center"/>
                </w:tcPr>
                <w:p w14:paraId="62C075DA">
                  <w:pPr>
                    <w:pStyle w:val="38"/>
                    <w:spacing w:line="240" w:lineRule="auto"/>
                    <w:ind w:firstLine="0"/>
                    <w:jc w:val="center"/>
                    <w:rPr>
                      <w:rFonts w:cs="Times New Roman"/>
                      <w:color w:val="auto"/>
                      <w:sz w:val="21"/>
                      <w:szCs w:val="21"/>
                    </w:rPr>
                  </w:pPr>
                  <w:r>
                    <w:rPr>
                      <w:rFonts w:cs="Times New Roman"/>
                      <w:color w:val="auto"/>
                      <w:sz w:val="21"/>
                      <w:szCs w:val="21"/>
                    </w:rPr>
                    <w:t>岸边10米</w:t>
                  </w:r>
                </w:p>
              </w:tc>
              <w:tc>
                <w:tcPr>
                  <w:tcW w:w="4516" w:type="dxa"/>
                  <w:tcBorders>
                    <w:top w:val="single" w:color="auto" w:sz="6" w:space="0"/>
                    <w:left w:val="single" w:color="auto" w:sz="6" w:space="0"/>
                    <w:bottom w:val="single" w:color="auto" w:sz="6" w:space="0"/>
                    <w:right w:val="single" w:color="auto" w:sz="6" w:space="0"/>
                  </w:tcBorders>
                  <w:vAlign w:val="center"/>
                </w:tcPr>
                <w:p w14:paraId="0C7605AA">
                  <w:pPr>
                    <w:pStyle w:val="38"/>
                    <w:spacing w:line="240" w:lineRule="auto"/>
                    <w:ind w:firstLine="0"/>
                    <w:jc w:val="center"/>
                    <w:rPr>
                      <w:rFonts w:cs="Times New Roman"/>
                      <w:color w:val="auto"/>
                      <w:sz w:val="21"/>
                      <w:szCs w:val="21"/>
                    </w:rPr>
                  </w:pPr>
                  <w:r>
                    <w:rPr>
                      <w:rFonts w:cs="Times New Roman"/>
                      <w:color w:val="auto"/>
                      <w:sz w:val="21"/>
                      <w:szCs w:val="21"/>
                    </w:rPr>
                    <w:t>轻微</w:t>
                  </w:r>
                </w:p>
              </w:tc>
              <w:tc>
                <w:tcPr>
                  <w:tcW w:w="2052" w:type="dxa"/>
                  <w:tcBorders>
                    <w:top w:val="single" w:color="auto" w:sz="6" w:space="0"/>
                    <w:left w:val="single" w:color="auto" w:sz="6" w:space="0"/>
                    <w:bottom w:val="single" w:color="auto" w:sz="6" w:space="0"/>
                    <w:right w:val="single" w:color="auto" w:sz="2" w:space="0"/>
                  </w:tcBorders>
                  <w:vAlign w:val="center"/>
                </w:tcPr>
                <w:p w14:paraId="26C3F997">
                  <w:pPr>
                    <w:pStyle w:val="38"/>
                    <w:spacing w:line="240" w:lineRule="auto"/>
                    <w:ind w:firstLine="0"/>
                    <w:jc w:val="center"/>
                    <w:rPr>
                      <w:rFonts w:cs="Times New Roman"/>
                      <w:color w:val="auto"/>
                      <w:sz w:val="21"/>
                      <w:szCs w:val="21"/>
                    </w:rPr>
                  </w:pPr>
                  <w:r>
                    <w:rPr>
                      <w:rFonts w:cs="Times New Roman"/>
                      <w:color w:val="auto"/>
                      <w:sz w:val="21"/>
                      <w:szCs w:val="21"/>
                    </w:rPr>
                    <w:t>2级</w:t>
                  </w:r>
                </w:p>
              </w:tc>
            </w:tr>
            <w:tr w14:paraId="2F862E5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50" w:type="dxa"/>
                  <w:tcBorders>
                    <w:top w:val="single" w:color="auto" w:sz="6" w:space="0"/>
                    <w:left w:val="single" w:color="auto" w:sz="2" w:space="0"/>
                    <w:bottom w:val="single" w:color="auto" w:sz="6" w:space="0"/>
                    <w:right w:val="single" w:color="auto" w:sz="6" w:space="0"/>
                  </w:tcBorders>
                  <w:vAlign w:val="center"/>
                </w:tcPr>
                <w:p w14:paraId="1E1FD0C4">
                  <w:pPr>
                    <w:pStyle w:val="38"/>
                    <w:spacing w:line="240" w:lineRule="auto"/>
                    <w:ind w:firstLine="0"/>
                    <w:jc w:val="center"/>
                    <w:rPr>
                      <w:rFonts w:cs="Times New Roman"/>
                      <w:color w:val="auto"/>
                      <w:sz w:val="21"/>
                      <w:szCs w:val="21"/>
                    </w:rPr>
                  </w:pPr>
                  <w:r>
                    <w:rPr>
                      <w:rFonts w:cs="Times New Roman"/>
                      <w:color w:val="auto"/>
                      <w:sz w:val="21"/>
                      <w:szCs w:val="21"/>
                    </w:rPr>
                    <w:t>岸边50米</w:t>
                  </w:r>
                </w:p>
              </w:tc>
              <w:tc>
                <w:tcPr>
                  <w:tcW w:w="4516" w:type="dxa"/>
                  <w:tcBorders>
                    <w:top w:val="single" w:color="auto" w:sz="6" w:space="0"/>
                    <w:left w:val="single" w:color="auto" w:sz="6" w:space="0"/>
                    <w:bottom w:val="single" w:color="auto" w:sz="6" w:space="0"/>
                    <w:right w:val="single" w:color="auto" w:sz="6" w:space="0"/>
                  </w:tcBorders>
                  <w:vAlign w:val="center"/>
                </w:tcPr>
                <w:p w14:paraId="4598A633">
                  <w:pPr>
                    <w:pStyle w:val="38"/>
                    <w:spacing w:line="240" w:lineRule="auto"/>
                    <w:ind w:firstLine="0"/>
                    <w:jc w:val="center"/>
                    <w:rPr>
                      <w:rFonts w:cs="Times New Roman"/>
                      <w:color w:val="auto"/>
                      <w:sz w:val="21"/>
                      <w:szCs w:val="21"/>
                    </w:rPr>
                  </w:pPr>
                  <w:r>
                    <w:rPr>
                      <w:rFonts w:cs="Times New Roman"/>
                      <w:color w:val="auto"/>
                      <w:sz w:val="21"/>
                      <w:szCs w:val="21"/>
                    </w:rPr>
                    <w:t>极微</w:t>
                  </w:r>
                </w:p>
              </w:tc>
              <w:tc>
                <w:tcPr>
                  <w:tcW w:w="2052" w:type="dxa"/>
                  <w:tcBorders>
                    <w:top w:val="single" w:color="auto" w:sz="6" w:space="0"/>
                    <w:left w:val="single" w:color="auto" w:sz="6" w:space="0"/>
                    <w:bottom w:val="single" w:color="auto" w:sz="6" w:space="0"/>
                    <w:right w:val="single" w:color="auto" w:sz="2" w:space="0"/>
                  </w:tcBorders>
                  <w:vAlign w:val="center"/>
                </w:tcPr>
                <w:p w14:paraId="0C2CD8CF">
                  <w:pPr>
                    <w:pStyle w:val="38"/>
                    <w:spacing w:line="240" w:lineRule="auto"/>
                    <w:ind w:firstLine="0"/>
                    <w:jc w:val="center"/>
                    <w:rPr>
                      <w:rFonts w:cs="Times New Roman"/>
                      <w:color w:val="auto"/>
                      <w:sz w:val="21"/>
                      <w:szCs w:val="21"/>
                    </w:rPr>
                  </w:pPr>
                  <w:r>
                    <w:rPr>
                      <w:rFonts w:cs="Times New Roman"/>
                      <w:color w:val="auto"/>
                      <w:sz w:val="21"/>
                      <w:szCs w:val="21"/>
                    </w:rPr>
                    <w:t>1级</w:t>
                  </w:r>
                </w:p>
              </w:tc>
            </w:tr>
            <w:tr w14:paraId="411D927F">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50" w:type="dxa"/>
                  <w:tcBorders>
                    <w:top w:val="single" w:color="auto" w:sz="6" w:space="0"/>
                    <w:left w:val="single" w:color="auto" w:sz="2" w:space="0"/>
                    <w:bottom w:val="single" w:color="auto" w:sz="2" w:space="0"/>
                    <w:right w:val="single" w:color="auto" w:sz="6" w:space="0"/>
                  </w:tcBorders>
                  <w:vAlign w:val="center"/>
                </w:tcPr>
                <w:p w14:paraId="49AD1287">
                  <w:pPr>
                    <w:pStyle w:val="38"/>
                    <w:spacing w:line="240" w:lineRule="auto"/>
                    <w:ind w:firstLine="0"/>
                    <w:jc w:val="center"/>
                    <w:rPr>
                      <w:rFonts w:cs="Times New Roman"/>
                      <w:color w:val="auto"/>
                      <w:sz w:val="21"/>
                      <w:szCs w:val="21"/>
                    </w:rPr>
                  </w:pPr>
                  <w:r>
                    <w:rPr>
                      <w:rFonts w:cs="Times New Roman"/>
                      <w:color w:val="auto"/>
                      <w:sz w:val="21"/>
                      <w:szCs w:val="21"/>
                    </w:rPr>
                    <w:t>100米外</w:t>
                  </w:r>
                </w:p>
              </w:tc>
              <w:tc>
                <w:tcPr>
                  <w:tcW w:w="4516" w:type="dxa"/>
                  <w:tcBorders>
                    <w:top w:val="single" w:color="auto" w:sz="6" w:space="0"/>
                    <w:left w:val="single" w:color="auto" w:sz="6" w:space="0"/>
                    <w:bottom w:val="single" w:color="auto" w:sz="2" w:space="0"/>
                    <w:right w:val="single" w:color="auto" w:sz="6" w:space="0"/>
                  </w:tcBorders>
                  <w:vAlign w:val="center"/>
                </w:tcPr>
                <w:p w14:paraId="0FACAB19">
                  <w:pPr>
                    <w:pStyle w:val="38"/>
                    <w:spacing w:line="240" w:lineRule="auto"/>
                    <w:ind w:firstLine="0"/>
                    <w:jc w:val="center"/>
                    <w:rPr>
                      <w:rFonts w:cs="Times New Roman"/>
                      <w:color w:val="auto"/>
                      <w:sz w:val="21"/>
                      <w:szCs w:val="21"/>
                    </w:rPr>
                  </w:pPr>
                  <w:r>
                    <w:rPr>
                      <w:rFonts w:cs="Times New Roman"/>
                      <w:color w:val="auto"/>
                      <w:sz w:val="21"/>
                      <w:szCs w:val="21"/>
                    </w:rPr>
                    <w:t>无</w:t>
                  </w:r>
                </w:p>
              </w:tc>
              <w:tc>
                <w:tcPr>
                  <w:tcW w:w="2052" w:type="dxa"/>
                  <w:tcBorders>
                    <w:top w:val="single" w:color="auto" w:sz="6" w:space="0"/>
                    <w:left w:val="single" w:color="auto" w:sz="6" w:space="0"/>
                    <w:bottom w:val="single" w:color="auto" w:sz="2" w:space="0"/>
                    <w:right w:val="single" w:color="auto" w:sz="2" w:space="0"/>
                  </w:tcBorders>
                  <w:vAlign w:val="center"/>
                </w:tcPr>
                <w:p w14:paraId="6E2CA0B1">
                  <w:pPr>
                    <w:pStyle w:val="38"/>
                    <w:spacing w:line="240" w:lineRule="auto"/>
                    <w:ind w:firstLine="0"/>
                    <w:jc w:val="center"/>
                    <w:rPr>
                      <w:rFonts w:cs="Times New Roman"/>
                      <w:color w:val="auto"/>
                      <w:sz w:val="21"/>
                      <w:szCs w:val="21"/>
                    </w:rPr>
                  </w:pPr>
                  <w:r>
                    <w:rPr>
                      <w:rFonts w:cs="Times New Roman"/>
                      <w:color w:val="auto"/>
                      <w:sz w:val="21"/>
                      <w:szCs w:val="21"/>
                    </w:rPr>
                    <w:t>0级</w:t>
                  </w:r>
                </w:p>
              </w:tc>
            </w:tr>
          </w:tbl>
          <w:p w14:paraId="2689F711">
            <w:pPr>
              <w:spacing w:line="360" w:lineRule="auto"/>
              <w:ind w:firstLine="520" w:firstLineChars="200"/>
              <w:rPr>
                <w:color w:val="auto"/>
                <w:spacing w:val="10"/>
                <w:position w:val="1"/>
                <w:sz w:val="24"/>
              </w:rPr>
            </w:pPr>
            <w:r>
              <w:rPr>
                <w:color w:val="auto"/>
                <w:spacing w:val="10"/>
                <w:position w:val="1"/>
                <w:sz w:val="24"/>
              </w:rPr>
              <w:t>根据《恶臭污染物排放标准》（GB14554-93）对臭气浓度的定义，臭气浓度指“恶臭气体（包括异味）用无臭空气进行稀释，稀释到刚好无臭时，所需的稀释倍数”。据此分析，本报告认为本项目淤泥恶臭对环境的影响范围为10m。</w:t>
            </w:r>
          </w:p>
          <w:p w14:paraId="15D8145B">
            <w:pPr>
              <w:widowControl/>
              <w:spacing w:line="360" w:lineRule="auto"/>
              <w:ind w:left="105" w:leftChars="50" w:right="105" w:rightChars="50" w:firstLine="482" w:firstLineChars="200"/>
              <w:rPr>
                <w:b/>
                <w:bCs/>
                <w:color w:val="auto"/>
                <w:sz w:val="24"/>
              </w:rPr>
            </w:pPr>
            <w:r>
              <w:rPr>
                <w:b/>
                <w:bCs/>
                <w:color w:val="auto"/>
                <w:sz w:val="24"/>
              </w:rPr>
              <w:t>（三）声环境影响分析</w:t>
            </w:r>
          </w:p>
          <w:p w14:paraId="1D919DFC">
            <w:pPr>
              <w:spacing w:line="360" w:lineRule="auto"/>
              <w:ind w:firstLine="482" w:firstLineChars="200"/>
              <w:rPr>
                <w:b/>
                <w:color w:val="auto"/>
                <w:sz w:val="24"/>
              </w:rPr>
            </w:pPr>
            <w:r>
              <w:rPr>
                <w:b/>
                <w:color w:val="auto"/>
                <w:sz w:val="24"/>
              </w:rPr>
              <w:t>1、噪声源源强分析</w:t>
            </w:r>
          </w:p>
          <w:p w14:paraId="7666857D">
            <w:pPr>
              <w:spacing w:line="360" w:lineRule="auto"/>
              <w:ind w:firstLine="480" w:firstLineChars="200"/>
              <w:rPr>
                <w:bCs/>
                <w:color w:val="auto"/>
                <w:sz w:val="24"/>
              </w:rPr>
            </w:pPr>
            <w:r>
              <w:rPr>
                <w:bCs/>
                <w:color w:val="auto"/>
                <w:sz w:val="24"/>
              </w:rPr>
              <w:t>在河道清淤阶段及岸线整治的噪声源主要来自河道淤泥清理、土方开挖、砼工程及运输过程中各类施工设备及运输车辆。主要有挖掘机、推土机、装载机、起重机、运输车辆等，各种施工机械设备产生噪声情况见下表。</w:t>
            </w:r>
          </w:p>
          <w:p w14:paraId="561C0E69">
            <w:pPr>
              <w:jc w:val="center"/>
              <w:rPr>
                <w:b/>
                <w:color w:val="auto"/>
                <w:szCs w:val="21"/>
              </w:rPr>
            </w:pPr>
            <w:r>
              <w:rPr>
                <w:b/>
                <w:bCs/>
                <w:color w:val="auto"/>
                <w:spacing w:val="8"/>
                <w:szCs w:val="21"/>
              </w:rPr>
              <w:t>表4-5  施工机械设备产生噪声声源情况</w:t>
            </w:r>
          </w:p>
          <w:tbl>
            <w:tblPr>
              <w:tblStyle w:val="20"/>
              <w:tblW w:w="493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44"/>
              <w:gridCol w:w="2555"/>
              <w:gridCol w:w="1942"/>
              <w:gridCol w:w="2792"/>
            </w:tblGrid>
            <w:tr w14:paraId="6E86EB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756" w:type="dxa"/>
                  <w:tcBorders>
                    <w:tl2br w:val="nil"/>
                    <w:tr2bl w:val="nil"/>
                  </w:tcBorders>
                  <w:vAlign w:val="center"/>
                </w:tcPr>
                <w:p w14:paraId="0D61B1AE">
                  <w:pPr>
                    <w:snapToGrid w:val="0"/>
                    <w:jc w:val="center"/>
                    <w:rPr>
                      <w:b/>
                      <w:color w:val="auto"/>
                      <w:kern w:val="0"/>
                      <w:szCs w:val="21"/>
                    </w:rPr>
                  </w:pPr>
                  <w:r>
                    <w:rPr>
                      <w:b/>
                      <w:color w:val="auto"/>
                      <w:kern w:val="0"/>
                      <w:szCs w:val="21"/>
                    </w:rPr>
                    <w:t>序号</w:t>
                  </w:r>
                </w:p>
              </w:tc>
              <w:tc>
                <w:tcPr>
                  <w:tcW w:w="2573" w:type="dxa"/>
                  <w:tcBorders>
                    <w:tl2br w:val="nil"/>
                    <w:tr2bl w:val="nil"/>
                  </w:tcBorders>
                  <w:vAlign w:val="center"/>
                </w:tcPr>
                <w:p w14:paraId="77EA2A63">
                  <w:pPr>
                    <w:snapToGrid w:val="0"/>
                    <w:jc w:val="center"/>
                    <w:rPr>
                      <w:b/>
                      <w:color w:val="auto"/>
                      <w:kern w:val="0"/>
                      <w:szCs w:val="21"/>
                    </w:rPr>
                  </w:pPr>
                  <w:r>
                    <w:rPr>
                      <w:b/>
                      <w:color w:val="auto"/>
                      <w:kern w:val="0"/>
                      <w:szCs w:val="21"/>
                    </w:rPr>
                    <w:t>设备名称</w:t>
                  </w:r>
                </w:p>
              </w:tc>
              <w:tc>
                <w:tcPr>
                  <w:tcW w:w="1955" w:type="dxa"/>
                  <w:tcBorders>
                    <w:tl2br w:val="nil"/>
                    <w:tr2bl w:val="nil"/>
                  </w:tcBorders>
                  <w:vAlign w:val="center"/>
                </w:tcPr>
                <w:p w14:paraId="6D69116C">
                  <w:pPr>
                    <w:snapToGrid w:val="0"/>
                    <w:jc w:val="center"/>
                    <w:rPr>
                      <w:b/>
                      <w:color w:val="auto"/>
                      <w:kern w:val="0"/>
                      <w:szCs w:val="21"/>
                    </w:rPr>
                  </w:pPr>
                  <w:r>
                    <w:rPr>
                      <w:b/>
                      <w:color w:val="auto"/>
                      <w:kern w:val="0"/>
                      <w:szCs w:val="21"/>
                    </w:rPr>
                    <w:t>数量</w:t>
                  </w:r>
                </w:p>
              </w:tc>
              <w:tc>
                <w:tcPr>
                  <w:tcW w:w="2809" w:type="dxa"/>
                  <w:tcBorders>
                    <w:tl2br w:val="nil"/>
                    <w:tr2bl w:val="nil"/>
                  </w:tcBorders>
                  <w:vAlign w:val="center"/>
                </w:tcPr>
                <w:p w14:paraId="72CE4701">
                  <w:pPr>
                    <w:snapToGrid w:val="0"/>
                    <w:jc w:val="center"/>
                    <w:rPr>
                      <w:b/>
                      <w:color w:val="auto"/>
                      <w:kern w:val="0"/>
                      <w:szCs w:val="21"/>
                    </w:rPr>
                  </w:pPr>
                  <w:r>
                    <w:rPr>
                      <w:b/>
                      <w:color w:val="auto"/>
                      <w:kern w:val="0"/>
                      <w:szCs w:val="21"/>
                    </w:rPr>
                    <w:t>噪声级dB(A)</w:t>
                  </w:r>
                </w:p>
              </w:tc>
            </w:tr>
            <w:tr w14:paraId="2469CD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49026407">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1</w:t>
                  </w:r>
                </w:p>
              </w:tc>
              <w:tc>
                <w:tcPr>
                  <w:tcW w:w="2573" w:type="dxa"/>
                  <w:tcBorders>
                    <w:tl2br w:val="nil"/>
                    <w:tr2bl w:val="nil"/>
                  </w:tcBorders>
                  <w:shd w:val="clear" w:color="auto" w:fill="auto"/>
                  <w:vAlign w:val="center"/>
                </w:tcPr>
                <w:p w14:paraId="7BC439A1">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szCs w:val="21"/>
                    </w:rPr>
                    <w:t>挖掘机</w:t>
                  </w:r>
                </w:p>
              </w:tc>
              <w:tc>
                <w:tcPr>
                  <w:tcW w:w="1955" w:type="dxa"/>
                  <w:tcBorders>
                    <w:tl2br w:val="nil"/>
                    <w:tr2bl w:val="nil"/>
                  </w:tcBorders>
                  <w:shd w:val="clear" w:color="auto" w:fill="auto"/>
                  <w:vAlign w:val="center"/>
                </w:tcPr>
                <w:p w14:paraId="31E3D491">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15</w:t>
                  </w:r>
                </w:p>
              </w:tc>
              <w:tc>
                <w:tcPr>
                  <w:tcW w:w="2809" w:type="dxa"/>
                  <w:tcBorders>
                    <w:tl2br w:val="nil"/>
                    <w:tr2bl w:val="nil"/>
                  </w:tcBorders>
                  <w:vAlign w:val="center"/>
                </w:tcPr>
                <w:p w14:paraId="0C5E9AEA">
                  <w:pPr>
                    <w:snapToGrid w:val="0"/>
                    <w:jc w:val="center"/>
                    <w:rPr>
                      <w:color w:val="auto"/>
                      <w:szCs w:val="21"/>
                    </w:rPr>
                  </w:pPr>
                  <w:r>
                    <w:rPr>
                      <w:color w:val="auto"/>
                      <w:szCs w:val="21"/>
                    </w:rPr>
                    <w:t>85</w:t>
                  </w:r>
                </w:p>
              </w:tc>
            </w:tr>
            <w:tr w14:paraId="0C2732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09FCFD05">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2</w:t>
                  </w:r>
                </w:p>
              </w:tc>
              <w:tc>
                <w:tcPr>
                  <w:tcW w:w="2573" w:type="dxa"/>
                  <w:tcBorders>
                    <w:tl2br w:val="nil"/>
                    <w:tr2bl w:val="nil"/>
                  </w:tcBorders>
                  <w:shd w:val="clear" w:color="auto" w:fill="auto"/>
                  <w:vAlign w:val="center"/>
                </w:tcPr>
                <w:p w14:paraId="49835CAB">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挖掘机</w:t>
                  </w:r>
                </w:p>
              </w:tc>
              <w:tc>
                <w:tcPr>
                  <w:tcW w:w="1955" w:type="dxa"/>
                  <w:tcBorders>
                    <w:tl2br w:val="nil"/>
                    <w:tr2bl w:val="nil"/>
                  </w:tcBorders>
                  <w:shd w:val="clear" w:color="auto" w:fill="auto"/>
                  <w:vAlign w:val="center"/>
                </w:tcPr>
                <w:p w14:paraId="4F86DA45">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pacing w:val="-1"/>
                      <w:sz w:val="21"/>
                      <w:szCs w:val="21"/>
                    </w:rPr>
                    <w:t>15</w:t>
                  </w:r>
                </w:p>
              </w:tc>
              <w:tc>
                <w:tcPr>
                  <w:tcW w:w="2809" w:type="dxa"/>
                  <w:tcBorders>
                    <w:tl2br w:val="nil"/>
                    <w:tr2bl w:val="nil"/>
                  </w:tcBorders>
                  <w:vAlign w:val="center"/>
                </w:tcPr>
                <w:p w14:paraId="03707438">
                  <w:pPr>
                    <w:snapToGrid w:val="0"/>
                    <w:jc w:val="center"/>
                    <w:rPr>
                      <w:color w:val="auto"/>
                      <w:szCs w:val="21"/>
                    </w:rPr>
                  </w:pPr>
                  <w:r>
                    <w:rPr>
                      <w:color w:val="auto"/>
                      <w:szCs w:val="21"/>
                    </w:rPr>
                    <w:t>95</w:t>
                  </w:r>
                </w:p>
              </w:tc>
            </w:tr>
            <w:tr w14:paraId="246A94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56B909C6">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3</w:t>
                  </w:r>
                </w:p>
              </w:tc>
              <w:tc>
                <w:tcPr>
                  <w:tcW w:w="2573" w:type="dxa"/>
                  <w:tcBorders>
                    <w:tl2br w:val="nil"/>
                    <w:tr2bl w:val="nil"/>
                  </w:tcBorders>
                  <w:shd w:val="clear" w:color="auto" w:fill="auto"/>
                  <w:vAlign w:val="center"/>
                </w:tcPr>
                <w:p w14:paraId="13B8C8F9">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自卸汽车</w:t>
                  </w:r>
                </w:p>
              </w:tc>
              <w:tc>
                <w:tcPr>
                  <w:tcW w:w="1955" w:type="dxa"/>
                  <w:tcBorders>
                    <w:tl2br w:val="nil"/>
                    <w:tr2bl w:val="nil"/>
                  </w:tcBorders>
                  <w:shd w:val="clear" w:color="auto" w:fill="auto"/>
                  <w:vAlign w:val="center"/>
                </w:tcPr>
                <w:p w14:paraId="3302BC58">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30</w:t>
                  </w:r>
                </w:p>
              </w:tc>
              <w:tc>
                <w:tcPr>
                  <w:tcW w:w="2809" w:type="dxa"/>
                  <w:tcBorders>
                    <w:tl2br w:val="nil"/>
                    <w:tr2bl w:val="nil"/>
                  </w:tcBorders>
                  <w:vAlign w:val="center"/>
                </w:tcPr>
                <w:p w14:paraId="0B00452D">
                  <w:pPr>
                    <w:snapToGrid w:val="0"/>
                    <w:jc w:val="center"/>
                    <w:rPr>
                      <w:color w:val="auto"/>
                      <w:szCs w:val="21"/>
                    </w:rPr>
                  </w:pPr>
                  <w:r>
                    <w:rPr>
                      <w:color w:val="auto"/>
                      <w:szCs w:val="21"/>
                    </w:rPr>
                    <w:t>80</w:t>
                  </w:r>
                </w:p>
              </w:tc>
            </w:tr>
            <w:tr w14:paraId="511FF7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27D2EBAD">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4</w:t>
                  </w:r>
                </w:p>
              </w:tc>
              <w:tc>
                <w:tcPr>
                  <w:tcW w:w="2573" w:type="dxa"/>
                  <w:tcBorders>
                    <w:tl2br w:val="nil"/>
                    <w:tr2bl w:val="nil"/>
                  </w:tcBorders>
                  <w:shd w:val="clear" w:color="auto" w:fill="auto"/>
                  <w:vAlign w:val="center"/>
                </w:tcPr>
                <w:p w14:paraId="61A813A1">
                  <w:pPr>
                    <w:widowControl/>
                    <w:jc w:val="center"/>
                    <w:textAlignment w:val="center"/>
                    <w:rPr>
                      <w:rFonts w:ascii="Times New Roman" w:hAnsi="Times New Roman" w:eastAsia="宋体" w:cs="Times New Roman"/>
                      <w:color w:val="auto"/>
                      <w:kern w:val="2"/>
                      <w:sz w:val="21"/>
                      <w:szCs w:val="21"/>
                      <w:lang w:val="en-US" w:eastAsia="zh-CN" w:bidi="ar-SA"/>
                    </w:rPr>
                  </w:pPr>
                  <w:r>
                    <w:rPr>
                      <w:color w:val="auto"/>
                      <w:kern w:val="0"/>
                      <w:szCs w:val="21"/>
                      <w:lang w:bidi="ar"/>
                    </w:rPr>
                    <w:t>推土机</w:t>
                  </w:r>
                </w:p>
              </w:tc>
              <w:tc>
                <w:tcPr>
                  <w:tcW w:w="1955" w:type="dxa"/>
                  <w:tcBorders>
                    <w:tl2br w:val="nil"/>
                    <w:tr2bl w:val="nil"/>
                  </w:tcBorders>
                  <w:shd w:val="clear" w:color="auto" w:fill="auto"/>
                  <w:vAlign w:val="center"/>
                </w:tcPr>
                <w:p w14:paraId="0805E1C8">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20</w:t>
                  </w:r>
                </w:p>
              </w:tc>
              <w:tc>
                <w:tcPr>
                  <w:tcW w:w="2809" w:type="dxa"/>
                  <w:tcBorders>
                    <w:tl2br w:val="nil"/>
                    <w:tr2bl w:val="nil"/>
                  </w:tcBorders>
                  <w:vAlign w:val="center"/>
                </w:tcPr>
                <w:p w14:paraId="64B36469">
                  <w:pPr>
                    <w:snapToGrid w:val="0"/>
                    <w:jc w:val="center"/>
                    <w:rPr>
                      <w:color w:val="auto"/>
                      <w:szCs w:val="21"/>
                    </w:rPr>
                  </w:pPr>
                  <w:r>
                    <w:rPr>
                      <w:color w:val="auto"/>
                      <w:szCs w:val="21"/>
                    </w:rPr>
                    <w:t>90</w:t>
                  </w:r>
                </w:p>
              </w:tc>
            </w:tr>
            <w:tr w14:paraId="3352A2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525A2375">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5</w:t>
                  </w:r>
                </w:p>
              </w:tc>
              <w:tc>
                <w:tcPr>
                  <w:tcW w:w="2573" w:type="dxa"/>
                  <w:tcBorders>
                    <w:tl2br w:val="nil"/>
                    <w:tr2bl w:val="nil"/>
                  </w:tcBorders>
                  <w:shd w:val="clear" w:color="auto" w:fill="auto"/>
                  <w:vAlign w:val="center"/>
                </w:tcPr>
                <w:p w14:paraId="670F1C7D">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蛙式打夯机</w:t>
                  </w:r>
                </w:p>
              </w:tc>
              <w:tc>
                <w:tcPr>
                  <w:tcW w:w="1955" w:type="dxa"/>
                  <w:tcBorders>
                    <w:tl2br w:val="nil"/>
                    <w:tr2bl w:val="nil"/>
                  </w:tcBorders>
                  <w:shd w:val="clear" w:color="auto" w:fill="auto"/>
                  <w:vAlign w:val="center"/>
                </w:tcPr>
                <w:p w14:paraId="49C4D135">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15</w:t>
                  </w:r>
                </w:p>
              </w:tc>
              <w:tc>
                <w:tcPr>
                  <w:tcW w:w="2809" w:type="dxa"/>
                  <w:tcBorders>
                    <w:tl2br w:val="nil"/>
                    <w:tr2bl w:val="nil"/>
                  </w:tcBorders>
                  <w:vAlign w:val="center"/>
                </w:tcPr>
                <w:p w14:paraId="1E9ACA61">
                  <w:pPr>
                    <w:snapToGrid w:val="0"/>
                    <w:jc w:val="center"/>
                    <w:rPr>
                      <w:color w:val="auto"/>
                      <w:szCs w:val="21"/>
                    </w:rPr>
                  </w:pPr>
                  <w:r>
                    <w:rPr>
                      <w:color w:val="auto"/>
                      <w:szCs w:val="21"/>
                    </w:rPr>
                    <w:t>90</w:t>
                  </w:r>
                </w:p>
              </w:tc>
            </w:tr>
            <w:tr w14:paraId="72C1A8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043DBD0B">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6</w:t>
                  </w:r>
                </w:p>
              </w:tc>
              <w:tc>
                <w:tcPr>
                  <w:tcW w:w="2573" w:type="dxa"/>
                  <w:tcBorders>
                    <w:tl2br w:val="nil"/>
                    <w:tr2bl w:val="nil"/>
                  </w:tcBorders>
                  <w:shd w:val="clear" w:color="auto" w:fill="auto"/>
                  <w:vAlign w:val="center"/>
                </w:tcPr>
                <w:p w14:paraId="4F8A058B">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装载机</w:t>
                  </w:r>
                </w:p>
              </w:tc>
              <w:tc>
                <w:tcPr>
                  <w:tcW w:w="1955" w:type="dxa"/>
                  <w:tcBorders>
                    <w:tl2br w:val="nil"/>
                    <w:tr2bl w:val="nil"/>
                  </w:tcBorders>
                  <w:shd w:val="clear" w:color="auto" w:fill="auto"/>
                  <w:vAlign w:val="center"/>
                </w:tcPr>
                <w:p w14:paraId="7D038853">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pacing w:val="-6"/>
                      <w:sz w:val="21"/>
                      <w:szCs w:val="21"/>
                    </w:rPr>
                    <w:t>12</w:t>
                  </w:r>
                </w:p>
              </w:tc>
              <w:tc>
                <w:tcPr>
                  <w:tcW w:w="2809" w:type="dxa"/>
                  <w:tcBorders>
                    <w:tl2br w:val="nil"/>
                    <w:tr2bl w:val="nil"/>
                  </w:tcBorders>
                  <w:vAlign w:val="center"/>
                </w:tcPr>
                <w:p w14:paraId="0B91C866">
                  <w:pPr>
                    <w:snapToGrid w:val="0"/>
                    <w:jc w:val="center"/>
                    <w:rPr>
                      <w:color w:val="auto"/>
                      <w:szCs w:val="21"/>
                    </w:rPr>
                  </w:pPr>
                  <w:r>
                    <w:rPr>
                      <w:color w:val="auto"/>
                      <w:szCs w:val="21"/>
                    </w:rPr>
                    <w:t>90</w:t>
                  </w:r>
                </w:p>
              </w:tc>
            </w:tr>
            <w:tr w14:paraId="67435E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0A67405B">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7</w:t>
                  </w:r>
                </w:p>
              </w:tc>
              <w:tc>
                <w:tcPr>
                  <w:tcW w:w="2573" w:type="dxa"/>
                  <w:tcBorders>
                    <w:tl2br w:val="nil"/>
                    <w:tr2bl w:val="nil"/>
                  </w:tcBorders>
                  <w:shd w:val="clear" w:color="auto" w:fill="auto"/>
                  <w:vAlign w:val="center"/>
                </w:tcPr>
                <w:p w14:paraId="361CA61F">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移动式空压机</w:t>
                  </w:r>
                </w:p>
              </w:tc>
              <w:tc>
                <w:tcPr>
                  <w:tcW w:w="1955" w:type="dxa"/>
                  <w:tcBorders>
                    <w:tl2br w:val="nil"/>
                    <w:tr2bl w:val="nil"/>
                  </w:tcBorders>
                  <w:shd w:val="clear" w:color="auto" w:fill="auto"/>
                  <w:vAlign w:val="center"/>
                </w:tcPr>
                <w:p w14:paraId="041DBC8C">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pacing w:val="-1"/>
                      <w:sz w:val="21"/>
                      <w:szCs w:val="21"/>
                    </w:rPr>
                    <w:t>8</w:t>
                  </w:r>
                </w:p>
              </w:tc>
              <w:tc>
                <w:tcPr>
                  <w:tcW w:w="2809" w:type="dxa"/>
                  <w:tcBorders>
                    <w:tl2br w:val="nil"/>
                    <w:tr2bl w:val="nil"/>
                  </w:tcBorders>
                  <w:vAlign w:val="center"/>
                </w:tcPr>
                <w:p w14:paraId="03D6ECB4">
                  <w:pPr>
                    <w:snapToGrid w:val="0"/>
                    <w:jc w:val="center"/>
                    <w:rPr>
                      <w:color w:val="auto"/>
                      <w:szCs w:val="21"/>
                    </w:rPr>
                  </w:pPr>
                  <w:r>
                    <w:rPr>
                      <w:color w:val="auto"/>
                      <w:szCs w:val="21"/>
                    </w:rPr>
                    <w:t>90</w:t>
                  </w:r>
                </w:p>
              </w:tc>
            </w:tr>
            <w:tr w14:paraId="4D24BE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1E8B504D">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8</w:t>
                  </w:r>
                </w:p>
              </w:tc>
              <w:tc>
                <w:tcPr>
                  <w:tcW w:w="2573" w:type="dxa"/>
                  <w:tcBorders>
                    <w:tl2br w:val="nil"/>
                    <w:tr2bl w:val="nil"/>
                  </w:tcBorders>
                  <w:shd w:val="clear" w:color="auto" w:fill="auto"/>
                  <w:vAlign w:val="center"/>
                </w:tcPr>
                <w:p w14:paraId="61944A60">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插入式振捣器</w:t>
                  </w:r>
                </w:p>
              </w:tc>
              <w:tc>
                <w:tcPr>
                  <w:tcW w:w="1955" w:type="dxa"/>
                  <w:tcBorders>
                    <w:tl2br w:val="nil"/>
                    <w:tr2bl w:val="nil"/>
                  </w:tcBorders>
                  <w:shd w:val="clear" w:color="auto" w:fill="auto"/>
                  <w:vAlign w:val="center"/>
                </w:tcPr>
                <w:p w14:paraId="10F62BC1">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pacing w:val="-1"/>
                      <w:sz w:val="21"/>
                      <w:szCs w:val="21"/>
                    </w:rPr>
                    <w:t>80</w:t>
                  </w:r>
                </w:p>
              </w:tc>
              <w:tc>
                <w:tcPr>
                  <w:tcW w:w="2809" w:type="dxa"/>
                  <w:tcBorders>
                    <w:tl2br w:val="nil"/>
                    <w:tr2bl w:val="nil"/>
                  </w:tcBorders>
                  <w:vAlign w:val="center"/>
                </w:tcPr>
                <w:p w14:paraId="4EF94DA6">
                  <w:pPr>
                    <w:snapToGrid w:val="0"/>
                    <w:jc w:val="center"/>
                    <w:rPr>
                      <w:color w:val="auto"/>
                      <w:szCs w:val="21"/>
                    </w:rPr>
                  </w:pPr>
                  <w:r>
                    <w:rPr>
                      <w:color w:val="auto"/>
                      <w:szCs w:val="21"/>
                    </w:rPr>
                    <w:t>95</w:t>
                  </w:r>
                </w:p>
              </w:tc>
            </w:tr>
            <w:tr w14:paraId="60C2B4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756" w:type="dxa"/>
                  <w:tcBorders>
                    <w:tl2br w:val="nil"/>
                    <w:tr2bl w:val="nil"/>
                  </w:tcBorders>
                  <w:shd w:val="clear" w:color="auto" w:fill="auto"/>
                  <w:vAlign w:val="center"/>
                </w:tcPr>
                <w:p w14:paraId="15AE5075">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9</w:t>
                  </w:r>
                </w:p>
              </w:tc>
              <w:tc>
                <w:tcPr>
                  <w:tcW w:w="2573" w:type="dxa"/>
                  <w:tcBorders>
                    <w:tl2br w:val="nil"/>
                    <w:tr2bl w:val="nil"/>
                  </w:tcBorders>
                  <w:shd w:val="clear" w:color="auto" w:fill="auto"/>
                  <w:vAlign w:val="center"/>
                </w:tcPr>
                <w:p w14:paraId="5B51654E">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混凝土搅拌车</w:t>
                  </w:r>
                </w:p>
              </w:tc>
              <w:tc>
                <w:tcPr>
                  <w:tcW w:w="1955" w:type="dxa"/>
                  <w:tcBorders>
                    <w:tl2br w:val="nil"/>
                    <w:tr2bl w:val="nil"/>
                  </w:tcBorders>
                  <w:shd w:val="clear" w:color="auto" w:fill="auto"/>
                  <w:vAlign w:val="center"/>
                </w:tcPr>
                <w:p w14:paraId="5CA84224">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pacing w:val="-7"/>
                      <w:sz w:val="21"/>
                      <w:szCs w:val="21"/>
                    </w:rPr>
                    <w:t>20</w:t>
                  </w:r>
                </w:p>
              </w:tc>
              <w:tc>
                <w:tcPr>
                  <w:tcW w:w="2809" w:type="dxa"/>
                  <w:tcBorders>
                    <w:tl2br w:val="nil"/>
                    <w:tr2bl w:val="nil"/>
                  </w:tcBorders>
                  <w:vAlign w:val="center"/>
                </w:tcPr>
                <w:p w14:paraId="3DFE52FE">
                  <w:pPr>
                    <w:snapToGrid w:val="0"/>
                    <w:jc w:val="center"/>
                    <w:rPr>
                      <w:color w:val="auto"/>
                      <w:szCs w:val="21"/>
                    </w:rPr>
                  </w:pPr>
                  <w:r>
                    <w:rPr>
                      <w:color w:val="auto"/>
                      <w:szCs w:val="21"/>
                    </w:rPr>
                    <w:t>90</w:t>
                  </w:r>
                </w:p>
              </w:tc>
            </w:tr>
            <w:tr w14:paraId="6E31BC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756" w:type="dxa"/>
                  <w:tcBorders>
                    <w:tl2br w:val="nil"/>
                    <w:tr2bl w:val="nil"/>
                  </w:tcBorders>
                  <w:shd w:val="clear" w:color="auto" w:fill="auto"/>
                  <w:vAlign w:val="center"/>
                </w:tcPr>
                <w:p w14:paraId="2881AE57">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pacing w:val="-7"/>
                      <w:sz w:val="21"/>
                      <w:szCs w:val="21"/>
                    </w:rPr>
                    <w:t>10</w:t>
                  </w:r>
                </w:p>
              </w:tc>
              <w:tc>
                <w:tcPr>
                  <w:tcW w:w="2573" w:type="dxa"/>
                  <w:tcBorders>
                    <w:tl2br w:val="nil"/>
                    <w:tr2bl w:val="nil"/>
                  </w:tcBorders>
                  <w:shd w:val="clear" w:color="auto" w:fill="auto"/>
                  <w:vAlign w:val="center"/>
                </w:tcPr>
                <w:p w14:paraId="1209F6C1">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混凝土输送泵</w:t>
                  </w:r>
                </w:p>
              </w:tc>
              <w:tc>
                <w:tcPr>
                  <w:tcW w:w="1955" w:type="dxa"/>
                  <w:tcBorders>
                    <w:tl2br w:val="nil"/>
                    <w:tr2bl w:val="nil"/>
                  </w:tcBorders>
                  <w:shd w:val="clear" w:color="auto" w:fill="auto"/>
                  <w:vAlign w:val="center"/>
                </w:tcPr>
                <w:p w14:paraId="234C17F7">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6</w:t>
                  </w:r>
                </w:p>
              </w:tc>
              <w:tc>
                <w:tcPr>
                  <w:tcW w:w="2809" w:type="dxa"/>
                  <w:tcBorders>
                    <w:tl2br w:val="nil"/>
                    <w:tr2bl w:val="nil"/>
                  </w:tcBorders>
                  <w:vAlign w:val="center"/>
                </w:tcPr>
                <w:p w14:paraId="39402E01">
                  <w:pPr>
                    <w:snapToGrid w:val="0"/>
                    <w:jc w:val="center"/>
                    <w:rPr>
                      <w:color w:val="auto"/>
                      <w:szCs w:val="21"/>
                    </w:rPr>
                  </w:pPr>
                  <w:r>
                    <w:rPr>
                      <w:color w:val="auto"/>
                      <w:szCs w:val="21"/>
                    </w:rPr>
                    <w:t>85</w:t>
                  </w:r>
                </w:p>
              </w:tc>
            </w:tr>
            <w:tr w14:paraId="59F697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756" w:type="dxa"/>
                  <w:tcBorders>
                    <w:tl2br w:val="nil"/>
                    <w:tr2bl w:val="nil"/>
                  </w:tcBorders>
                  <w:shd w:val="clear" w:color="auto" w:fill="auto"/>
                  <w:vAlign w:val="center"/>
                </w:tcPr>
                <w:p w14:paraId="2C4DA402">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pacing w:val="-7"/>
                      <w:sz w:val="21"/>
                      <w:szCs w:val="21"/>
                    </w:rPr>
                    <w:t>11</w:t>
                  </w:r>
                </w:p>
              </w:tc>
              <w:tc>
                <w:tcPr>
                  <w:tcW w:w="2573" w:type="dxa"/>
                  <w:tcBorders>
                    <w:tl2br w:val="nil"/>
                    <w:tr2bl w:val="nil"/>
                  </w:tcBorders>
                  <w:shd w:val="clear" w:color="auto" w:fill="auto"/>
                  <w:vAlign w:val="center"/>
                </w:tcPr>
                <w:p w14:paraId="2E744A06">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szCs w:val="21"/>
                    </w:rPr>
                    <w:t>塔吊</w:t>
                  </w:r>
                </w:p>
              </w:tc>
              <w:tc>
                <w:tcPr>
                  <w:tcW w:w="1955" w:type="dxa"/>
                  <w:tcBorders>
                    <w:tl2br w:val="nil"/>
                    <w:tr2bl w:val="nil"/>
                  </w:tcBorders>
                  <w:shd w:val="clear" w:color="auto" w:fill="auto"/>
                  <w:vAlign w:val="center"/>
                </w:tcPr>
                <w:p w14:paraId="6C886D2A">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6</w:t>
                  </w:r>
                </w:p>
              </w:tc>
              <w:tc>
                <w:tcPr>
                  <w:tcW w:w="2809" w:type="dxa"/>
                  <w:tcBorders>
                    <w:tl2br w:val="nil"/>
                    <w:tr2bl w:val="nil"/>
                  </w:tcBorders>
                  <w:vAlign w:val="center"/>
                </w:tcPr>
                <w:p w14:paraId="2984B52D">
                  <w:pPr>
                    <w:snapToGrid w:val="0"/>
                    <w:jc w:val="center"/>
                    <w:rPr>
                      <w:rFonts w:hint="default" w:eastAsia="宋体"/>
                      <w:color w:val="auto"/>
                      <w:szCs w:val="21"/>
                      <w:lang w:val="en-US" w:eastAsia="zh-CN"/>
                    </w:rPr>
                  </w:pPr>
                  <w:r>
                    <w:rPr>
                      <w:rFonts w:hint="eastAsia"/>
                      <w:color w:val="auto"/>
                      <w:szCs w:val="21"/>
                      <w:lang w:val="en-US" w:eastAsia="zh-CN"/>
                    </w:rPr>
                    <w:t>90</w:t>
                  </w:r>
                </w:p>
              </w:tc>
            </w:tr>
            <w:tr w14:paraId="497792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756" w:type="dxa"/>
                  <w:tcBorders>
                    <w:tl2br w:val="nil"/>
                    <w:tr2bl w:val="nil"/>
                  </w:tcBorders>
                  <w:shd w:val="clear" w:color="auto" w:fill="auto"/>
                  <w:vAlign w:val="center"/>
                </w:tcPr>
                <w:p w14:paraId="3916DA61">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default"/>
                      <w:color w:val="auto"/>
                      <w:spacing w:val="-7"/>
                      <w:sz w:val="21"/>
                      <w:szCs w:val="21"/>
                    </w:rPr>
                    <w:t>12</w:t>
                  </w:r>
                </w:p>
              </w:tc>
              <w:tc>
                <w:tcPr>
                  <w:tcW w:w="2573" w:type="dxa"/>
                  <w:tcBorders>
                    <w:tl2br w:val="nil"/>
                    <w:tr2bl w:val="nil"/>
                  </w:tcBorders>
                  <w:shd w:val="clear" w:color="auto" w:fill="auto"/>
                  <w:vAlign w:val="center"/>
                </w:tcPr>
                <w:p w14:paraId="775F2398">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kern w:val="0"/>
                      <w:szCs w:val="21"/>
                      <w:lang w:bidi="ar"/>
                    </w:rPr>
                    <w:t>汽车吊</w:t>
                  </w:r>
                </w:p>
              </w:tc>
              <w:tc>
                <w:tcPr>
                  <w:tcW w:w="1955" w:type="dxa"/>
                  <w:tcBorders>
                    <w:tl2br w:val="nil"/>
                    <w:tr2bl w:val="nil"/>
                  </w:tcBorders>
                  <w:shd w:val="clear" w:color="auto" w:fill="auto"/>
                  <w:vAlign w:val="center"/>
                </w:tcPr>
                <w:p w14:paraId="3C7E4606">
                  <w:pPr>
                    <w:spacing w:beforeLines="0" w:afterLine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rPr>
                    <w:t>6</w:t>
                  </w:r>
                </w:p>
              </w:tc>
              <w:tc>
                <w:tcPr>
                  <w:tcW w:w="2809" w:type="dxa"/>
                  <w:tcBorders>
                    <w:tl2br w:val="nil"/>
                    <w:tr2bl w:val="nil"/>
                  </w:tcBorders>
                  <w:vAlign w:val="center"/>
                </w:tcPr>
                <w:p w14:paraId="207FD361">
                  <w:pPr>
                    <w:snapToGrid w:val="0"/>
                    <w:jc w:val="center"/>
                    <w:rPr>
                      <w:rFonts w:hint="default" w:eastAsia="宋体"/>
                      <w:color w:val="auto"/>
                      <w:szCs w:val="21"/>
                      <w:lang w:val="en-US" w:eastAsia="zh-CN"/>
                    </w:rPr>
                  </w:pPr>
                  <w:r>
                    <w:rPr>
                      <w:rFonts w:hint="eastAsia"/>
                      <w:color w:val="auto"/>
                      <w:szCs w:val="21"/>
                      <w:lang w:val="en-US" w:eastAsia="zh-CN"/>
                    </w:rPr>
                    <w:t>90</w:t>
                  </w:r>
                </w:p>
              </w:tc>
            </w:tr>
            <w:tr w14:paraId="001EBB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756" w:type="dxa"/>
                  <w:tcBorders>
                    <w:tl2br w:val="nil"/>
                    <w:tr2bl w:val="nil"/>
                  </w:tcBorders>
                  <w:vAlign w:val="center"/>
                </w:tcPr>
                <w:p w14:paraId="024EA531">
                  <w:pPr>
                    <w:snapToGrid w:val="0"/>
                    <w:jc w:val="center"/>
                    <w:rPr>
                      <w:rFonts w:hint="default" w:eastAsia="宋体"/>
                      <w:color w:val="auto"/>
                      <w:kern w:val="0"/>
                      <w:szCs w:val="21"/>
                      <w:lang w:val="en-US" w:eastAsia="zh-CN"/>
                    </w:rPr>
                  </w:pPr>
                  <w:r>
                    <w:rPr>
                      <w:rFonts w:hint="eastAsia"/>
                      <w:color w:val="auto"/>
                      <w:kern w:val="0"/>
                      <w:szCs w:val="21"/>
                      <w:lang w:val="en-US" w:eastAsia="zh-CN"/>
                    </w:rPr>
                    <w:t>13</w:t>
                  </w:r>
                </w:p>
              </w:tc>
              <w:tc>
                <w:tcPr>
                  <w:tcW w:w="2573" w:type="dxa"/>
                  <w:tcBorders>
                    <w:tl2br w:val="nil"/>
                    <w:tr2bl w:val="nil"/>
                  </w:tcBorders>
                  <w:vAlign w:val="center"/>
                </w:tcPr>
                <w:p w14:paraId="0305B59B">
                  <w:pPr>
                    <w:snapToGrid w:val="0"/>
                    <w:jc w:val="center"/>
                    <w:rPr>
                      <w:color w:val="auto"/>
                      <w:kern w:val="0"/>
                      <w:szCs w:val="21"/>
                    </w:rPr>
                  </w:pPr>
                  <w:r>
                    <w:rPr>
                      <w:rFonts w:hint="eastAsia"/>
                      <w:color w:val="auto"/>
                      <w:kern w:val="0"/>
                      <w:szCs w:val="21"/>
                      <w:lang w:eastAsia="zh-CN" w:bidi="ar"/>
                    </w:rPr>
                    <w:t>洒水设备</w:t>
                  </w:r>
                </w:p>
              </w:tc>
              <w:tc>
                <w:tcPr>
                  <w:tcW w:w="1955" w:type="dxa"/>
                  <w:tcBorders>
                    <w:tl2br w:val="nil"/>
                    <w:tr2bl w:val="nil"/>
                  </w:tcBorders>
                  <w:vAlign w:val="center"/>
                </w:tcPr>
                <w:p w14:paraId="445190C7">
                  <w:pPr>
                    <w:snapToGrid w:val="0"/>
                    <w:jc w:val="center"/>
                    <w:rPr>
                      <w:rFonts w:hint="default" w:eastAsia="宋体"/>
                      <w:color w:val="auto"/>
                      <w:kern w:val="0"/>
                      <w:szCs w:val="21"/>
                      <w:lang w:val="en-US" w:eastAsia="zh-CN"/>
                    </w:rPr>
                  </w:pPr>
                  <w:r>
                    <w:rPr>
                      <w:rFonts w:hint="eastAsia"/>
                      <w:color w:val="auto"/>
                      <w:kern w:val="0"/>
                      <w:szCs w:val="21"/>
                      <w:lang w:val="en-US" w:eastAsia="zh-CN"/>
                    </w:rPr>
                    <w:t>9</w:t>
                  </w:r>
                </w:p>
              </w:tc>
              <w:tc>
                <w:tcPr>
                  <w:tcW w:w="2809" w:type="dxa"/>
                  <w:tcBorders>
                    <w:tl2br w:val="nil"/>
                    <w:tr2bl w:val="nil"/>
                  </w:tcBorders>
                  <w:vAlign w:val="center"/>
                </w:tcPr>
                <w:p w14:paraId="655C6441">
                  <w:pPr>
                    <w:snapToGrid w:val="0"/>
                    <w:jc w:val="center"/>
                    <w:rPr>
                      <w:rFonts w:hint="default" w:eastAsia="宋体"/>
                      <w:color w:val="auto"/>
                      <w:szCs w:val="21"/>
                      <w:lang w:val="en-US" w:eastAsia="zh-CN"/>
                    </w:rPr>
                  </w:pPr>
                  <w:r>
                    <w:rPr>
                      <w:rFonts w:hint="eastAsia"/>
                      <w:color w:val="auto"/>
                      <w:szCs w:val="21"/>
                      <w:lang w:val="en-US" w:eastAsia="zh-CN"/>
                    </w:rPr>
                    <w:t>85</w:t>
                  </w:r>
                </w:p>
              </w:tc>
            </w:tr>
          </w:tbl>
          <w:p w14:paraId="052A6EED">
            <w:pPr>
              <w:spacing w:line="360" w:lineRule="auto"/>
              <w:ind w:firstLine="482" w:firstLineChars="200"/>
              <w:rPr>
                <w:b/>
                <w:bCs/>
                <w:color w:val="auto"/>
                <w:sz w:val="24"/>
              </w:rPr>
            </w:pPr>
            <w:r>
              <w:rPr>
                <w:b/>
                <w:bCs/>
                <w:color w:val="auto"/>
                <w:sz w:val="24"/>
              </w:rPr>
              <w:t>2、预测模式及参数选择</w:t>
            </w:r>
          </w:p>
          <w:p w14:paraId="47EE39DD">
            <w:pPr>
              <w:pStyle w:val="19"/>
              <w:adjustRightInd w:val="0"/>
              <w:snapToGrid w:val="0"/>
              <w:spacing w:after="0" w:line="360" w:lineRule="auto"/>
              <w:ind w:left="0" w:leftChars="0" w:firstLine="480"/>
              <w:rPr>
                <w:color w:val="auto"/>
              </w:rPr>
            </w:pPr>
            <w:r>
              <w:rPr>
                <w:color w:val="auto"/>
                <w:kern w:val="2"/>
              </w:rPr>
              <w:t>施工过程中使用的施工机械所产生的噪声主要属于中低频噪声，根据《环境影响评价技术导则声环境》（HJ2.4-2021）的有关要求，在预测其影响时可只考虑其扩散衰减，即预测模型可选用：</w:t>
            </w:r>
          </w:p>
          <w:p w14:paraId="192E9CDE">
            <w:pPr>
              <w:adjustRightInd w:val="0"/>
              <w:snapToGrid w:val="0"/>
              <w:spacing w:line="360" w:lineRule="auto"/>
              <w:ind w:firstLine="480" w:firstLineChars="200"/>
              <w:rPr>
                <w:color w:val="auto"/>
                <w:sz w:val="24"/>
              </w:rPr>
            </w:pPr>
            <w:r>
              <w:rPr>
                <w:color w:val="auto"/>
                <w:sz w:val="24"/>
              </w:rPr>
              <w:t>L</w:t>
            </w:r>
            <w:r>
              <w:rPr>
                <w:color w:val="auto"/>
                <w:sz w:val="24"/>
                <w:vertAlign w:val="subscript"/>
              </w:rPr>
              <w:t>p</w:t>
            </w:r>
            <w:r>
              <w:rPr>
                <w:color w:val="auto"/>
                <w:sz w:val="24"/>
              </w:rPr>
              <w:t>(r)=L</w:t>
            </w:r>
            <w:r>
              <w:rPr>
                <w:color w:val="auto"/>
                <w:sz w:val="24"/>
                <w:vertAlign w:val="subscript"/>
              </w:rPr>
              <w:t>p</w:t>
            </w:r>
            <w:r>
              <w:rPr>
                <w:color w:val="auto"/>
                <w:sz w:val="24"/>
              </w:rPr>
              <w:t>(r</w:t>
            </w:r>
            <w:r>
              <w:rPr>
                <w:color w:val="auto"/>
                <w:sz w:val="24"/>
                <w:vertAlign w:val="subscript"/>
              </w:rPr>
              <w:t>0</w:t>
            </w:r>
            <w:r>
              <w:rPr>
                <w:color w:val="auto"/>
                <w:sz w:val="24"/>
              </w:rPr>
              <w:t>)-20lg（r/r</w:t>
            </w:r>
            <w:r>
              <w:rPr>
                <w:color w:val="auto"/>
                <w:sz w:val="24"/>
                <w:vertAlign w:val="subscript"/>
              </w:rPr>
              <w:t>o</w:t>
            </w:r>
            <w:r>
              <w:rPr>
                <w:color w:val="auto"/>
                <w:sz w:val="24"/>
              </w:rPr>
              <w:t>）</w:t>
            </w:r>
            <w:r>
              <w:rPr>
                <w:color w:val="auto"/>
                <w:szCs w:val="21"/>
              </w:rPr>
              <w:t>－△L</w:t>
            </w:r>
          </w:p>
          <w:p w14:paraId="2C44B25D">
            <w:pPr>
              <w:adjustRightInd w:val="0"/>
              <w:snapToGrid w:val="0"/>
              <w:spacing w:line="360" w:lineRule="auto"/>
              <w:ind w:firstLine="480" w:firstLineChars="200"/>
              <w:rPr>
                <w:color w:val="auto"/>
                <w:sz w:val="24"/>
              </w:rPr>
            </w:pPr>
            <w:r>
              <w:rPr>
                <w:color w:val="auto"/>
                <w:sz w:val="24"/>
              </w:rPr>
              <w:t>式中：</w:t>
            </w:r>
            <w:r>
              <w:rPr>
                <w:i/>
                <w:iCs/>
                <w:color w:val="auto"/>
                <w:sz w:val="24"/>
              </w:rPr>
              <w:t>L</w:t>
            </w:r>
            <w:r>
              <w:rPr>
                <w:color w:val="auto"/>
                <w:sz w:val="24"/>
                <w:vertAlign w:val="subscript"/>
              </w:rPr>
              <w:t>p</w:t>
            </w:r>
            <w:r>
              <w:rPr>
                <w:color w:val="auto"/>
                <w:sz w:val="24"/>
              </w:rPr>
              <w:t>（r）—预测点处的声压级，dB；</w:t>
            </w:r>
          </w:p>
          <w:p w14:paraId="627B58B9">
            <w:pPr>
              <w:adjustRightInd w:val="0"/>
              <w:snapToGrid w:val="0"/>
              <w:spacing w:line="360" w:lineRule="auto"/>
              <w:ind w:firstLine="480" w:firstLineChars="200"/>
              <w:rPr>
                <w:color w:val="auto"/>
                <w:sz w:val="24"/>
              </w:rPr>
            </w:pPr>
            <w:r>
              <w:rPr>
                <w:color w:val="auto"/>
                <w:sz w:val="24"/>
              </w:rPr>
              <w:t>Lp(r</w:t>
            </w:r>
            <w:r>
              <w:rPr>
                <w:color w:val="auto"/>
                <w:sz w:val="24"/>
                <w:vertAlign w:val="subscript"/>
              </w:rPr>
              <w:t>0</w:t>
            </w:r>
            <w:r>
              <w:rPr>
                <w:color w:val="auto"/>
                <w:sz w:val="24"/>
              </w:rPr>
              <w:t>)——参考位置 r</w:t>
            </w:r>
            <w:r>
              <w:rPr>
                <w:color w:val="auto"/>
                <w:sz w:val="24"/>
                <w:vertAlign w:val="subscript"/>
              </w:rPr>
              <w:t>0</w:t>
            </w:r>
            <w:r>
              <w:rPr>
                <w:color w:val="auto"/>
                <w:sz w:val="24"/>
              </w:rPr>
              <w:t xml:space="preserve"> 处的声压级，dB；</w:t>
            </w:r>
          </w:p>
          <w:p w14:paraId="3107A13A">
            <w:pPr>
              <w:adjustRightInd w:val="0"/>
              <w:snapToGrid w:val="0"/>
              <w:spacing w:line="360" w:lineRule="auto"/>
              <w:ind w:firstLine="480" w:firstLineChars="200"/>
              <w:rPr>
                <w:color w:val="auto"/>
                <w:sz w:val="24"/>
              </w:rPr>
            </w:pPr>
            <w:r>
              <w:rPr>
                <w:color w:val="auto"/>
                <w:sz w:val="24"/>
              </w:rPr>
              <w:t>r——预测点距声源的距离；</w:t>
            </w:r>
          </w:p>
          <w:p w14:paraId="0CC0F6C1">
            <w:pPr>
              <w:adjustRightInd w:val="0"/>
              <w:snapToGrid w:val="0"/>
              <w:spacing w:line="360" w:lineRule="auto"/>
              <w:ind w:firstLine="480" w:firstLineChars="200"/>
              <w:rPr>
                <w:color w:val="auto"/>
                <w:sz w:val="24"/>
              </w:rPr>
            </w:pPr>
            <w:r>
              <w:rPr>
                <w:color w:val="auto"/>
                <w:sz w:val="24"/>
              </w:rPr>
              <w:t>r</w:t>
            </w:r>
            <w:r>
              <w:rPr>
                <w:color w:val="auto"/>
                <w:sz w:val="24"/>
                <w:vertAlign w:val="subscript"/>
              </w:rPr>
              <w:t>0</w:t>
            </w:r>
            <w:r>
              <w:rPr>
                <w:color w:val="auto"/>
                <w:sz w:val="24"/>
              </w:rPr>
              <w:t>——参考位置距声源的距离；</w:t>
            </w:r>
          </w:p>
          <w:p w14:paraId="61C704EE">
            <w:pPr>
              <w:adjustRightInd w:val="0"/>
              <w:snapToGrid w:val="0"/>
              <w:spacing w:line="360" w:lineRule="auto"/>
              <w:ind w:firstLine="480" w:firstLineChars="200"/>
              <w:rPr>
                <w:color w:val="auto"/>
                <w:sz w:val="24"/>
              </w:rPr>
            </w:pPr>
            <w:r>
              <w:rPr>
                <w:color w:val="auto"/>
                <w:sz w:val="24"/>
              </w:rPr>
              <w:t>△L——采取各种措施后的噪声衰减量，dB(A)。</w:t>
            </w:r>
          </w:p>
          <w:p w14:paraId="2B150EDB">
            <w:pPr>
              <w:adjustRightInd w:val="0"/>
              <w:snapToGrid w:val="0"/>
              <w:spacing w:line="360" w:lineRule="auto"/>
              <w:ind w:firstLine="480" w:firstLineChars="200"/>
              <w:rPr>
                <w:b/>
                <w:color w:val="auto"/>
                <w:szCs w:val="21"/>
              </w:rPr>
            </w:pPr>
            <w:r>
              <w:rPr>
                <w:color w:val="auto"/>
                <w:sz w:val="24"/>
              </w:rPr>
              <w:t>本项目仅在昼间实施，夜间不施工，因此仅预测昼间施工场界噪声达标情况，预测结果见下表：</w:t>
            </w:r>
          </w:p>
          <w:p w14:paraId="61E7ACB7">
            <w:pPr>
              <w:jc w:val="center"/>
              <w:rPr>
                <w:b/>
                <w:color w:val="auto"/>
                <w:szCs w:val="21"/>
              </w:rPr>
            </w:pPr>
            <w:r>
              <w:rPr>
                <w:b/>
                <w:color w:val="auto"/>
                <w:szCs w:val="21"/>
              </w:rPr>
              <w:t>表4-</w:t>
            </w:r>
            <w:r>
              <w:rPr>
                <w:rFonts w:hint="eastAsia"/>
                <w:b/>
                <w:color w:val="auto"/>
                <w:szCs w:val="21"/>
                <w:lang w:val="en-US" w:eastAsia="zh-CN"/>
              </w:rPr>
              <w:t>6</w:t>
            </w:r>
            <w:r>
              <w:rPr>
                <w:b/>
                <w:color w:val="auto"/>
                <w:szCs w:val="21"/>
              </w:rPr>
              <w:t xml:space="preserve">  工程施工场界噪声排放结果预测表  单位：dB(A)</w:t>
            </w:r>
          </w:p>
          <w:tbl>
            <w:tblPr>
              <w:tblStyle w:val="40"/>
              <w:tblW w:w="491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92"/>
              <w:gridCol w:w="2662"/>
              <w:gridCol w:w="1799"/>
              <w:gridCol w:w="2058"/>
              <w:gridCol w:w="2001"/>
            </w:tblGrid>
            <w:tr w14:paraId="183980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85" w:hRule="atLeast"/>
                <w:jc w:val="center"/>
              </w:trPr>
              <w:tc>
                <w:tcPr>
                  <w:tcW w:w="273" w:type="pct"/>
                  <w:vMerge w:val="restart"/>
                  <w:tcBorders>
                    <w:tl2br w:val="nil"/>
                    <w:tr2bl w:val="nil"/>
                  </w:tcBorders>
                  <w:vAlign w:val="center"/>
                </w:tcPr>
                <w:p w14:paraId="0FD9DB6C">
                  <w:pPr>
                    <w:spacing w:line="320" w:lineRule="exact"/>
                    <w:jc w:val="center"/>
                    <w:rPr>
                      <w:color w:val="auto"/>
                      <w:szCs w:val="21"/>
                    </w:rPr>
                  </w:pPr>
                  <w:r>
                    <w:rPr>
                      <w:color w:val="auto"/>
                      <w:szCs w:val="21"/>
                    </w:rPr>
                    <w:t>序号</w:t>
                  </w:r>
                </w:p>
              </w:tc>
              <w:tc>
                <w:tcPr>
                  <w:tcW w:w="1477" w:type="pct"/>
                  <w:vMerge w:val="restart"/>
                  <w:tcBorders>
                    <w:tl2br w:val="nil"/>
                    <w:tr2bl w:val="nil"/>
                  </w:tcBorders>
                  <w:vAlign w:val="center"/>
                </w:tcPr>
                <w:p w14:paraId="33C38A23">
                  <w:pPr>
                    <w:spacing w:line="320" w:lineRule="exact"/>
                    <w:jc w:val="center"/>
                    <w:rPr>
                      <w:color w:val="auto"/>
                      <w:szCs w:val="21"/>
                    </w:rPr>
                  </w:pPr>
                  <w:r>
                    <w:rPr>
                      <w:color w:val="auto"/>
                      <w:szCs w:val="21"/>
                    </w:rPr>
                    <w:t>预测情形</w:t>
                  </w:r>
                </w:p>
              </w:tc>
              <w:tc>
                <w:tcPr>
                  <w:tcW w:w="998" w:type="pct"/>
                  <w:tcBorders>
                    <w:tl2br w:val="nil"/>
                    <w:tr2bl w:val="nil"/>
                  </w:tcBorders>
                  <w:vAlign w:val="center"/>
                </w:tcPr>
                <w:p w14:paraId="6F973AA0">
                  <w:pPr>
                    <w:spacing w:line="320" w:lineRule="exact"/>
                    <w:jc w:val="center"/>
                    <w:rPr>
                      <w:color w:val="auto"/>
                      <w:szCs w:val="21"/>
                    </w:rPr>
                  </w:pPr>
                  <w:r>
                    <w:rPr>
                      <w:color w:val="auto"/>
                      <w:szCs w:val="21"/>
                    </w:rPr>
                    <w:t>预测值</w:t>
                  </w:r>
                </w:p>
              </w:tc>
              <w:tc>
                <w:tcPr>
                  <w:tcW w:w="1142" w:type="pct"/>
                  <w:tcBorders>
                    <w:tl2br w:val="nil"/>
                    <w:tr2bl w:val="nil"/>
                  </w:tcBorders>
                  <w:vAlign w:val="center"/>
                </w:tcPr>
                <w:p w14:paraId="17B10B22">
                  <w:pPr>
                    <w:spacing w:line="320" w:lineRule="exact"/>
                    <w:jc w:val="center"/>
                    <w:rPr>
                      <w:color w:val="auto"/>
                      <w:szCs w:val="21"/>
                    </w:rPr>
                  </w:pPr>
                  <w:r>
                    <w:rPr>
                      <w:color w:val="auto"/>
                      <w:szCs w:val="21"/>
                    </w:rPr>
                    <w:t>标准值</w:t>
                  </w:r>
                </w:p>
              </w:tc>
              <w:tc>
                <w:tcPr>
                  <w:tcW w:w="1108" w:type="pct"/>
                  <w:tcBorders>
                    <w:tl2br w:val="nil"/>
                    <w:tr2bl w:val="nil"/>
                  </w:tcBorders>
                  <w:vAlign w:val="center"/>
                </w:tcPr>
                <w:p w14:paraId="7E04C654">
                  <w:pPr>
                    <w:spacing w:line="320" w:lineRule="exact"/>
                    <w:jc w:val="center"/>
                    <w:rPr>
                      <w:color w:val="auto"/>
                      <w:szCs w:val="21"/>
                    </w:rPr>
                  </w:pPr>
                  <w:r>
                    <w:rPr>
                      <w:color w:val="auto"/>
                      <w:szCs w:val="21"/>
                    </w:rPr>
                    <w:t>超标值</w:t>
                  </w:r>
                </w:p>
              </w:tc>
            </w:tr>
            <w:tr w14:paraId="08A4DB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jc w:val="center"/>
              </w:trPr>
              <w:tc>
                <w:tcPr>
                  <w:tcW w:w="273" w:type="pct"/>
                  <w:vMerge w:val="continue"/>
                  <w:tcBorders>
                    <w:tl2br w:val="nil"/>
                    <w:tr2bl w:val="nil"/>
                  </w:tcBorders>
                  <w:vAlign w:val="center"/>
                </w:tcPr>
                <w:p w14:paraId="71018009">
                  <w:pPr>
                    <w:spacing w:line="320" w:lineRule="exact"/>
                    <w:jc w:val="center"/>
                    <w:rPr>
                      <w:color w:val="auto"/>
                      <w:szCs w:val="21"/>
                    </w:rPr>
                  </w:pPr>
                </w:p>
              </w:tc>
              <w:tc>
                <w:tcPr>
                  <w:tcW w:w="1477" w:type="pct"/>
                  <w:vMerge w:val="continue"/>
                  <w:tcBorders>
                    <w:tl2br w:val="nil"/>
                    <w:tr2bl w:val="nil"/>
                  </w:tcBorders>
                  <w:vAlign w:val="center"/>
                </w:tcPr>
                <w:p w14:paraId="6199C550">
                  <w:pPr>
                    <w:spacing w:line="320" w:lineRule="exact"/>
                    <w:jc w:val="center"/>
                    <w:rPr>
                      <w:color w:val="auto"/>
                      <w:szCs w:val="21"/>
                    </w:rPr>
                  </w:pPr>
                </w:p>
              </w:tc>
              <w:tc>
                <w:tcPr>
                  <w:tcW w:w="998" w:type="pct"/>
                  <w:tcBorders>
                    <w:tl2br w:val="nil"/>
                    <w:tr2bl w:val="nil"/>
                  </w:tcBorders>
                  <w:vAlign w:val="center"/>
                </w:tcPr>
                <w:p w14:paraId="63338B91">
                  <w:pPr>
                    <w:spacing w:line="320" w:lineRule="exact"/>
                    <w:jc w:val="center"/>
                    <w:rPr>
                      <w:color w:val="auto"/>
                      <w:szCs w:val="21"/>
                    </w:rPr>
                  </w:pPr>
                  <w:r>
                    <w:rPr>
                      <w:color w:val="auto"/>
                      <w:szCs w:val="21"/>
                    </w:rPr>
                    <w:t>昼间</w:t>
                  </w:r>
                </w:p>
              </w:tc>
              <w:tc>
                <w:tcPr>
                  <w:tcW w:w="1142" w:type="pct"/>
                  <w:tcBorders>
                    <w:tl2br w:val="nil"/>
                    <w:tr2bl w:val="nil"/>
                  </w:tcBorders>
                  <w:vAlign w:val="center"/>
                </w:tcPr>
                <w:p w14:paraId="4B7E1D08">
                  <w:pPr>
                    <w:spacing w:line="320" w:lineRule="exact"/>
                    <w:jc w:val="center"/>
                    <w:rPr>
                      <w:color w:val="auto"/>
                      <w:szCs w:val="21"/>
                    </w:rPr>
                  </w:pPr>
                  <w:r>
                    <w:rPr>
                      <w:color w:val="auto"/>
                      <w:szCs w:val="21"/>
                    </w:rPr>
                    <w:t>昼间</w:t>
                  </w:r>
                </w:p>
              </w:tc>
              <w:tc>
                <w:tcPr>
                  <w:tcW w:w="1108" w:type="pct"/>
                  <w:tcBorders>
                    <w:tl2br w:val="nil"/>
                    <w:tr2bl w:val="nil"/>
                  </w:tcBorders>
                  <w:vAlign w:val="center"/>
                </w:tcPr>
                <w:p w14:paraId="402C9033">
                  <w:pPr>
                    <w:spacing w:line="320" w:lineRule="exact"/>
                    <w:jc w:val="center"/>
                    <w:rPr>
                      <w:color w:val="auto"/>
                      <w:szCs w:val="21"/>
                    </w:rPr>
                  </w:pPr>
                  <w:r>
                    <w:rPr>
                      <w:color w:val="auto"/>
                      <w:szCs w:val="21"/>
                    </w:rPr>
                    <w:t>昼间</w:t>
                  </w:r>
                </w:p>
              </w:tc>
            </w:tr>
            <w:tr w14:paraId="23C66A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273" w:type="pct"/>
                  <w:tcBorders>
                    <w:tl2br w:val="nil"/>
                    <w:tr2bl w:val="nil"/>
                  </w:tcBorders>
                  <w:vAlign w:val="center"/>
                </w:tcPr>
                <w:p w14:paraId="378A86EE">
                  <w:pPr>
                    <w:spacing w:line="320" w:lineRule="exact"/>
                    <w:jc w:val="center"/>
                    <w:rPr>
                      <w:color w:val="auto"/>
                      <w:szCs w:val="21"/>
                    </w:rPr>
                  </w:pPr>
                  <w:r>
                    <w:rPr>
                      <w:color w:val="auto"/>
                      <w:szCs w:val="21"/>
                    </w:rPr>
                    <w:t>1</w:t>
                  </w:r>
                </w:p>
              </w:tc>
              <w:tc>
                <w:tcPr>
                  <w:tcW w:w="1477" w:type="pct"/>
                  <w:tcBorders>
                    <w:tl2br w:val="nil"/>
                    <w:tr2bl w:val="nil"/>
                  </w:tcBorders>
                  <w:vAlign w:val="center"/>
                </w:tcPr>
                <w:p w14:paraId="58673153">
                  <w:pPr>
                    <w:pStyle w:val="41"/>
                    <w:widowControl w:val="0"/>
                    <w:adjustRightInd/>
                    <w:snapToGrid/>
                    <w:rPr>
                      <w:bCs w:val="0"/>
                      <w:color w:val="auto"/>
                      <w:szCs w:val="21"/>
                    </w:rPr>
                  </w:pPr>
                  <w:r>
                    <w:rPr>
                      <w:color w:val="auto"/>
                      <w:szCs w:val="21"/>
                    </w:rPr>
                    <w:t>施工设备与场界距离为10m</w:t>
                  </w:r>
                </w:p>
              </w:tc>
              <w:tc>
                <w:tcPr>
                  <w:tcW w:w="998" w:type="pct"/>
                  <w:tcBorders>
                    <w:tl2br w:val="nil"/>
                    <w:tr2bl w:val="nil"/>
                  </w:tcBorders>
                  <w:vAlign w:val="center"/>
                </w:tcPr>
                <w:p w14:paraId="09DC2754">
                  <w:pPr>
                    <w:spacing w:line="320" w:lineRule="exact"/>
                    <w:jc w:val="center"/>
                    <w:rPr>
                      <w:color w:val="auto"/>
                      <w:szCs w:val="21"/>
                    </w:rPr>
                  </w:pPr>
                  <w:r>
                    <w:rPr>
                      <w:color w:val="auto"/>
                      <w:szCs w:val="21"/>
                    </w:rPr>
                    <w:t>80dB (A)</w:t>
                  </w:r>
                </w:p>
              </w:tc>
              <w:tc>
                <w:tcPr>
                  <w:tcW w:w="1142" w:type="pct"/>
                  <w:tcBorders>
                    <w:tl2br w:val="nil"/>
                    <w:tr2bl w:val="nil"/>
                  </w:tcBorders>
                  <w:vAlign w:val="center"/>
                </w:tcPr>
                <w:p w14:paraId="5DDD83C0">
                  <w:pPr>
                    <w:spacing w:line="320" w:lineRule="exact"/>
                    <w:jc w:val="center"/>
                    <w:rPr>
                      <w:color w:val="auto"/>
                      <w:szCs w:val="21"/>
                    </w:rPr>
                  </w:pPr>
                  <w:r>
                    <w:rPr>
                      <w:color w:val="auto"/>
                      <w:szCs w:val="21"/>
                    </w:rPr>
                    <w:t>70dB (A)</w:t>
                  </w:r>
                </w:p>
              </w:tc>
              <w:tc>
                <w:tcPr>
                  <w:tcW w:w="1108" w:type="pct"/>
                  <w:tcBorders>
                    <w:tl2br w:val="nil"/>
                    <w:tr2bl w:val="nil"/>
                  </w:tcBorders>
                  <w:vAlign w:val="center"/>
                </w:tcPr>
                <w:p w14:paraId="16144C79">
                  <w:pPr>
                    <w:spacing w:line="320" w:lineRule="exact"/>
                    <w:jc w:val="center"/>
                    <w:rPr>
                      <w:color w:val="auto"/>
                      <w:szCs w:val="21"/>
                    </w:rPr>
                  </w:pPr>
                  <w:r>
                    <w:rPr>
                      <w:color w:val="auto"/>
                      <w:szCs w:val="21"/>
                    </w:rPr>
                    <w:t>超标10dB (A)</w:t>
                  </w:r>
                </w:p>
              </w:tc>
            </w:tr>
            <w:tr w14:paraId="7ED27E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273" w:type="pct"/>
                  <w:tcBorders>
                    <w:tl2br w:val="nil"/>
                    <w:tr2bl w:val="nil"/>
                  </w:tcBorders>
                  <w:vAlign w:val="center"/>
                </w:tcPr>
                <w:p w14:paraId="0DFAAC82">
                  <w:pPr>
                    <w:spacing w:line="320" w:lineRule="exact"/>
                    <w:jc w:val="center"/>
                    <w:rPr>
                      <w:color w:val="auto"/>
                      <w:szCs w:val="21"/>
                    </w:rPr>
                  </w:pPr>
                  <w:r>
                    <w:rPr>
                      <w:color w:val="auto"/>
                      <w:szCs w:val="21"/>
                    </w:rPr>
                    <w:t>2</w:t>
                  </w:r>
                </w:p>
              </w:tc>
              <w:tc>
                <w:tcPr>
                  <w:tcW w:w="1477" w:type="pct"/>
                  <w:tcBorders>
                    <w:tl2br w:val="nil"/>
                    <w:tr2bl w:val="nil"/>
                  </w:tcBorders>
                  <w:vAlign w:val="center"/>
                </w:tcPr>
                <w:p w14:paraId="64B8BFC1">
                  <w:pPr>
                    <w:pStyle w:val="41"/>
                    <w:widowControl w:val="0"/>
                    <w:adjustRightInd/>
                    <w:snapToGrid/>
                    <w:rPr>
                      <w:bCs w:val="0"/>
                      <w:color w:val="auto"/>
                      <w:szCs w:val="21"/>
                    </w:rPr>
                  </w:pPr>
                  <w:r>
                    <w:rPr>
                      <w:color w:val="auto"/>
                      <w:szCs w:val="21"/>
                    </w:rPr>
                    <w:t>施工设备与场界距离为20m</w:t>
                  </w:r>
                </w:p>
              </w:tc>
              <w:tc>
                <w:tcPr>
                  <w:tcW w:w="998" w:type="pct"/>
                  <w:tcBorders>
                    <w:tl2br w:val="nil"/>
                    <w:tr2bl w:val="nil"/>
                  </w:tcBorders>
                  <w:vAlign w:val="center"/>
                </w:tcPr>
                <w:p w14:paraId="1EA148B9">
                  <w:pPr>
                    <w:spacing w:line="320" w:lineRule="exact"/>
                    <w:jc w:val="center"/>
                    <w:rPr>
                      <w:color w:val="auto"/>
                      <w:szCs w:val="21"/>
                    </w:rPr>
                  </w:pPr>
                  <w:r>
                    <w:rPr>
                      <w:color w:val="auto"/>
                      <w:szCs w:val="21"/>
                    </w:rPr>
                    <w:t>74dB (A)</w:t>
                  </w:r>
                </w:p>
              </w:tc>
              <w:tc>
                <w:tcPr>
                  <w:tcW w:w="1142" w:type="pct"/>
                  <w:tcBorders>
                    <w:tl2br w:val="nil"/>
                    <w:tr2bl w:val="nil"/>
                  </w:tcBorders>
                  <w:vAlign w:val="center"/>
                </w:tcPr>
                <w:p w14:paraId="2C6FB37B">
                  <w:pPr>
                    <w:spacing w:line="320" w:lineRule="exact"/>
                    <w:jc w:val="center"/>
                    <w:rPr>
                      <w:color w:val="auto"/>
                      <w:szCs w:val="21"/>
                    </w:rPr>
                  </w:pPr>
                  <w:r>
                    <w:rPr>
                      <w:color w:val="auto"/>
                      <w:szCs w:val="21"/>
                    </w:rPr>
                    <w:t>70dB (A)</w:t>
                  </w:r>
                </w:p>
              </w:tc>
              <w:tc>
                <w:tcPr>
                  <w:tcW w:w="1108" w:type="pct"/>
                  <w:tcBorders>
                    <w:tl2br w:val="nil"/>
                    <w:tr2bl w:val="nil"/>
                  </w:tcBorders>
                  <w:vAlign w:val="center"/>
                </w:tcPr>
                <w:p w14:paraId="54453A18">
                  <w:pPr>
                    <w:spacing w:line="320" w:lineRule="exact"/>
                    <w:jc w:val="center"/>
                    <w:rPr>
                      <w:color w:val="auto"/>
                      <w:szCs w:val="21"/>
                    </w:rPr>
                  </w:pPr>
                  <w:r>
                    <w:rPr>
                      <w:color w:val="auto"/>
                      <w:szCs w:val="21"/>
                    </w:rPr>
                    <w:t>超标4dB (A)</w:t>
                  </w:r>
                </w:p>
              </w:tc>
            </w:tr>
            <w:tr w14:paraId="0E9404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273" w:type="pct"/>
                  <w:tcBorders>
                    <w:tl2br w:val="nil"/>
                    <w:tr2bl w:val="nil"/>
                  </w:tcBorders>
                  <w:vAlign w:val="center"/>
                </w:tcPr>
                <w:p w14:paraId="6C459E5A">
                  <w:pPr>
                    <w:spacing w:line="320" w:lineRule="exact"/>
                    <w:jc w:val="center"/>
                    <w:rPr>
                      <w:color w:val="auto"/>
                      <w:szCs w:val="21"/>
                    </w:rPr>
                  </w:pPr>
                  <w:r>
                    <w:rPr>
                      <w:color w:val="auto"/>
                      <w:szCs w:val="21"/>
                    </w:rPr>
                    <w:t>3</w:t>
                  </w:r>
                </w:p>
              </w:tc>
              <w:tc>
                <w:tcPr>
                  <w:tcW w:w="1477" w:type="pct"/>
                  <w:tcBorders>
                    <w:tl2br w:val="nil"/>
                    <w:tr2bl w:val="nil"/>
                  </w:tcBorders>
                  <w:vAlign w:val="center"/>
                </w:tcPr>
                <w:p w14:paraId="45D8DF4D">
                  <w:pPr>
                    <w:pStyle w:val="41"/>
                    <w:widowControl w:val="0"/>
                    <w:adjustRightInd/>
                    <w:snapToGrid/>
                    <w:rPr>
                      <w:bCs w:val="0"/>
                      <w:color w:val="auto"/>
                      <w:szCs w:val="21"/>
                    </w:rPr>
                  </w:pPr>
                  <w:r>
                    <w:rPr>
                      <w:color w:val="auto"/>
                      <w:szCs w:val="21"/>
                    </w:rPr>
                    <w:t>施工设备与场界距离为40m</w:t>
                  </w:r>
                </w:p>
              </w:tc>
              <w:tc>
                <w:tcPr>
                  <w:tcW w:w="998" w:type="pct"/>
                  <w:tcBorders>
                    <w:tl2br w:val="nil"/>
                    <w:tr2bl w:val="nil"/>
                  </w:tcBorders>
                  <w:vAlign w:val="center"/>
                </w:tcPr>
                <w:p w14:paraId="2BFB6983">
                  <w:pPr>
                    <w:spacing w:line="320" w:lineRule="exact"/>
                    <w:jc w:val="center"/>
                    <w:rPr>
                      <w:color w:val="auto"/>
                      <w:szCs w:val="21"/>
                    </w:rPr>
                  </w:pPr>
                  <w:r>
                    <w:rPr>
                      <w:color w:val="auto"/>
                      <w:szCs w:val="21"/>
                    </w:rPr>
                    <w:t>68dB (A)</w:t>
                  </w:r>
                </w:p>
              </w:tc>
              <w:tc>
                <w:tcPr>
                  <w:tcW w:w="1142" w:type="pct"/>
                  <w:tcBorders>
                    <w:tl2br w:val="nil"/>
                    <w:tr2bl w:val="nil"/>
                  </w:tcBorders>
                  <w:vAlign w:val="center"/>
                </w:tcPr>
                <w:p w14:paraId="670B8694">
                  <w:pPr>
                    <w:spacing w:line="320" w:lineRule="exact"/>
                    <w:jc w:val="center"/>
                    <w:rPr>
                      <w:color w:val="auto"/>
                      <w:szCs w:val="21"/>
                    </w:rPr>
                  </w:pPr>
                  <w:r>
                    <w:rPr>
                      <w:color w:val="auto"/>
                      <w:szCs w:val="21"/>
                    </w:rPr>
                    <w:t>70dB (A)</w:t>
                  </w:r>
                </w:p>
              </w:tc>
              <w:tc>
                <w:tcPr>
                  <w:tcW w:w="1108" w:type="pct"/>
                  <w:tcBorders>
                    <w:tl2br w:val="nil"/>
                    <w:tr2bl w:val="nil"/>
                  </w:tcBorders>
                  <w:vAlign w:val="center"/>
                </w:tcPr>
                <w:p w14:paraId="4036BA40">
                  <w:pPr>
                    <w:spacing w:line="320" w:lineRule="exact"/>
                    <w:jc w:val="center"/>
                    <w:rPr>
                      <w:color w:val="auto"/>
                      <w:szCs w:val="21"/>
                    </w:rPr>
                  </w:pPr>
                  <w:r>
                    <w:rPr>
                      <w:color w:val="auto"/>
                      <w:szCs w:val="21"/>
                    </w:rPr>
                    <w:t>不超标</w:t>
                  </w:r>
                </w:p>
              </w:tc>
            </w:tr>
            <w:tr w14:paraId="4EC3C9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5" w:hRule="atLeast"/>
                <w:jc w:val="center"/>
              </w:trPr>
              <w:tc>
                <w:tcPr>
                  <w:tcW w:w="273" w:type="pct"/>
                  <w:tcBorders>
                    <w:tl2br w:val="nil"/>
                    <w:tr2bl w:val="nil"/>
                  </w:tcBorders>
                  <w:vAlign w:val="center"/>
                </w:tcPr>
                <w:p w14:paraId="5F8F37CB">
                  <w:pPr>
                    <w:spacing w:line="320" w:lineRule="exact"/>
                    <w:jc w:val="center"/>
                    <w:rPr>
                      <w:color w:val="auto"/>
                      <w:szCs w:val="21"/>
                    </w:rPr>
                  </w:pPr>
                  <w:r>
                    <w:rPr>
                      <w:color w:val="auto"/>
                      <w:szCs w:val="21"/>
                    </w:rPr>
                    <w:t>4</w:t>
                  </w:r>
                </w:p>
              </w:tc>
              <w:tc>
                <w:tcPr>
                  <w:tcW w:w="1477" w:type="pct"/>
                  <w:tcBorders>
                    <w:tl2br w:val="nil"/>
                    <w:tr2bl w:val="nil"/>
                  </w:tcBorders>
                  <w:vAlign w:val="center"/>
                </w:tcPr>
                <w:p w14:paraId="145C4C34">
                  <w:pPr>
                    <w:pStyle w:val="41"/>
                    <w:widowControl w:val="0"/>
                    <w:adjustRightInd/>
                    <w:snapToGrid/>
                    <w:rPr>
                      <w:bCs w:val="0"/>
                      <w:color w:val="auto"/>
                      <w:szCs w:val="21"/>
                    </w:rPr>
                  </w:pPr>
                  <w:r>
                    <w:rPr>
                      <w:color w:val="auto"/>
                      <w:szCs w:val="21"/>
                    </w:rPr>
                    <w:t>施工设备与场界距离为80m</w:t>
                  </w:r>
                </w:p>
              </w:tc>
              <w:tc>
                <w:tcPr>
                  <w:tcW w:w="998" w:type="pct"/>
                  <w:tcBorders>
                    <w:tl2br w:val="nil"/>
                    <w:tr2bl w:val="nil"/>
                  </w:tcBorders>
                  <w:vAlign w:val="center"/>
                </w:tcPr>
                <w:p w14:paraId="33E4181F">
                  <w:pPr>
                    <w:spacing w:line="320" w:lineRule="exact"/>
                    <w:jc w:val="center"/>
                    <w:rPr>
                      <w:color w:val="auto"/>
                      <w:szCs w:val="21"/>
                    </w:rPr>
                  </w:pPr>
                  <w:r>
                    <w:rPr>
                      <w:color w:val="auto"/>
                      <w:szCs w:val="21"/>
                    </w:rPr>
                    <w:t>62dB (A)</w:t>
                  </w:r>
                </w:p>
              </w:tc>
              <w:tc>
                <w:tcPr>
                  <w:tcW w:w="1142" w:type="pct"/>
                  <w:tcBorders>
                    <w:tl2br w:val="nil"/>
                    <w:tr2bl w:val="nil"/>
                  </w:tcBorders>
                  <w:vAlign w:val="center"/>
                </w:tcPr>
                <w:p w14:paraId="507E1DB3">
                  <w:pPr>
                    <w:spacing w:line="320" w:lineRule="exact"/>
                    <w:jc w:val="center"/>
                    <w:rPr>
                      <w:color w:val="auto"/>
                      <w:szCs w:val="21"/>
                    </w:rPr>
                  </w:pPr>
                  <w:r>
                    <w:rPr>
                      <w:color w:val="auto"/>
                      <w:szCs w:val="21"/>
                    </w:rPr>
                    <w:t>70dB (A)</w:t>
                  </w:r>
                </w:p>
              </w:tc>
              <w:tc>
                <w:tcPr>
                  <w:tcW w:w="1108" w:type="pct"/>
                  <w:tcBorders>
                    <w:tl2br w:val="nil"/>
                    <w:tr2bl w:val="nil"/>
                  </w:tcBorders>
                  <w:vAlign w:val="center"/>
                </w:tcPr>
                <w:p w14:paraId="11463DF6">
                  <w:pPr>
                    <w:spacing w:line="320" w:lineRule="exact"/>
                    <w:jc w:val="center"/>
                    <w:rPr>
                      <w:color w:val="auto"/>
                      <w:szCs w:val="21"/>
                    </w:rPr>
                  </w:pPr>
                  <w:r>
                    <w:rPr>
                      <w:color w:val="auto"/>
                      <w:szCs w:val="21"/>
                    </w:rPr>
                    <w:t>不超标</w:t>
                  </w:r>
                </w:p>
              </w:tc>
            </w:tr>
            <w:tr w14:paraId="38CD8E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5" w:hRule="atLeast"/>
                <w:jc w:val="center"/>
              </w:trPr>
              <w:tc>
                <w:tcPr>
                  <w:tcW w:w="5000" w:type="pct"/>
                  <w:gridSpan w:val="5"/>
                  <w:tcBorders>
                    <w:tl2br w:val="nil"/>
                    <w:tr2bl w:val="nil"/>
                  </w:tcBorders>
                  <w:vAlign w:val="center"/>
                </w:tcPr>
                <w:p w14:paraId="48106A5F">
                  <w:pPr>
                    <w:spacing w:line="320" w:lineRule="exact"/>
                    <w:jc w:val="left"/>
                    <w:rPr>
                      <w:color w:val="auto"/>
                      <w:szCs w:val="21"/>
                    </w:rPr>
                  </w:pPr>
                  <w:r>
                    <w:rPr>
                      <w:color w:val="auto"/>
                      <w:szCs w:val="21"/>
                    </w:rPr>
                    <w:t>注：上表中的预测结果只考虑了几何发散衰减，未考虑围挡隔声降噪。</w:t>
                  </w:r>
                </w:p>
              </w:tc>
            </w:tr>
          </w:tbl>
          <w:p w14:paraId="40ED76CB">
            <w:pPr>
              <w:adjustRightInd w:val="0"/>
              <w:snapToGrid w:val="0"/>
              <w:spacing w:line="360" w:lineRule="auto"/>
              <w:ind w:firstLine="480" w:firstLineChars="200"/>
              <w:rPr>
                <w:color w:val="auto"/>
                <w:sz w:val="24"/>
              </w:rPr>
            </w:pPr>
            <w:r>
              <w:rPr>
                <w:bCs/>
                <w:color w:val="auto"/>
                <w:sz w:val="24"/>
              </w:rPr>
              <w:t>施工场地往往是多种施工机械共同作业，因此，施工现场的噪声是各种不同施工机械的噪声以及进出施工现场的各种车辆引起的噪声的总和，</w:t>
            </w:r>
            <w:r>
              <w:rPr>
                <w:color w:val="auto"/>
                <w:sz w:val="24"/>
              </w:rPr>
              <w:t>根据施工现场特点，施工作业机械设施等产噪设备与施工场界的最小距离为20m，据此预测施工场界噪声排放值为74dB(A)，不满足《建筑施工场界噪声排放标准》（GB12523-20</w:t>
            </w:r>
            <w:r>
              <w:rPr>
                <w:rFonts w:hint="eastAsia"/>
                <w:color w:val="auto"/>
                <w:sz w:val="24"/>
              </w:rPr>
              <w:t>25</w:t>
            </w:r>
            <w:r>
              <w:rPr>
                <w:color w:val="auto"/>
                <w:sz w:val="24"/>
              </w:rPr>
              <w:t>）标准，超标量为4dB(A)，当距离超过40m后，施工场界噪声排放满足《建筑施工场界噪声排放标准》（GB12523-20</w:t>
            </w:r>
            <w:r>
              <w:rPr>
                <w:rFonts w:hint="eastAsia"/>
                <w:color w:val="auto"/>
                <w:sz w:val="24"/>
              </w:rPr>
              <w:t>25</w:t>
            </w:r>
            <w:r>
              <w:rPr>
                <w:color w:val="auto"/>
                <w:sz w:val="24"/>
              </w:rPr>
              <w:t>）标准。</w:t>
            </w:r>
          </w:p>
          <w:p w14:paraId="70F3156C">
            <w:pPr>
              <w:adjustRightInd w:val="0"/>
              <w:snapToGrid w:val="0"/>
              <w:spacing w:line="360" w:lineRule="auto"/>
              <w:ind w:firstLine="480" w:firstLineChars="200"/>
              <w:rPr>
                <w:color w:val="auto"/>
                <w:sz w:val="24"/>
              </w:rPr>
            </w:pPr>
            <w:r>
              <w:rPr>
                <w:color w:val="auto"/>
                <w:sz w:val="24"/>
              </w:rPr>
              <w:t>施工期间，如针对厂界进行围挡，隔声围挡的降噪效果一般在10dB（A）左右，采取措施后，场界噪声可满足《建筑施工场界噪声排放标准》（GB12523-20</w:t>
            </w:r>
            <w:r>
              <w:rPr>
                <w:rFonts w:hint="eastAsia"/>
                <w:color w:val="auto"/>
                <w:sz w:val="24"/>
              </w:rPr>
              <w:t>25</w:t>
            </w:r>
            <w:r>
              <w:rPr>
                <w:color w:val="auto"/>
                <w:sz w:val="24"/>
              </w:rPr>
              <w:t>）标准要求。</w:t>
            </w:r>
          </w:p>
          <w:p w14:paraId="3889BB9B">
            <w:pPr>
              <w:widowControl/>
              <w:spacing w:line="360" w:lineRule="auto"/>
              <w:ind w:firstLine="480" w:firstLineChars="200"/>
              <w:rPr>
                <w:bCs/>
                <w:color w:val="auto"/>
                <w:sz w:val="24"/>
              </w:rPr>
            </w:pPr>
            <w:r>
              <w:rPr>
                <w:bCs/>
                <w:color w:val="auto"/>
                <w:sz w:val="24"/>
              </w:rPr>
              <w:t>本项目属于</w:t>
            </w:r>
            <w:r>
              <w:rPr>
                <w:rFonts w:hint="eastAsia"/>
                <w:bCs/>
                <w:color w:val="auto"/>
                <w:sz w:val="24"/>
              </w:rPr>
              <w:t>防洪排涝</w:t>
            </w:r>
            <w:r>
              <w:rPr>
                <w:bCs/>
                <w:color w:val="auto"/>
                <w:sz w:val="24"/>
              </w:rPr>
              <w:t>项目，项目夜间不进行施工，运营期间无噪声产生。项目河道沿线两岸200m范围内的声环境保护目标较多，施工噪声会对距离较近的环境保护目标有一定的影响。拟建项目应采用低噪声机械、加强维护管理，合理地安排施工进度和时间，合理布局各种施工机械设备，高噪声设备布置远离居民住宅等环境敏感点，并且采取必要的噪声控制措施（如设置施工围挡等）；施工过程中采用科学的施工方法，严格控制施工作业范围及作业时间，禁止夜间施工，努力将施工噪声对周围环境的影响降至最小。同时，在采取降低车速、昼间行驶、减少鸣笛措施下，对沿线居民的影响可以接受。随着施工期结束后，噪声影响也将随之消除。</w:t>
            </w:r>
          </w:p>
          <w:p w14:paraId="16EF0E64">
            <w:pPr>
              <w:widowControl/>
              <w:spacing w:line="360" w:lineRule="auto"/>
              <w:ind w:left="105" w:leftChars="50" w:right="105" w:rightChars="50" w:firstLine="482" w:firstLineChars="200"/>
              <w:rPr>
                <w:b/>
                <w:bCs/>
                <w:color w:val="auto"/>
                <w:sz w:val="24"/>
              </w:rPr>
            </w:pPr>
            <w:r>
              <w:rPr>
                <w:b/>
                <w:bCs/>
                <w:color w:val="auto"/>
                <w:sz w:val="24"/>
              </w:rPr>
              <w:t>（四）固体废物</w:t>
            </w:r>
          </w:p>
          <w:p w14:paraId="6C07C713">
            <w:pPr>
              <w:widowControl/>
              <w:spacing w:line="360" w:lineRule="auto"/>
              <w:ind w:firstLine="480" w:firstLineChars="200"/>
              <w:rPr>
                <w:color w:val="auto"/>
                <w:kern w:val="0"/>
                <w:sz w:val="24"/>
                <w:lang w:bidi="ar"/>
              </w:rPr>
            </w:pPr>
            <w:r>
              <w:rPr>
                <w:color w:val="auto"/>
                <w:kern w:val="0"/>
                <w:sz w:val="24"/>
                <w:lang w:bidi="ar"/>
              </w:rPr>
              <w:t>施工期固体废物主要是建筑垃圾、</w:t>
            </w:r>
            <w:r>
              <w:rPr>
                <w:color w:val="auto"/>
                <w:spacing w:val="9"/>
                <w:sz w:val="24"/>
              </w:rPr>
              <w:t>施工弃方和淤泥</w:t>
            </w:r>
            <w:r>
              <w:rPr>
                <w:rFonts w:hint="eastAsia"/>
                <w:color w:val="auto"/>
                <w:spacing w:val="9"/>
                <w:sz w:val="24"/>
                <w:lang w:eastAsia="zh-CN"/>
              </w:rPr>
              <w:t>、</w:t>
            </w:r>
            <w:r>
              <w:rPr>
                <w:color w:val="auto"/>
                <w:kern w:val="0"/>
                <w:sz w:val="24"/>
                <w:lang w:bidi="ar"/>
              </w:rPr>
              <w:t>河道垃圾、施工人员生活垃圾</w:t>
            </w:r>
            <w:r>
              <w:rPr>
                <w:rFonts w:hint="eastAsia"/>
                <w:color w:val="auto"/>
                <w:kern w:val="0"/>
                <w:sz w:val="24"/>
                <w:lang w:eastAsia="zh-CN" w:bidi="ar"/>
              </w:rPr>
              <w:t>、隔油池浮油</w:t>
            </w:r>
            <w:r>
              <w:rPr>
                <w:color w:val="auto"/>
                <w:kern w:val="0"/>
                <w:sz w:val="24"/>
                <w:lang w:bidi="ar"/>
              </w:rPr>
              <w:t>。</w:t>
            </w:r>
          </w:p>
          <w:p w14:paraId="016D1F50">
            <w:pPr>
              <w:spacing w:line="360" w:lineRule="auto"/>
              <w:ind w:firstLine="508"/>
              <w:rPr>
                <w:color w:val="auto"/>
                <w:spacing w:val="9"/>
                <w:sz w:val="24"/>
              </w:rPr>
            </w:pPr>
            <w:r>
              <w:rPr>
                <w:color w:val="auto"/>
                <w:spacing w:val="9"/>
                <w:sz w:val="24"/>
              </w:rPr>
              <w:t>1、建筑垃圾</w:t>
            </w:r>
          </w:p>
          <w:p w14:paraId="5256F9D5">
            <w:pPr>
              <w:spacing w:line="360" w:lineRule="auto"/>
              <w:ind w:firstLine="508"/>
              <w:rPr>
                <w:color w:val="auto"/>
                <w:spacing w:val="9"/>
                <w:sz w:val="24"/>
              </w:rPr>
            </w:pPr>
            <w:r>
              <w:rPr>
                <w:color w:val="auto"/>
                <w:spacing w:val="9"/>
                <w:sz w:val="24"/>
              </w:rPr>
              <w:t>建筑垃圾主要包括施工过程中的砂石、混凝土、废砖、临时建筑物的拆迁产生的废砼及废砖石等。根据新建建筑物工程按照0.05t/m</w:t>
            </w:r>
            <w:r>
              <w:rPr>
                <w:color w:val="auto"/>
                <w:spacing w:val="9"/>
                <w:sz w:val="24"/>
                <w:vertAlign w:val="superscript"/>
              </w:rPr>
              <w:t>2</w:t>
            </w:r>
            <w:r>
              <w:rPr>
                <w:color w:val="auto"/>
                <w:spacing w:val="9"/>
                <w:sz w:val="24"/>
              </w:rPr>
              <w:t>计算，工程共产生建筑垃圾约470t。本工程产生的建筑垃圾中无有毒、有害、腐蚀性、放射性、易燃、易爆危险品等严重污染环境的物质。但建筑垃圾及各种杂物堆放在施工区，影响施工区环境卫生，且影响周边空气质量，破坏景观等不利影响，如不及时外运，影响工程施工和周边农业生态环境，</w:t>
            </w:r>
            <w:r>
              <w:rPr>
                <w:rFonts w:hint="eastAsia"/>
                <w:color w:val="auto"/>
                <w:spacing w:val="9"/>
                <w:sz w:val="24"/>
              </w:rPr>
              <w:t>因此</w:t>
            </w:r>
            <w:r>
              <w:rPr>
                <w:color w:val="auto"/>
                <w:spacing w:val="9"/>
                <w:sz w:val="24"/>
              </w:rPr>
              <w:t>建筑垃圾按照环卫部门的规定进行利用或者处置</w:t>
            </w:r>
            <w:r>
              <w:rPr>
                <w:rFonts w:hint="eastAsia"/>
                <w:color w:val="auto"/>
                <w:spacing w:val="9"/>
                <w:sz w:val="24"/>
              </w:rPr>
              <w:t>后</w:t>
            </w:r>
            <w:r>
              <w:rPr>
                <w:color w:val="auto"/>
                <w:spacing w:val="9"/>
                <w:sz w:val="24"/>
              </w:rPr>
              <w:t>并不会对环境产生不利影响。</w:t>
            </w:r>
          </w:p>
          <w:p w14:paraId="6DBB3BF1">
            <w:pPr>
              <w:spacing w:line="360" w:lineRule="auto"/>
              <w:ind w:left="525" w:leftChars="250"/>
              <w:rPr>
                <w:color w:val="auto"/>
                <w:spacing w:val="9"/>
                <w:sz w:val="24"/>
              </w:rPr>
            </w:pPr>
            <w:r>
              <w:rPr>
                <w:color w:val="auto"/>
                <w:spacing w:val="9"/>
                <w:sz w:val="24"/>
              </w:rPr>
              <w:t>2、施工弃方和淤泥</w:t>
            </w:r>
          </w:p>
          <w:p w14:paraId="048A2962">
            <w:pPr>
              <w:spacing w:line="360" w:lineRule="auto"/>
              <w:ind w:firstLine="516" w:firstLineChars="200"/>
              <w:rPr>
                <w:rFonts w:ascii="Times New Roman" w:hAnsi="Times New Roman" w:eastAsia="宋体" w:cs="Times New Roman"/>
                <w:color w:val="auto"/>
                <w:sz w:val="24"/>
              </w:rPr>
            </w:pPr>
            <w:r>
              <w:rPr>
                <w:color w:val="auto"/>
                <w:spacing w:val="9"/>
                <w:sz w:val="24"/>
              </w:rPr>
              <w:t>本项目在河道开挖土方和清挖产生的淤泥，土方和污泥属于一般固体废物，产生量为</w:t>
            </w:r>
            <w:r>
              <w:rPr>
                <w:rFonts w:hint="eastAsia"/>
                <w:color w:val="auto"/>
                <w:spacing w:val="9"/>
                <w:sz w:val="24"/>
              </w:rPr>
              <w:t>22.612</w:t>
            </w:r>
            <w:r>
              <w:rPr>
                <w:color w:val="auto"/>
                <w:spacing w:val="9"/>
                <w:sz w:val="24"/>
              </w:rPr>
              <w:t>万m</w:t>
            </w:r>
            <w:r>
              <w:rPr>
                <w:color w:val="auto"/>
                <w:spacing w:val="9"/>
                <w:sz w:val="24"/>
                <w:vertAlign w:val="superscript"/>
              </w:rPr>
              <w:t>3</w:t>
            </w:r>
            <w:r>
              <w:rPr>
                <w:color w:val="auto"/>
                <w:spacing w:val="9"/>
                <w:sz w:val="24"/>
              </w:rPr>
              <w:t>，</w:t>
            </w:r>
            <w:r>
              <w:rPr>
                <w:color w:val="auto"/>
                <w:sz w:val="24"/>
              </w:rPr>
              <w:t>根据设计资料，工程剩余土</w:t>
            </w:r>
            <w:r>
              <w:rPr>
                <w:rFonts w:hint="eastAsia"/>
                <w:color w:val="auto"/>
                <w:sz w:val="24"/>
              </w:rPr>
              <w:t>临时</w:t>
            </w:r>
            <w:r>
              <w:rPr>
                <w:color w:val="auto"/>
                <w:sz w:val="24"/>
              </w:rPr>
              <w:t>就近堆放于河（渠）道两侧，</w:t>
            </w:r>
            <w:r>
              <w:rPr>
                <w:rFonts w:hint="eastAsia"/>
                <w:color w:val="auto"/>
                <w:sz w:val="24"/>
              </w:rPr>
              <w:t>定期清运，优先用于修路、园林、农田土壤的改良和土地复垦，其余可以用于区域周边低洼处填</w:t>
            </w:r>
            <w:r>
              <w:rPr>
                <w:rFonts w:hint="eastAsia" w:ascii="Times New Roman" w:hAnsi="Times New Roman" w:eastAsia="宋体" w:cs="Times New Roman"/>
                <w:color w:val="auto"/>
                <w:sz w:val="24"/>
              </w:rPr>
              <w:t>平、建筑材料等无害化、减量化综合利用。</w:t>
            </w:r>
          </w:p>
          <w:p w14:paraId="49B2C836">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淤泥堆存：</w:t>
            </w:r>
          </w:p>
          <w:p w14:paraId="637BDFC1">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清理产生的淤泥，沿岸临时堆放晾晒后，优先用于园林、农田土壤的改良和土地复垦，其余可以用于区域周边低洼处填平、建筑材料等无害化、减量化综合利用。</w:t>
            </w:r>
          </w:p>
          <w:p w14:paraId="5289457B">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本评价对淤泥临时堆场提出如下环保要求:</w:t>
            </w:r>
          </w:p>
          <w:p w14:paraId="29F5A41D">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淤泥临时堆场四周修建堡坎和排水沟，雨天进行遮盖，防止雨天淤泥外泄以及逸散，同时可以降低水土流失，减少防止洪水、暴雨对堆场造成冲击;非雨季适当对淤泥堆场进行覆盖，以降低粉尘产生、水土流失。</w:t>
            </w:r>
          </w:p>
          <w:p w14:paraId="29A3EAB1">
            <w:pPr>
              <w:spacing w:line="360" w:lineRule="auto"/>
              <w:ind w:left="525" w:leftChars="250"/>
              <w:rPr>
                <w:color w:val="auto"/>
                <w:spacing w:val="9"/>
                <w:sz w:val="24"/>
              </w:rPr>
            </w:pPr>
            <w:r>
              <w:rPr>
                <w:color w:val="auto"/>
                <w:spacing w:val="9"/>
                <w:sz w:val="24"/>
              </w:rPr>
              <w:t>3、生活垃圾</w:t>
            </w:r>
          </w:p>
          <w:p w14:paraId="106F5C60">
            <w:pPr>
              <w:spacing w:line="360" w:lineRule="auto"/>
              <w:ind w:firstLine="508"/>
              <w:rPr>
                <w:color w:val="auto"/>
                <w:spacing w:val="9"/>
                <w:sz w:val="24"/>
              </w:rPr>
            </w:pPr>
            <w:r>
              <w:rPr>
                <w:color w:val="auto"/>
                <w:spacing w:val="9"/>
                <w:sz w:val="24"/>
              </w:rPr>
              <w:t>本工程施工高峰期工人人数约为50人，按每人每天产生0.8kg生活垃圾估算，工程施工期生活垃圾最大产生量为14.6t/a。生活垃圾如随意弃置，不仅污染生活区空气、有碍美观，而且在一定气候条件下可能造成蚊蝇孳生、鼠类繁殖，增加疾病的传播机会，直接影响施工人员身体健康，对工程建设产生不利影响。此外，生活垃圾的各种有机污染物和病菌一旦随地表径流或经其它途径进入河流水体，也将对施工河段水质造成污染，影响周围环境。在施工营地和人员较集中的地方设置垃圾桶收集生活垃圾，收集后交由环卫部门统一清运，可有效控制生活垃圾对环境和施工人员的健康产生不利影响。</w:t>
            </w:r>
          </w:p>
          <w:p w14:paraId="1B377AB6">
            <w:pPr>
              <w:spacing w:line="360" w:lineRule="auto"/>
              <w:ind w:firstLine="508"/>
              <w:rPr>
                <w:color w:val="auto"/>
                <w:spacing w:val="9"/>
                <w:sz w:val="24"/>
              </w:rPr>
            </w:pPr>
            <w:r>
              <w:rPr>
                <w:color w:val="auto"/>
                <w:spacing w:val="9"/>
                <w:sz w:val="24"/>
              </w:rPr>
              <w:t>4、河道垃圾</w:t>
            </w:r>
          </w:p>
          <w:p w14:paraId="3A6B558F">
            <w:pPr>
              <w:spacing w:line="360" w:lineRule="auto"/>
              <w:ind w:firstLine="508"/>
              <w:rPr>
                <w:color w:val="auto"/>
                <w:spacing w:val="9"/>
                <w:sz w:val="24"/>
              </w:rPr>
            </w:pPr>
            <w:r>
              <w:rPr>
                <w:color w:val="auto"/>
                <w:spacing w:val="9"/>
                <w:sz w:val="24"/>
              </w:rPr>
              <w:t>本项目河道综合整治会产生少量河道垃圾（本次定性不定量分析），主要为塑料袋、饮料瓶、杂草等，统一收集后交由环卫部门处理。</w:t>
            </w:r>
          </w:p>
          <w:p w14:paraId="1730032E">
            <w:pPr>
              <w:spacing w:line="360" w:lineRule="auto"/>
              <w:ind w:firstLine="480" w:firstLineChars="200"/>
              <w:jc w:val="both"/>
              <w:rPr>
                <w:rFonts w:hint="default" w:ascii="Times New Roman" w:hAnsi="Times New Roman" w:eastAsia="宋体" w:cs="Times New Roman"/>
                <w:color w:val="auto"/>
                <w:spacing w:val="9"/>
                <w:sz w:val="24"/>
                <w:lang w:val="en-US" w:eastAsia="zh-CN"/>
              </w:rPr>
            </w:pPr>
            <w:r>
              <w:rPr>
                <w:rFonts w:hint="eastAsia" w:ascii="Times New Roman" w:hAnsi="Times New Roman" w:eastAsia="宋体" w:cs="Times New Roman"/>
                <w:b w:val="0"/>
                <w:bCs/>
                <w:color w:val="auto"/>
                <w:sz w:val="24"/>
                <w:szCs w:val="24"/>
                <w:lang w:val="en-US" w:eastAsia="zh-CN"/>
              </w:rPr>
              <w:t>5、</w:t>
            </w:r>
            <w:r>
              <w:rPr>
                <w:rFonts w:hint="default" w:ascii="Times New Roman" w:hAnsi="Times New Roman" w:eastAsia="宋体" w:cs="Times New Roman"/>
                <w:color w:val="auto"/>
                <w:spacing w:val="9"/>
                <w:sz w:val="24"/>
              </w:rPr>
              <w:t>隔油池浮油</w:t>
            </w:r>
          </w:p>
          <w:p w14:paraId="67724A94">
            <w:pPr>
              <w:keepNext w:val="0"/>
              <w:keepLines w:val="0"/>
              <w:suppressLineNumbers w:val="0"/>
              <w:spacing w:before="0" w:beforeAutospacing="0" w:after="0" w:afterAutospacing="0" w:line="360" w:lineRule="auto"/>
              <w:ind w:left="0" w:right="0" w:firstLine="508"/>
              <w:rPr>
                <w:rFonts w:hint="default" w:ascii="Times New Roman" w:hAnsi="Times New Roman" w:eastAsia="宋体" w:cs="Times New Roman"/>
                <w:color w:val="auto"/>
                <w:spacing w:val="9"/>
                <w:sz w:val="24"/>
              </w:rPr>
            </w:pPr>
            <w:r>
              <w:rPr>
                <w:rFonts w:hint="default" w:ascii="Times New Roman" w:hAnsi="Times New Roman" w:eastAsia="宋体" w:cs="Times New Roman"/>
                <w:color w:val="auto"/>
                <w:spacing w:val="9"/>
                <w:sz w:val="24"/>
              </w:rPr>
              <w:t>项目</w:t>
            </w:r>
            <w:r>
              <w:rPr>
                <w:rFonts w:hint="default" w:ascii="Times New Roman" w:hAnsi="Times New Roman" w:eastAsia="宋体" w:cs="Times New Roman"/>
                <w:color w:val="auto"/>
                <w:spacing w:val="9"/>
                <w:sz w:val="24"/>
                <w:highlight w:val="none"/>
              </w:rPr>
              <w:t>施工机械</w:t>
            </w:r>
            <w:r>
              <w:rPr>
                <w:rFonts w:hint="eastAsia" w:ascii="Times New Roman" w:hAnsi="Times New Roman" w:eastAsia="宋体" w:cs="Times New Roman"/>
                <w:color w:val="auto"/>
                <w:spacing w:val="9"/>
                <w:sz w:val="24"/>
                <w:highlight w:val="none"/>
                <w:lang w:eastAsia="zh-CN"/>
              </w:rPr>
              <w:t>、车辆</w:t>
            </w:r>
            <w:r>
              <w:rPr>
                <w:rFonts w:hint="default" w:ascii="Times New Roman" w:hAnsi="Times New Roman" w:eastAsia="宋体" w:cs="Times New Roman"/>
                <w:color w:val="auto"/>
                <w:spacing w:val="9"/>
                <w:sz w:val="24"/>
                <w:highlight w:val="none"/>
              </w:rPr>
              <w:t>清洗设置隔油</w:t>
            </w:r>
            <w:r>
              <w:rPr>
                <w:rFonts w:hint="eastAsia" w:ascii="Times New Roman" w:hAnsi="Times New Roman" w:eastAsia="宋体" w:cs="Times New Roman"/>
                <w:color w:val="auto"/>
                <w:spacing w:val="9"/>
                <w:sz w:val="24"/>
                <w:highlight w:val="none"/>
                <w:lang w:eastAsia="zh-CN"/>
              </w:rPr>
              <w:t>沉淀</w:t>
            </w:r>
            <w:r>
              <w:rPr>
                <w:rFonts w:hint="default" w:ascii="Times New Roman" w:hAnsi="Times New Roman" w:eastAsia="宋体" w:cs="Times New Roman"/>
                <w:color w:val="auto"/>
                <w:spacing w:val="9"/>
                <w:sz w:val="24"/>
                <w:highlight w:val="none"/>
              </w:rPr>
              <w:t>池，含油废水经隔油后会产生浮油，产生量约为0.0</w:t>
            </w:r>
            <w:r>
              <w:rPr>
                <w:rFonts w:hint="default" w:ascii="Times New Roman" w:hAnsi="Times New Roman" w:eastAsia="宋体" w:cs="Times New Roman"/>
                <w:color w:val="auto"/>
                <w:spacing w:val="9"/>
                <w:sz w:val="24"/>
                <w:highlight w:val="none"/>
                <w:lang w:val="en-US" w:eastAsia="zh-CN"/>
              </w:rPr>
              <w:t>1</w:t>
            </w:r>
            <w:r>
              <w:rPr>
                <w:rFonts w:hint="default" w:ascii="Times New Roman" w:hAnsi="Times New Roman" w:eastAsia="宋体" w:cs="Times New Roman"/>
                <w:color w:val="auto"/>
                <w:spacing w:val="9"/>
                <w:sz w:val="24"/>
                <w:highlight w:val="none"/>
              </w:rPr>
              <w:t>t，属于</w:t>
            </w:r>
            <w:r>
              <w:rPr>
                <w:rFonts w:hint="default" w:ascii="Times New Roman" w:hAnsi="Times New Roman" w:eastAsia="宋体" w:cs="Times New Roman"/>
                <w:color w:val="auto"/>
                <w:spacing w:val="9"/>
                <w:sz w:val="24"/>
              </w:rPr>
              <w:t>危险废物。根据《</w:t>
            </w:r>
            <w:r>
              <w:rPr>
                <w:rFonts w:hint="eastAsia" w:ascii="Times New Roman" w:hAnsi="Times New Roman" w:eastAsia="宋体" w:cs="Times New Roman"/>
                <w:color w:val="auto"/>
                <w:spacing w:val="9"/>
                <w:sz w:val="24"/>
                <w:lang w:eastAsia="zh-CN"/>
              </w:rPr>
              <w:t>国家</w:t>
            </w:r>
            <w:r>
              <w:rPr>
                <w:rFonts w:hint="default" w:ascii="Times New Roman" w:hAnsi="Times New Roman" w:eastAsia="宋体" w:cs="Times New Roman"/>
                <w:color w:val="auto"/>
                <w:spacing w:val="9"/>
                <w:sz w:val="24"/>
              </w:rPr>
              <w:t>危险废物名录》（202</w:t>
            </w:r>
            <w:r>
              <w:rPr>
                <w:rFonts w:hint="eastAsia" w:ascii="Times New Roman" w:hAnsi="Times New Roman" w:eastAsia="宋体" w:cs="Times New Roman"/>
                <w:color w:val="auto"/>
                <w:spacing w:val="9"/>
                <w:sz w:val="24"/>
                <w:lang w:val="en-US" w:eastAsia="zh-CN"/>
              </w:rPr>
              <w:t>5</w:t>
            </w:r>
            <w:r>
              <w:rPr>
                <w:rFonts w:hint="default" w:ascii="Times New Roman" w:hAnsi="Times New Roman" w:eastAsia="宋体" w:cs="Times New Roman"/>
                <w:color w:val="auto"/>
                <w:spacing w:val="9"/>
                <w:sz w:val="24"/>
              </w:rPr>
              <w:t>版）：浮油属于“含油废水处理中隔油、气浮、沉淀等处理过程中产生的浮油、浮渣和污泥（不包括废水生化处理污泥）”，废物类别为HW08废矿物油与含矿物油废物，废物代码：900-210-08，危险特性：T，I，收集暂存于危废暂存间，待施工结束后交由资质单位妥善处理。</w:t>
            </w:r>
          </w:p>
          <w:p w14:paraId="26EBAA37">
            <w:pPr>
              <w:keepNext w:val="0"/>
              <w:keepLines w:val="0"/>
              <w:suppressLineNumbers w:val="0"/>
              <w:adjustRightInd w:val="0"/>
              <w:snapToGrid w:val="0"/>
              <w:spacing w:before="0" w:beforeAutospacing="0" w:after="0" w:afterAutospacing="0" w:line="360" w:lineRule="auto"/>
              <w:ind w:left="0" w:right="0" w:firstLine="516"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pacing w:val="9"/>
                <w:sz w:val="24"/>
                <w:lang w:eastAsia="zh-CN"/>
              </w:rPr>
              <w:t>项目</w:t>
            </w:r>
            <w:r>
              <w:rPr>
                <w:rFonts w:hint="default" w:ascii="Times New Roman" w:hAnsi="Times New Roman" w:eastAsia="宋体" w:cs="Times New Roman"/>
                <w:bCs/>
                <w:color w:val="auto"/>
                <w:sz w:val="24"/>
              </w:rPr>
              <w:t>危险废物收集、贮存执行《危险废物贮存污染控制标准》（GB18597-2023），转移按照《危险废物转移管理办法》（2022年1月1日）执行</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根据《危险废物贮存污染控制标准》（GB18597-2023），贮存点应满足以下要求：</w:t>
            </w:r>
          </w:p>
          <w:p w14:paraId="35D6890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8.3.1应具有固定的区域边界，并应采取与其他区域进行隔离的措施。8.3.2贮存点应采取防风、防雨、防晒和防止危险废物流失、扬散等措施。8.3.3贮存点贮存的危险废物应置于容器或包装物中，不应直接散堆。8.3.4贮存点应根据危险废物的形态、物理化学性质、包装形式等，采取防渗、防漏等污染防治措施或采用具有相应功能的装置。8.3.5贮存点应及时清运贮存的危险废物，实时贮存量不应超过3吨。贮存设施或场所、容器和包装物应按HJ1276要求设置危险废物贮存设施或场所标志、危险废物贮存分区标志和危险废物标签等危险废物识别标志。”</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危险废物转移严格按照《危险废物转移管理办法》（2022年1月1日）执行，危险废物定期由有资质单位负责转运处理，企业不得私自转运。</w:t>
            </w:r>
          </w:p>
          <w:p w14:paraId="7E25052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Cs/>
                <w:color w:val="auto"/>
                <w:sz w:val="24"/>
              </w:rPr>
              <w:t>本项</w:t>
            </w:r>
            <w:r>
              <w:rPr>
                <w:rFonts w:hint="default" w:ascii="Times New Roman" w:hAnsi="Times New Roman" w:eastAsia="宋体" w:cs="Times New Roman"/>
                <w:bCs/>
                <w:color w:val="auto"/>
                <w:sz w:val="24"/>
                <w:highlight w:val="none"/>
              </w:rPr>
              <w:t>目拟</w:t>
            </w:r>
            <w:r>
              <w:rPr>
                <w:rFonts w:hint="default" w:ascii="Times New Roman" w:hAnsi="Times New Roman" w:eastAsia="宋体" w:cs="Times New Roman"/>
                <w:bCs/>
                <w:color w:val="auto"/>
                <w:sz w:val="24"/>
                <w:highlight w:val="none"/>
                <w:lang w:eastAsia="zh-CN"/>
              </w:rPr>
              <w:t>在</w:t>
            </w:r>
            <w:r>
              <w:rPr>
                <w:rFonts w:hint="eastAsia" w:ascii="Times New Roman" w:hAnsi="Times New Roman" w:eastAsia="宋体" w:cs="Times New Roman"/>
                <w:bCs/>
                <w:color w:val="auto"/>
                <w:sz w:val="24"/>
                <w:highlight w:val="none"/>
                <w:lang w:eastAsia="zh-CN"/>
              </w:rPr>
              <w:t>每个施工区设备停放区各设一座</w:t>
            </w:r>
            <w:r>
              <w:rPr>
                <w:rFonts w:hint="default" w:ascii="Times New Roman" w:hAnsi="Times New Roman" w:eastAsia="宋体" w:cs="Times New Roman"/>
                <w:bCs/>
                <w:color w:val="auto"/>
                <w:sz w:val="24"/>
                <w:highlight w:val="none"/>
              </w:rPr>
              <w:t>危废间，危废</w:t>
            </w:r>
            <w:r>
              <w:rPr>
                <w:rFonts w:hint="default" w:ascii="Times New Roman" w:hAnsi="Times New Roman" w:eastAsia="宋体" w:cs="Times New Roman"/>
                <w:bCs/>
                <w:color w:val="auto"/>
                <w:sz w:val="24"/>
                <w:highlight w:val="none"/>
                <w:lang w:eastAsia="zh-CN"/>
              </w:rPr>
              <w:t>暂</w:t>
            </w:r>
            <w:r>
              <w:rPr>
                <w:rFonts w:hint="default" w:ascii="Times New Roman" w:hAnsi="Times New Roman" w:eastAsia="宋体" w:cs="Times New Roman"/>
                <w:bCs/>
                <w:color w:val="auto"/>
                <w:sz w:val="24"/>
                <w:lang w:eastAsia="zh-CN"/>
              </w:rPr>
              <w:t>存</w:t>
            </w:r>
            <w:r>
              <w:rPr>
                <w:rFonts w:hint="default" w:ascii="Times New Roman" w:hAnsi="Times New Roman" w:eastAsia="宋体" w:cs="Times New Roman"/>
                <w:bCs/>
                <w:color w:val="auto"/>
                <w:sz w:val="24"/>
              </w:rPr>
              <w:t>间面积为</w:t>
            </w:r>
            <w:r>
              <w:rPr>
                <w:rFonts w:hint="default" w:ascii="Times New Roman" w:hAnsi="Times New Roman" w:eastAsia="宋体" w:cs="Times New Roman"/>
                <w:bCs/>
                <w:color w:val="auto"/>
                <w:sz w:val="24"/>
                <w:lang w:val="en-US" w:eastAsia="zh-CN"/>
              </w:rPr>
              <w:t>5</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2</w:t>
            </w:r>
            <w:r>
              <w:rPr>
                <w:rFonts w:hint="default" w:ascii="Times New Roman" w:hAnsi="Times New Roman" w:eastAsia="宋体" w:cs="Times New Roman"/>
                <w:bCs/>
                <w:color w:val="auto"/>
                <w:sz w:val="24"/>
              </w:rPr>
              <w:t>，根据危险废物的性质，对危险废物的暂存进行分区设置。</w:t>
            </w:r>
          </w:p>
          <w:p w14:paraId="10261CEA">
            <w:pPr>
              <w:keepNext w:val="0"/>
              <w:keepLines w:val="0"/>
              <w:suppressLineNumbers w:val="0"/>
              <w:spacing w:before="0" w:beforeAutospacing="0" w:after="0" w:afterAutospacing="0"/>
              <w:ind w:left="0" w:right="0" w:firstLine="422" w:firstLineChars="20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表4-</w:t>
            </w:r>
            <w:r>
              <w:rPr>
                <w:rFonts w:hint="eastAsia" w:cs="Times New Roman"/>
                <w:b/>
                <w:bCs/>
                <w:color w:val="auto"/>
                <w:szCs w:val="21"/>
                <w:lang w:val="en-US" w:eastAsia="zh-CN"/>
              </w:rPr>
              <w:t>7</w:t>
            </w:r>
            <w:r>
              <w:rPr>
                <w:rFonts w:hint="default" w:ascii="Times New Roman" w:hAnsi="Times New Roman" w:eastAsia="宋体" w:cs="Times New Roman"/>
                <w:b/>
                <w:bCs/>
                <w:color w:val="auto"/>
                <w:szCs w:val="21"/>
              </w:rPr>
              <w:t xml:space="preserve">  项目危险废物产生及处置情况汇总表</w:t>
            </w:r>
          </w:p>
          <w:tbl>
            <w:tblPr>
              <w:tblStyle w:val="2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865"/>
              <w:gridCol w:w="869"/>
              <w:gridCol w:w="1218"/>
              <w:gridCol w:w="845"/>
              <w:gridCol w:w="1169"/>
              <w:gridCol w:w="633"/>
              <w:gridCol w:w="763"/>
              <w:gridCol w:w="894"/>
              <w:gridCol w:w="691"/>
              <w:gridCol w:w="719"/>
            </w:tblGrid>
            <w:tr w14:paraId="758E3F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56" w:type="pct"/>
                  <w:noWrap w:val="0"/>
                  <w:vAlign w:val="center"/>
                </w:tcPr>
                <w:p w14:paraId="0830FFC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473" w:type="pct"/>
                  <w:noWrap w:val="0"/>
                  <w:vAlign w:val="center"/>
                </w:tcPr>
                <w:p w14:paraId="034933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危险废物名称</w:t>
                  </w:r>
                </w:p>
              </w:tc>
              <w:tc>
                <w:tcPr>
                  <w:tcW w:w="475" w:type="pct"/>
                  <w:noWrap w:val="0"/>
                  <w:vAlign w:val="center"/>
                </w:tcPr>
                <w:p w14:paraId="164F3AE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危险废物类别</w:t>
                  </w:r>
                </w:p>
              </w:tc>
              <w:tc>
                <w:tcPr>
                  <w:tcW w:w="666" w:type="pct"/>
                  <w:noWrap w:val="0"/>
                  <w:vAlign w:val="center"/>
                </w:tcPr>
                <w:p w14:paraId="312B879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危险废物代码</w:t>
                  </w:r>
                </w:p>
              </w:tc>
              <w:tc>
                <w:tcPr>
                  <w:tcW w:w="462" w:type="pct"/>
                  <w:noWrap w:val="0"/>
                  <w:vAlign w:val="center"/>
                </w:tcPr>
                <w:p w14:paraId="5DF8A4C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产生量t</w:t>
                  </w:r>
                  <w:r>
                    <w:rPr>
                      <w:rFonts w:hint="default" w:ascii="Times New Roman" w:hAnsi="Times New Roman" w:eastAsia="宋体" w:cs="Times New Roman"/>
                      <w:color w:val="auto"/>
                      <w:szCs w:val="21"/>
                      <w:highlight w:val="none"/>
                      <w:lang w:val="en-US" w:eastAsia="zh-CN"/>
                    </w:rPr>
                    <w:t>/a</w:t>
                  </w:r>
                </w:p>
              </w:tc>
              <w:tc>
                <w:tcPr>
                  <w:tcW w:w="639" w:type="pct"/>
                  <w:noWrap w:val="0"/>
                  <w:vAlign w:val="center"/>
                </w:tcPr>
                <w:p w14:paraId="4A450A8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产生工序及装置</w:t>
                  </w:r>
                </w:p>
              </w:tc>
              <w:tc>
                <w:tcPr>
                  <w:tcW w:w="346" w:type="pct"/>
                  <w:noWrap w:val="0"/>
                  <w:vAlign w:val="center"/>
                </w:tcPr>
                <w:p w14:paraId="2F2D40E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形态</w:t>
                  </w:r>
                </w:p>
              </w:tc>
              <w:tc>
                <w:tcPr>
                  <w:tcW w:w="417" w:type="pct"/>
                  <w:noWrap w:val="0"/>
                  <w:vAlign w:val="center"/>
                </w:tcPr>
                <w:p w14:paraId="0E4943D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主要成分</w:t>
                  </w:r>
                </w:p>
              </w:tc>
              <w:tc>
                <w:tcPr>
                  <w:tcW w:w="489" w:type="pct"/>
                  <w:noWrap w:val="0"/>
                  <w:vAlign w:val="center"/>
                </w:tcPr>
                <w:p w14:paraId="4B5A5AB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有害</w:t>
                  </w:r>
                </w:p>
                <w:p w14:paraId="0B649B5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成分</w:t>
                  </w:r>
                </w:p>
              </w:tc>
              <w:tc>
                <w:tcPr>
                  <w:tcW w:w="378" w:type="pct"/>
                  <w:noWrap w:val="0"/>
                  <w:vAlign w:val="center"/>
                </w:tcPr>
                <w:p w14:paraId="78D69AD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产废周期</w:t>
                  </w:r>
                </w:p>
              </w:tc>
              <w:tc>
                <w:tcPr>
                  <w:tcW w:w="393" w:type="pct"/>
                  <w:noWrap w:val="0"/>
                  <w:vAlign w:val="center"/>
                </w:tcPr>
                <w:p w14:paraId="653269B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w:t>
                  </w:r>
                </w:p>
                <w:p w14:paraId="43B750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特性</w:t>
                  </w:r>
                </w:p>
              </w:tc>
            </w:tr>
            <w:tr w14:paraId="0F40E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256" w:type="pct"/>
                  <w:noWrap w:val="0"/>
                  <w:vAlign w:val="center"/>
                </w:tcPr>
                <w:p w14:paraId="409BA6F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473" w:type="pct"/>
                  <w:noWrap w:val="0"/>
                  <w:vAlign w:val="center"/>
                </w:tcPr>
                <w:p w14:paraId="628888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浮油</w:t>
                  </w:r>
                </w:p>
              </w:tc>
              <w:tc>
                <w:tcPr>
                  <w:tcW w:w="475" w:type="pct"/>
                  <w:noWrap w:val="0"/>
                  <w:vAlign w:val="center"/>
                </w:tcPr>
                <w:p w14:paraId="32E4A1B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HW08</w:t>
                  </w:r>
                </w:p>
              </w:tc>
              <w:tc>
                <w:tcPr>
                  <w:tcW w:w="666" w:type="pct"/>
                  <w:noWrap w:val="0"/>
                  <w:vAlign w:val="center"/>
                </w:tcPr>
                <w:p w14:paraId="30F5AFC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bidi="ar"/>
                    </w:rPr>
                    <w:t>900-210-08</w:t>
                  </w:r>
                </w:p>
              </w:tc>
              <w:tc>
                <w:tcPr>
                  <w:tcW w:w="462" w:type="pct"/>
                  <w:noWrap w:val="0"/>
                  <w:vAlign w:val="center"/>
                </w:tcPr>
                <w:p w14:paraId="1423257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0.01</w:t>
                  </w:r>
                </w:p>
              </w:tc>
              <w:tc>
                <w:tcPr>
                  <w:tcW w:w="639" w:type="pct"/>
                  <w:noWrap w:val="0"/>
                  <w:vAlign w:val="center"/>
                </w:tcPr>
                <w:p w14:paraId="22BBE84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w:t>
                  </w:r>
                </w:p>
                <w:p w14:paraId="79A43F2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处理</w:t>
                  </w:r>
                </w:p>
              </w:tc>
              <w:tc>
                <w:tcPr>
                  <w:tcW w:w="346" w:type="pct"/>
                  <w:noWrap w:val="0"/>
                  <w:vAlign w:val="center"/>
                </w:tcPr>
                <w:p w14:paraId="657FDAD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桶装液体</w:t>
                  </w:r>
                </w:p>
              </w:tc>
              <w:tc>
                <w:tcPr>
                  <w:tcW w:w="417" w:type="pct"/>
                  <w:noWrap w:val="0"/>
                  <w:vAlign w:val="center"/>
                </w:tcPr>
                <w:p w14:paraId="2B6C08D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矿物油</w:t>
                  </w:r>
                </w:p>
              </w:tc>
              <w:tc>
                <w:tcPr>
                  <w:tcW w:w="489" w:type="pct"/>
                  <w:noWrap w:val="0"/>
                  <w:vAlign w:val="center"/>
                </w:tcPr>
                <w:p w14:paraId="50DBEE1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废油及油烃类物质</w:t>
                  </w:r>
                </w:p>
              </w:tc>
              <w:tc>
                <w:tcPr>
                  <w:tcW w:w="378" w:type="pct"/>
                  <w:noWrap w:val="0"/>
                  <w:vAlign w:val="center"/>
                </w:tcPr>
                <w:p w14:paraId="199CBB8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393" w:type="pct"/>
                  <w:noWrap w:val="0"/>
                  <w:vAlign w:val="center"/>
                </w:tcPr>
                <w:p w14:paraId="6B0AE0D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易燃性、毒性</w:t>
                  </w:r>
                </w:p>
              </w:tc>
            </w:tr>
          </w:tbl>
          <w:p w14:paraId="7826E02D">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表4-</w:t>
            </w:r>
            <w:r>
              <w:rPr>
                <w:rFonts w:hint="eastAsia" w:cs="Times New Roman"/>
                <w:b/>
                <w:color w:val="auto"/>
                <w:szCs w:val="21"/>
                <w:lang w:val="en-US" w:eastAsia="zh-CN"/>
              </w:rPr>
              <w:t>8</w:t>
            </w:r>
            <w:r>
              <w:rPr>
                <w:rFonts w:hint="default" w:ascii="Times New Roman" w:hAnsi="Times New Roman" w:eastAsia="宋体" w:cs="Times New Roman"/>
                <w:b/>
                <w:color w:val="auto"/>
                <w:szCs w:val="21"/>
              </w:rPr>
              <w:t xml:space="preserve">  项目危险废物贮存场所（设施）基本情况样表</w:t>
            </w:r>
          </w:p>
          <w:tbl>
            <w:tblPr>
              <w:tblStyle w:val="20"/>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1618"/>
              <w:gridCol w:w="1322"/>
              <w:gridCol w:w="1196"/>
              <w:gridCol w:w="1506"/>
              <w:gridCol w:w="1214"/>
              <w:gridCol w:w="889"/>
              <w:gridCol w:w="825"/>
            </w:tblGrid>
            <w:tr w14:paraId="08E99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309" w:type="pct"/>
                  <w:noWrap w:val="0"/>
                  <w:vAlign w:val="center"/>
                </w:tcPr>
                <w:p w14:paraId="180FDFD7">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序号</w:t>
                  </w:r>
                </w:p>
              </w:tc>
              <w:tc>
                <w:tcPr>
                  <w:tcW w:w="885" w:type="pct"/>
                  <w:noWrap w:val="0"/>
                  <w:vAlign w:val="center"/>
                </w:tcPr>
                <w:p w14:paraId="6B8184C0">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贮存场所（设施）名称</w:t>
                  </w:r>
                </w:p>
              </w:tc>
              <w:tc>
                <w:tcPr>
                  <w:tcW w:w="723" w:type="pct"/>
                  <w:noWrap w:val="0"/>
                  <w:vAlign w:val="center"/>
                </w:tcPr>
                <w:p w14:paraId="568BFA29">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危险废物名称</w:t>
                  </w:r>
                </w:p>
              </w:tc>
              <w:tc>
                <w:tcPr>
                  <w:tcW w:w="654" w:type="pct"/>
                  <w:noWrap w:val="0"/>
                  <w:vAlign w:val="center"/>
                </w:tcPr>
                <w:p w14:paraId="5AA4B68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危险废物类别</w:t>
                  </w:r>
                </w:p>
              </w:tc>
              <w:tc>
                <w:tcPr>
                  <w:tcW w:w="824" w:type="pct"/>
                  <w:noWrap w:val="0"/>
                  <w:vAlign w:val="center"/>
                </w:tcPr>
                <w:p w14:paraId="7D7465F1">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危险废物</w:t>
                  </w:r>
                </w:p>
                <w:p w14:paraId="7BB3ECEA">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代码</w:t>
                  </w:r>
                </w:p>
              </w:tc>
              <w:tc>
                <w:tcPr>
                  <w:tcW w:w="664" w:type="pct"/>
                  <w:noWrap w:val="0"/>
                  <w:vAlign w:val="center"/>
                </w:tcPr>
                <w:p w14:paraId="50C3EE6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占地面积</w:t>
                  </w:r>
                </w:p>
              </w:tc>
              <w:tc>
                <w:tcPr>
                  <w:tcW w:w="486" w:type="pct"/>
                  <w:noWrap w:val="0"/>
                  <w:vAlign w:val="center"/>
                </w:tcPr>
                <w:p w14:paraId="6C63664F">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贮存</w:t>
                  </w:r>
                </w:p>
                <w:p w14:paraId="48C050FB">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方式</w:t>
                  </w:r>
                </w:p>
              </w:tc>
              <w:tc>
                <w:tcPr>
                  <w:tcW w:w="451" w:type="pct"/>
                  <w:noWrap w:val="0"/>
                  <w:vAlign w:val="center"/>
                </w:tcPr>
                <w:p w14:paraId="2198F241">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贮存</w:t>
                  </w:r>
                </w:p>
                <w:p w14:paraId="1CAAE1B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能力</w:t>
                  </w:r>
                </w:p>
              </w:tc>
            </w:tr>
            <w:tr w14:paraId="6F1C69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309" w:type="pct"/>
                  <w:noWrap w:val="0"/>
                  <w:vAlign w:val="center"/>
                </w:tcPr>
                <w:p w14:paraId="56057BB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w:t>
                  </w:r>
                </w:p>
              </w:tc>
              <w:tc>
                <w:tcPr>
                  <w:tcW w:w="885" w:type="pct"/>
                  <w:noWrap w:val="0"/>
                  <w:vAlign w:val="center"/>
                </w:tcPr>
                <w:p w14:paraId="31BC31D0">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危废暂存间</w:t>
                  </w:r>
                  <w:r>
                    <w:rPr>
                      <w:rFonts w:hint="eastAsia" w:cs="Times New Roman"/>
                      <w:color w:val="auto"/>
                      <w:kern w:val="0"/>
                      <w:szCs w:val="21"/>
                      <w:lang w:val="en-US" w:eastAsia="zh-CN"/>
                    </w:rPr>
                    <w:t>1</w:t>
                  </w:r>
                </w:p>
              </w:tc>
              <w:tc>
                <w:tcPr>
                  <w:tcW w:w="723" w:type="pct"/>
                  <w:noWrap w:val="0"/>
                  <w:vAlign w:val="center"/>
                </w:tcPr>
                <w:p w14:paraId="0C35878D">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浮油</w:t>
                  </w:r>
                </w:p>
              </w:tc>
              <w:tc>
                <w:tcPr>
                  <w:tcW w:w="654" w:type="pct"/>
                  <w:noWrap w:val="0"/>
                  <w:vAlign w:val="center"/>
                </w:tcPr>
                <w:p w14:paraId="2C898EBB">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HW08</w:t>
                  </w:r>
                </w:p>
              </w:tc>
              <w:tc>
                <w:tcPr>
                  <w:tcW w:w="824" w:type="pct"/>
                  <w:noWrap w:val="0"/>
                  <w:vAlign w:val="center"/>
                </w:tcPr>
                <w:p w14:paraId="6DB20579">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lang w:bidi="ar"/>
                    </w:rPr>
                    <w:t>900-210-08</w:t>
                  </w:r>
                </w:p>
              </w:tc>
              <w:tc>
                <w:tcPr>
                  <w:tcW w:w="664" w:type="pct"/>
                  <w:noWrap w:val="0"/>
                  <w:vAlign w:val="center"/>
                </w:tcPr>
                <w:p w14:paraId="7010969F">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5m</w:t>
                  </w:r>
                  <w:r>
                    <w:rPr>
                      <w:rFonts w:hint="default" w:ascii="Times New Roman" w:hAnsi="Times New Roman" w:eastAsia="宋体" w:cs="Times New Roman"/>
                      <w:color w:val="auto"/>
                      <w:kern w:val="0"/>
                      <w:szCs w:val="21"/>
                      <w:highlight w:val="none"/>
                      <w:vertAlign w:val="superscript"/>
                    </w:rPr>
                    <w:t>2</w:t>
                  </w:r>
                </w:p>
              </w:tc>
              <w:tc>
                <w:tcPr>
                  <w:tcW w:w="486" w:type="pct"/>
                  <w:noWrap w:val="0"/>
                  <w:vAlign w:val="center"/>
                </w:tcPr>
                <w:p w14:paraId="125C720A">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桶装</w:t>
                  </w:r>
                </w:p>
              </w:tc>
              <w:tc>
                <w:tcPr>
                  <w:tcW w:w="451" w:type="pct"/>
                  <w:noWrap w:val="0"/>
                  <w:vAlign w:val="center"/>
                </w:tcPr>
                <w:p w14:paraId="7A38DE1A">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0.1t</w:t>
                  </w:r>
                </w:p>
              </w:tc>
            </w:tr>
            <w:tr w14:paraId="159433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309" w:type="pct"/>
                  <w:shd w:val="clear" w:color="auto" w:fill="auto"/>
                  <w:noWrap w:val="0"/>
                  <w:vAlign w:val="center"/>
                </w:tcPr>
                <w:p w14:paraId="145870F3">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Cs w:val="21"/>
                      <w:lang w:val="en-US" w:eastAsia="zh-CN"/>
                    </w:rPr>
                    <w:t>2</w:t>
                  </w:r>
                </w:p>
              </w:tc>
              <w:tc>
                <w:tcPr>
                  <w:tcW w:w="885" w:type="pct"/>
                  <w:shd w:val="clear" w:color="auto" w:fill="auto"/>
                  <w:noWrap w:val="0"/>
                  <w:vAlign w:val="center"/>
                </w:tcPr>
                <w:p w14:paraId="457A4C40">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危废暂存间</w:t>
                  </w:r>
                  <w:r>
                    <w:rPr>
                      <w:rFonts w:hint="eastAsia" w:cs="Times New Roman"/>
                      <w:color w:val="auto"/>
                      <w:kern w:val="0"/>
                      <w:szCs w:val="21"/>
                      <w:lang w:val="en-US" w:eastAsia="zh-CN"/>
                    </w:rPr>
                    <w:t>2</w:t>
                  </w:r>
                </w:p>
              </w:tc>
              <w:tc>
                <w:tcPr>
                  <w:tcW w:w="723" w:type="pct"/>
                  <w:shd w:val="clear" w:color="auto" w:fill="auto"/>
                  <w:noWrap w:val="0"/>
                  <w:vAlign w:val="center"/>
                </w:tcPr>
                <w:p w14:paraId="5C8D24F9">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Cs w:val="21"/>
                    </w:rPr>
                    <w:t>浮油</w:t>
                  </w:r>
                </w:p>
              </w:tc>
              <w:tc>
                <w:tcPr>
                  <w:tcW w:w="654" w:type="pct"/>
                  <w:shd w:val="clear" w:color="auto" w:fill="auto"/>
                  <w:noWrap w:val="0"/>
                  <w:vAlign w:val="center"/>
                </w:tcPr>
                <w:p w14:paraId="4C6AC685">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Cs w:val="21"/>
                    </w:rPr>
                    <w:t>HW08</w:t>
                  </w:r>
                </w:p>
              </w:tc>
              <w:tc>
                <w:tcPr>
                  <w:tcW w:w="824" w:type="pct"/>
                  <w:shd w:val="clear" w:color="auto" w:fill="auto"/>
                  <w:noWrap w:val="0"/>
                  <w:vAlign w:val="center"/>
                </w:tcPr>
                <w:p w14:paraId="28D3A526">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lang w:bidi="ar"/>
                    </w:rPr>
                    <w:t>900-210-08</w:t>
                  </w:r>
                </w:p>
              </w:tc>
              <w:tc>
                <w:tcPr>
                  <w:tcW w:w="664" w:type="pct"/>
                  <w:shd w:val="clear" w:color="auto" w:fill="auto"/>
                  <w:noWrap w:val="0"/>
                  <w:vAlign w:val="center"/>
                </w:tcPr>
                <w:p w14:paraId="5BBF778B">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rPr>
                    <w:t>5m</w:t>
                  </w:r>
                  <w:r>
                    <w:rPr>
                      <w:rFonts w:hint="default" w:ascii="Times New Roman" w:hAnsi="Times New Roman" w:eastAsia="宋体" w:cs="Times New Roman"/>
                      <w:color w:val="auto"/>
                      <w:kern w:val="0"/>
                      <w:szCs w:val="21"/>
                      <w:highlight w:val="none"/>
                      <w:vertAlign w:val="superscript"/>
                    </w:rPr>
                    <w:t>2</w:t>
                  </w:r>
                </w:p>
              </w:tc>
              <w:tc>
                <w:tcPr>
                  <w:tcW w:w="486" w:type="pct"/>
                  <w:shd w:val="clear" w:color="auto" w:fill="auto"/>
                  <w:noWrap w:val="0"/>
                  <w:vAlign w:val="center"/>
                </w:tcPr>
                <w:p w14:paraId="09B9CC29">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Cs w:val="21"/>
                      <w:highlight w:val="none"/>
                    </w:rPr>
                    <w:t>桶装</w:t>
                  </w:r>
                </w:p>
              </w:tc>
              <w:tc>
                <w:tcPr>
                  <w:tcW w:w="451" w:type="pct"/>
                  <w:shd w:val="clear" w:color="auto" w:fill="auto"/>
                  <w:noWrap w:val="0"/>
                  <w:vAlign w:val="center"/>
                </w:tcPr>
                <w:p w14:paraId="02C7EE1B">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Cs w:val="21"/>
                      <w:highlight w:val="none"/>
                    </w:rPr>
                    <w:t>0.1t</w:t>
                  </w:r>
                </w:p>
              </w:tc>
            </w:tr>
          </w:tbl>
          <w:p w14:paraId="71462F8C">
            <w:pPr>
              <w:widowControl/>
              <w:spacing w:line="360" w:lineRule="auto"/>
              <w:ind w:firstLine="482" w:firstLineChars="200"/>
              <w:rPr>
                <w:b/>
                <w:bCs/>
                <w:color w:val="auto"/>
                <w:kern w:val="0"/>
                <w:sz w:val="24"/>
                <w:lang w:bidi="ar"/>
              </w:rPr>
            </w:pPr>
            <w:r>
              <w:rPr>
                <w:b/>
                <w:bCs/>
                <w:color w:val="auto"/>
                <w:kern w:val="0"/>
                <w:sz w:val="24"/>
                <w:lang w:bidi="ar"/>
              </w:rPr>
              <w:t>（五）生态环境</w:t>
            </w:r>
          </w:p>
          <w:p w14:paraId="2C9AFD5B">
            <w:pPr>
              <w:widowControl/>
              <w:spacing w:line="360" w:lineRule="auto"/>
              <w:ind w:firstLine="528" w:firstLineChars="200"/>
              <w:rPr>
                <w:color w:val="auto"/>
                <w:spacing w:val="7"/>
                <w:sz w:val="24"/>
              </w:rPr>
            </w:pPr>
            <w:r>
              <w:rPr>
                <w:color w:val="auto"/>
                <w:spacing w:val="12"/>
                <w:sz w:val="24"/>
              </w:rPr>
              <w:t>工程施工</w:t>
            </w:r>
            <w:r>
              <w:rPr>
                <w:color w:val="auto"/>
                <w:spacing w:val="8"/>
                <w:sz w:val="24"/>
              </w:rPr>
              <w:t>挖</w:t>
            </w:r>
            <w:r>
              <w:rPr>
                <w:color w:val="auto"/>
                <w:spacing w:val="6"/>
                <w:sz w:val="24"/>
              </w:rPr>
              <w:t>掘、填埋扰动土壤，造成水土流失，破坏地表植被；区域景观生</w:t>
            </w:r>
            <w:r>
              <w:rPr>
                <w:color w:val="auto"/>
                <w:spacing w:val="9"/>
                <w:sz w:val="24"/>
              </w:rPr>
              <w:t>态</w:t>
            </w:r>
            <w:r>
              <w:rPr>
                <w:color w:val="auto"/>
                <w:spacing w:val="7"/>
                <w:sz w:val="24"/>
              </w:rPr>
              <w:t>学和美学景观均造成很大破坏，人类干扰度骤增，景观生态嵌块被破坏，景观</w:t>
            </w:r>
            <w:r>
              <w:rPr>
                <w:color w:val="auto"/>
                <w:spacing w:val="9"/>
                <w:sz w:val="24"/>
              </w:rPr>
              <w:t>生</w:t>
            </w:r>
            <w:r>
              <w:rPr>
                <w:color w:val="auto"/>
                <w:spacing w:val="7"/>
                <w:sz w:val="24"/>
              </w:rPr>
              <w:t>态价值降低；施工场地占地对陆域生态环境的影响较大，使区域生物量及生产</w:t>
            </w:r>
            <w:r>
              <w:rPr>
                <w:color w:val="auto"/>
                <w:spacing w:val="4"/>
                <w:sz w:val="24"/>
              </w:rPr>
              <w:t>量减少；工程绿化和水土保持</w:t>
            </w:r>
            <w:r>
              <w:rPr>
                <w:color w:val="auto"/>
                <w:spacing w:val="3"/>
                <w:sz w:val="24"/>
              </w:rPr>
              <w:t>工</w:t>
            </w:r>
            <w:r>
              <w:rPr>
                <w:color w:val="auto"/>
                <w:spacing w:val="2"/>
                <w:sz w:val="24"/>
              </w:rPr>
              <w:t>作，将引入人工植物物种，改变局部种群优势度、</w:t>
            </w:r>
            <w:r>
              <w:rPr>
                <w:color w:val="auto"/>
                <w:spacing w:val="9"/>
                <w:sz w:val="24"/>
              </w:rPr>
              <w:t>植</w:t>
            </w:r>
            <w:r>
              <w:rPr>
                <w:color w:val="auto"/>
                <w:spacing w:val="7"/>
                <w:sz w:val="24"/>
              </w:rPr>
              <w:t>物群落和生物多样性；大量施工人员的生活污水和生活垃圾的存在，将造成鼠</w:t>
            </w:r>
            <w:r>
              <w:rPr>
                <w:color w:val="auto"/>
                <w:spacing w:val="9"/>
                <w:sz w:val="24"/>
              </w:rPr>
              <w:t>类</w:t>
            </w:r>
            <w:r>
              <w:rPr>
                <w:color w:val="auto"/>
                <w:spacing w:val="7"/>
                <w:sz w:val="24"/>
              </w:rPr>
              <w:t>等啮齿动物大量繁殖，改变局部动物种群优势度改变及食物链关系，影响生态</w:t>
            </w:r>
            <w:r>
              <w:rPr>
                <w:color w:val="auto"/>
                <w:spacing w:val="11"/>
                <w:sz w:val="24"/>
              </w:rPr>
              <w:t>系</w:t>
            </w:r>
            <w:r>
              <w:rPr>
                <w:color w:val="auto"/>
                <w:spacing w:val="7"/>
                <w:sz w:val="24"/>
              </w:rPr>
              <w:t>统平衡和稳定。</w:t>
            </w:r>
          </w:p>
          <w:p w14:paraId="50F64A53">
            <w:pPr>
              <w:widowControl/>
              <w:spacing w:line="360" w:lineRule="auto"/>
              <w:ind w:firstLine="480" w:firstLineChars="200"/>
              <w:rPr>
                <w:color w:val="auto"/>
                <w:sz w:val="24"/>
              </w:rPr>
            </w:pPr>
            <w:r>
              <w:rPr>
                <w:color w:val="auto"/>
                <w:kern w:val="0"/>
                <w:sz w:val="24"/>
                <w:lang w:bidi="ar"/>
              </w:rPr>
              <w:t>1、对陆生态系统影响</w:t>
            </w:r>
          </w:p>
          <w:p w14:paraId="138E29D2">
            <w:pPr>
              <w:spacing w:line="360" w:lineRule="auto"/>
              <w:ind w:firstLine="483"/>
              <w:rPr>
                <w:color w:val="auto"/>
                <w:sz w:val="24"/>
              </w:rPr>
            </w:pPr>
            <w:r>
              <w:rPr>
                <w:color w:val="auto"/>
                <w:spacing w:val="12"/>
                <w:sz w:val="24"/>
              </w:rPr>
              <w:t>工程施工</w:t>
            </w:r>
            <w:r>
              <w:rPr>
                <w:color w:val="auto"/>
                <w:spacing w:val="8"/>
                <w:sz w:val="24"/>
              </w:rPr>
              <w:t>占</w:t>
            </w:r>
            <w:r>
              <w:rPr>
                <w:color w:val="auto"/>
                <w:spacing w:val="6"/>
                <w:sz w:val="24"/>
              </w:rPr>
              <w:t>地中基本无天然林地。主要为人工植被，无珍稀、濒危保护野生</w:t>
            </w:r>
            <w:r>
              <w:rPr>
                <w:color w:val="auto"/>
                <w:spacing w:val="9"/>
                <w:sz w:val="24"/>
              </w:rPr>
              <w:t>植</w:t>
            </w:r>
            <w:r>
              <w:rPr>
                <w:color w:val="auto"/>
                <w:spacing w:val="7"/>
                <w:sz w:val="24"/>
              </w:rPr>
              <w:t>物种类，被破坏的植物在周边地区分布广泛，因此对植物的影响不大。但植被</w:t>
            </w:r>
            <w:r>
              <w:rPr>
                <w:color w:val="auto"/>
                <w:spacing w:val="9"/>
                <w:sz w:val="24"/>
              </w:rPr>
              <w:t>的</w:t>
            </w:r>
            <w:r>
              <w:rPr>
                <w:color w:val="auto"/>
                <w:spacing w:val="7"/>
                <w:sz w:val="24"/>
              </w:rPr>
              <w:t>损失必然会加剧该区域的水土流失，因此主体工程结束后，必须及时恢复工程</w:t>
            </w:r>
            <w:r>
              <w:rPr>
                <w:color w:val="auto"/>
                <w:spacing w:val="9"/>
                <w:sz w:val="24"/>
              </w:rPr>
              <w:t>施</w:t>
            </w:r>
            <w:r>
              <w:rPr>
                <w:color w:val="auto"/>
                <w:spacing w:val="8"/>
                <w:sz w:val="24"/>
              </w:rPr>
              <w:t>工临时用地的植被。</w:t>
            </w:r>
          </w:p>
          <w:p w14:paraId="4FE724B2">
            <w:pPr>
              <w:widowControl/>
              <w:spacing w:line="360" w:lineRule="auto"/>
              <w:ind w:firstLine="528" w:firstLineChars="200"/>
              <w:rPr>
                <w:color w:val="auto"/>
                <w:spacing w:val="8"/>
                <w:sz w:val="24"/>
              </w:rPr>
            </w:pPr>
            <w:r>
              <w:rPr>
                <w:color w:val="auto"/>
                <w:spacing w:val="12"/>
                <w:sz w:val="24"/>
              </w:rPr>
              <w:t>工程施工</w:t>
            </w:r>
            <w:r>
              <w:rPr>
                <w:color w:val="auto"/>
                <w:spacing w:val="8"/>
                <w:sz w:val="24"/>
              </w:rPr>
              <w:t>区</w:t>
            </w:r>
            <w:r>
              <w:rPr>
                <w:color w:val="auto"/>
                <w:spacing w:val="6"/>
                <w:sz w:val="24"/>
              </w:rPr>
              <w:t>主要位于</w:t>
            </w:r>
            <w:r>
              <w:rPr>
                <w:rFonts w:hint="eastAsia"/>
                <w:color w:val="auto"/>
                <w:spacing w:val="6"/>
                <w:sz w:val="24"/>
                <w:lang w:eastAsia="zh-CN"/>
              </w:rPr>
              <w:t>城市建成区</w:t>
            </w:r>
            <w:r>
              <w:rPr>
                <w:color w:val="auto"/>
                <w:spacing w:val="6"/>
                <w:sz w:val="24"/>
              </w:rPr>
              <w:t>，其中野生动物种类较少，主要包括野兔、田鼠等</w:t>
            </w:r>
            <w:r>
              <w:rPr>
                <w:color w:val="auto"/>
                <w:spacing w:val="9"/>
                <w:sz w:val="24"/>
              </w:rPr>
              <w:t>小</w:t>
            </w:r>
            <w:r>
              <w:rPr>
                <w:color w:val="auto"/>
                <w:spacing w:val="7"/>
                <w:sz w:val="24"/>
              </w:rPr>
              <w:t>型兽类和麻雀、乌鸦、喜鹊等亲人鸟类，施工期间，施工噪声会对这些野生动</w:t>
            </w:r>
            <w:r>
              <w:rPr>
                <w:color w:val="auto"/>
                <w:spacing w:val="9"/>
                <w:sz w:val="24"/>
              </w:rPr>
              <w:t>物</w:t>
            </w:r>
            <w:r>
              <w:rPr>
                <w:color w:val="auto"/>
                <w:spacing w:val="7"/>
                <w:sz w:val="24"/>
              </w:rPr>
              <w:t>产生惊吓，施工占地也会侵占一些野生动物的栖息地，但由于动物都具有较强</w:t>
            </w:r>
            <w:r>
              <w:rPr>
                <w:color w:val="auto"/>
                <w:spacing w:val="16"/>
                <w:sz w:val="24"/>
              </w:rPr>
              <w:t>的</w:t>
            </w:r>
            <w:r>
              <w:rPr>
                <w:color w:val="auto"/>
                <w:spacing w:val="10"/>
                <w:sz w:val="24"/>
              </w:rPr>
              <w:t>移</w:t>
            </w:r>
            <w:r>
              <w:rPr>
                <w:color w:val="auto"/>
                <w:spacing w:val="8"/>
                <w:sz w:val="24"/>
              </w:rPr>
              <w:t>动能力，工程对其影响轻微。</w:t>
            </w:r>
          </w:p>
          <w:p w14:paraId="71779E79">
            <w:pPr>
              <w:widowControl/>
              <w:spacing w:line="360" w:lineRule="auto"/>
              <w:ind w:left="105" w:leftChars="50" w:right="105" w:rightChars="50" w:firstLine="480" w:firstLineChars="200"/>
              <w:rPr>
                <w:color w:val="auto"/>
                <w:sz w:val="24"/>
              </w:rPr>
            </w:pPr>
            <w:r>
              <w:rPr>
                <w:color w:val="auto"/>
                <w:kern w:val="0"/>
                <w:sz w:val="24"/>
                <w:lang w:bidi="ar"/>
              </w:rPr>
              <w:t>2、对水生态系统影响</w:t>
            </w:r>
          </w:p>
          <w:p w14:paraId="643B78BA">
            <w:pPr>
              <w:spacing w:line="360" w:lineRule="auto"/>
              <w:ind w:firstLine="480" w:firstLineChars="200"/>
              <w:rPr>
                <w:bCs/>
                <w:color w:val="auto"/>
                <w:sz w:val="24"/>
              </w:rPr>
            </w:pPr>
            <w:r>
              <w:rPr>
                <w:bCs/>
                <w:color w:val="auto"/>
                <w:sz w:val="24"/>
              </w:rPr>
              <w:t>经现场勘查并查询相关资料，评价区不属于重要水生生物的自然产卵场及索饵场、越冬场和洄游通道，无珍稀濒危保护或重要经济水生生物。项目建设将会改善评价区水生生物生境，增强水生生态系统稳定性，对水生生物的物种资源量不会产生影响。本项目施工过程对水生植物、水生动物、底栖动物及其生境产生影响。</w:t>
            </w:r>
          </w:p>
          <w:p w14:paraId="58935B13">
            <w:pPr>
              <w:spacing w:line="360" w:lineRule="auto"/>
              <w:ind w:firstLine="480" w:firstLineChars="200"/>
              <w:rPr>
                <w:bCs/>
                <w:color w:val="auto"/>
                <w:sz w:val="24"/>
              </w:rPr>
            </w:pPr>
            <w:r>
              <w:rPr>
                <w:bCs/>
                <w:color w:val="auto"/>
                <w:sz w:val="24"/>
              </w:rPr>
              <w:t xml:space="preserve">（1）对浮游植物的影响 </w:t>
            </w:r>
          </w:p>
          <w:p w14:paraId="2819CA23">
            <w:pPr>
              <w:spacing w:line="360" w:lineRule="auto"/>
              <w:ind w:firstLine="480" w:firstLineChars="200"/>
              <w:rPr>
                <w:bCs/>
                <w:color w:val="auto"/>
                <w:sz w:val="24"/>
              </w:rPr>
            </w:pPr>
            <w:r>
              <w:rPr>
                <w:bCs/>
                <w:color w:val="auto"/>
                <w:sz w:val="24"/>
              </w:rPr>
              <w:t>河道内浮游植物主要以河流的耐污种类异级藻、菱形藻为主要的优势种群。藻类是一群具有叶绿素和其他光合色素、能进行光合作用的低等植物，是自然水体的原始生产者，多数藻类是鱼类或其他水生动物的饵料。河流治理工程对浮游植物的影响主要是施工阶段，因河道疏浚、固体废弃物等引起局部水域水质浑浊，透明度降低，影响浮游植物光合作用速率，不利</w:t>
            </w:r>
            <w:r>
              <w:rPr>
                <w:rFonts w:hint="eastAsia"/>
                <w:bCs/>
                <w:color w:val="auto"/>
                <w:sz w:val="24"/>
              </w:rPr>
              <w:t>鱼类</w:t>
            </w:r>
            <w:r>
              <w:rPr>
                <w:bCs/>
                <w:color w:val="auto"/>
                <w:sz w:val="24"/>
              </w:rPr>
              <w:t>生长繁殖，丰度和生物量都会明显降低，由于河道开挖疏浚工程安排在枯水期，且采用原河槽导流方案，施工分段进行，对水生生物的影响是暂时的，同时浮游植物作为生长速度极快的水生生物可以在施工完成后迅速恢复并重建，整治结束后，河水变清，水体透明度增大，有利于浮游植物光合作用，可促进类繁殖，数周内受影响河段藻类的数量可很快恢复到理想的状态，因此工程对浮游植物的影响较小。</w:t>
            </w:r>
          </w:p>
          <w:p w14:paraId="006C5937">
            <w:pPr>
              <w:spacing w:line="360" w:lineRule="auto"/>
              <w:ind w:firstLine="480" w:firstLineChars="200"/>
              <w:rPr>
                <w:bCs/>
                <w:color w:val="auto"/>
                <w:sz w:val="24"/>
              </w:rPr>
            </w:pPr>
            <w:r>
              <w:rPr>
                <w:bCs/>
                <w:color w:val="auto"/>
                <w:sz w:val="24"/>
              </w:rPr>
              <w:t>（2）对浮游动物的影响</w:t>
            </w:r>
          </w:p>
          <w:p w14:paraId="57A744CF">
            <w:pPr>
              <w:spacing w:line="360" w:lineRule="auto"/>
              <w:ind w:firstLine="480" w:firstLineChars="200"/>
              <w:rPr>
                <w:bCs/>
                <w:color w:val="auto"/>
                <w:sz w:val="24"/>
              </w:rPr>
            </w:pPr>
            <w:r>
              <w:rPr>
                <w:bCs/>
                <w:color w:val="auto"/>
                <w:sz w:val="24"/>
              </w:rPr>
              <w:t>浮游动物的主要饵料是浮游植物及有机悬浮颗粒等，同时，它们又是许多鱼类和几乎所有幼鱼的重要饵料，浮游动物含有丰富的营养物质，在水域生态系统的食物链和能量转换中，浮游动物具有承上启下的重要作用。施工期，废水、固体废弃物、扬尘、水土流失等会导致河流水体污染程度增加，一万面水体相对稳定性降低，影响浮游动物群落的生物多样性和群落稳定性；另一方面，这些影响使得浮游植物生物量减少，间接影响浮游动物的生物量，浮游动物生物量也会明显减少。随着治理工程结束，河流治理后水流恢复，泥沙含量减少水体透明度增加，在一定程度上有利于轮虫及浮游甲壳动物的繁殖，从而增加浮游动物种类丰度和生物量。同时随着浮游植物生物量的增加，浮游动物群落会在数月时间得以恢复并重建，其物种也会发展出适于较好生境生存的种类因此，施工对浮游动物的影响较小。</w:t>
            </w:r>
          </w:p>
          <w:p w14:paraId="47078B06">
            <w:pPr>
              <w:spacing w:line="360" w:lineRule="auto"/>
              <w:ind w:firstLine="480" w:firstLineChars="200"/>
              <w:rPr>
                <w:bCs/>
                <w:color w:val="auto"/>
                <w:sz w:val="24"/>
              </w:rPr>
            </w:pPr>
            <w:r>
              <w:rPr>
                <w:bCs/>
                <w:color w:val="auto"/>
                <w:sz w:val="24"/>
              </w:rPr>
              <w:t>（3）对底栖无脊椎动物的影响</w:t>
            </w:r>
          </w:p>
          <w:p w14:paraId="076D319C">
            <w:pPr>
              <w:spacing w:line="360" w:lineRule="auto"/>
              <w:ind w:firstLine="480" w:firstLineChars="200"/>
              <w:rPr>
                <w:bCs/>
                <w:color w:val="auto"/>
                <w:sz w:val="24"/>
              </w:rPr>
            </w:pPr>
            <w:r>
              <w:rPr>
                <w:bCs/>
                <w:color w:val="auto"/>
                <w:sz w:val="24"/>
              </w:rPr>
              <w:t xml:space="preserve">底栖动物是长期在水域底部泥沙中、石块或其他水底物体上生活的动物，具有区域性强、迁移能力弱等特点，其对环境突然改变，通常没有或很少有回避能力。河流治理对底栖动物较大的影响是疏、挖泥，施工过程直接改变了其生活环境，从而对其种类、数量、分布产生一定的影响。根据类似河道疏浚后底栖动物调查数据分析，河道疏浚后底栖动物能得到一定程度的恢复，只是恢复进程缓慢，随着恢复时间越长，底栖动物恢复的越好。河道经整治后，底质环境及水质的改善、污泥底泥的去除，将有利于河道水生生态环境的重建加快底栖动物的恢复，提高底栖动物的多样性。③对鱼类资源的影响 </w:t>
            </w:r>
          </w:p>
          <w:p w14:paraId="0314EBA4">
            <w:pPr>
              <w:spacing w:line="360" w:lineRule="auto"/>
              <w:ind w:firstLine="480" w:firstLineChars="200"/>
              <w:rPr>
                <w:bCs/>
                <w:color w:val="auto"/>
                <w:sz w:val="24"/>
              </w:rPr>
            </w:pPr>
            <w:r>
              <w:rPr>
                <w:bCs/>
                <w:color w:val="auto"/>
                <w:sz w:val="24"/>
              </w:rPr>
              <w:t>施工期修清淤、土石方开挖会使河流水体变得混浊，会对鱼类的生存环境产生一定影响，但由于工程施工仅局限在极短的河段，影响范围有限。只要加强施工管理，严禁施工人员随意捕捞鱼类，施工季节避开鱼类的繁殖时期，严禁向河道倾倒渣土，施工对鱼类的影响可减至最低。</w:t>
            </w:r>
          </w:p>
          <w:p w14:paraId="54A0AE5F">
            <w:pPr>
              <w:spacing w:line="360" w:lineRule="auto"/>
              <w:ind w:firstLine="480" w:firstLineChars="200"/>
              <w:rPr>
                <w:bCs/>
                <w:color w:val="auto"/>
                <w:sz w:val="24"/>
              </w:rPr>
            </w:pPr>
            <w:r>
              <w:rPr>
                <w:bCs/>
                <w:color w:val="auto"/>
                <w:sz w:val="24"/>
              </w:rPr>
              <w:t>（4）对水生维管束植物的影响</w:t>
            </w:r>
          </w:p>
          <w:p w14:paraId="334E4A68">
            <w:pPr>
              <w:spacing w:line="360" w:lineRule="auto"/>
              <w:ind w:firstLine="480" w:firstLineChars="200"/>
              <w:rPr>
                <w:bCs/>
                <w:color w:val="auto"/>
                <w:sz w:val="24"/>
              </w:rPr>
            </w:pPr>
            <w:r>
              <w:rPr>
                <w:bCs/>
                <w:color w:val="auto"/>
                <w:sz w:val="24"/>
              </w:rPr>
              <w:t>根据现场查看，河道旁生长有水生维管束有芦苇、莒蒲、莲、浮萍等。在河道清淤及挖方过程中会对这些水生植物造成不利影响，项目河岸两侧另有景观绿化工程，绿化工程将会重建水生维管束植物群落，使先前野生、分布稀疏且不均匀的群落发展成为景观性更强、物种丰度更高、对维持水生生态系统健康更为有利群落。</w:t>
            </w:r>
          </w:p>
          <w:p w14:paraId="5D8944BB">
            <w:pPr>
              <w:spacing w:line="360" w:lineRule="auto"/>
              <w:ind w:firstLine="480" w:firstLineChars="200"/>
              <w:rPr>
                <w:bCs/>
                <w:color w:val="auto"/>
                <w:sz w:val="24"/>
              </w:rPr>
            </w:pPr>
            <w:r>
              <w:rPr>
                <w:bCs/>
                <w:color w:val="auto"/>
                <w:sz w:val="24"/>
              </w:rPr>
              <w:t>（5）对鱼类的影响分析</w:t>
            </w:r>
          </w:p>
          <w:p w14:paraId="761EA8AD">
            <w:pPr>
              <w:spacing w:line="360" w:lineRule="auto"/>
              <w:ind w:firstLine="480" w:firstLineChars="200"/>
              <w:rPr>
                <w:color w:val="auto"/>
                <w:sz w:val="24"/>
              </w:rPr>
            </w:pPr>
            <w:r>
              <w:rPr>
                <w:bCs/>
                <w:color w:val="auto"/>
                <w:sz w:val="24"/>
              </w:rPr>
              <w:t>项目施工导流采用原河槽导流方案施工，疏浚段不存在完全阻断影响，</w:t>
            </w:r>
            <w:r>
              <w:rPr>
                <w:rFonts w:hint="eastAsia"/>
                <w:color w:val="auto"/>
                <w:sz w:val="24"/>
              </w:rPr>
              <w:t>施工期水质的破坏，会造成饵料的减少，将改变原有河流中鱼类的生存、生长和繁衍条件，鱼类将择水而洄游到上、下游河段。施工期鱼类的种群结构和数量趋于减少，人为破坏也会对鱼类资源造成不利影响。但这种影响是暂时的，将随着施工结束而消除。由于鱼类择水而栖迁，本项目对鱼类的影响局限于施工区域，不会改变跨越河流的水量、水质，原有的鱼类及其生息环境不会有太大的变化，因此对项目区鱼类种类、数量影响不大。</w:t>
            </w:r>
          </w:p>
          <w:p w14:paraId="1139E086">
            <w:pPr>
              <w:spacing w:line="360" w:lineRule="auto"/>
              <w:ind w:firstLine="480" w:firstLineChars="200"/>
              <w:rPr>
                <w:bCs/>
                <w:color w:val="auto"/>
                <w:sz w:val="24"/>
              </w:rPr>
            </w:pPr>
            <w:r>
              <w:rPr>
                <w:rFonts w:hint="eastAsia"/>
                <w:color w:val="auto"/>
                <w:sz w:val="24"/>
              </w:rPr>
              <w:t>施工期间施工器械产生的噪声对鱼类也有一定影响。根据《鱼类与环境声》（洪天来），鱼类良好的听觉频率范围一般为16-1033Hz，并随着音频信号的升高，听觉的感度急剧下降。据报道，当鲶鱼在水中正常生活时听到外界的声响有向水面跳跃的现象，跳跃的程度是随声频的变化而递减的。当水中放声的频率在200Hz时，鲶鱼的跳跃反应最为强烈。升到600Hz时，影响就很小，甚至没有反应。在跳跃反映中，测得声频为200Hz时声压为最低值72dB（每微巴）。这说明鱼类对声频、声压的微妙关系。据分析，当频率接近200Hz时，对鱼体的刺激最强烈，其促使鱼类呼吸数剧增，因此导致鲶鱼惊慌跳跃。本工程施工期噪声主要来自各种施工机械作业噪声，噪声传入水域的能量很有限，不会造成对鱼类的直接危害</w:t>
            </w:r>
          </w:p>
          <w:p w14:paraId="746728E7">
            <w:pPr>
              <w:spacing w:line="360" w:lineRule="auto"/>
              <w:ind w:firstLine="480" w:firstLineChars="200"/>
              <w:rPr>
                <w:bCs/>
                <w:color w:val="auto"/>
                <w:sz w:val="24"/>
              </w:rPr>
            </w:pPr>
            <w:r>
              <w:rPr>
                <w:bCs/>
                <w:color w:val="auto"/>
                <w:sz w:val="24"/>
              </w:rPr>
              <w:t>（6）施工期对水生生态环境影响的减缓措施</w:t>
            </w:r>
          </w:p>
          <w:p w14:paraId="349916E9">
            <w:pPr>
              <w:spacing w:line="360" w:lineRule="auto"/>
              <w:ind w:firstLine="480" w:firstLineChars="200"/>
              <w:rPr>
                <w:bCs/>
                <w:color w:val="auto"/>
                <w:sz w:val="24"/>
              </w:rPr>
            </w:pPr>
            <w:r>
              <w:rPr>
                <w:bCs/>
                <w:color w:val="auto"/>
                <w:sz w:val="24"/>
              </w:rPr>
              <w:t>①施工导流采用原河槽导流方案时，应结合施工时现状，因地制宜布设导流围堰，在满足导流的前提下，围堰尽可能顺着水流流向布设，减轻对水生生态环境的突然改变，减缓对水生生物的生存影响。</w:t>
            </w:r>
          </w:p>
          <w:p w14:paraId="7010BF2F">
            <w:pPr>
              <w:spacing w:line="360" w:lineRule="auto"/>
              <w:ind w:firstLine="480" w:firstLineChars="200"/>
              <w:rPr>
                <w:bCs/>
                <w:color w:val="auto"/>
                <w:sz w:val="24"/>
              </w:rPr>
            </w:pPr>
            <w:r>
              <w:rPr>
                <w:bCs/>
                <w:color w:val="auto"/>
                <w:sz w:val="24"/>
              </w:rPr>
              <w:t>②加强施工过程中施工管理，对施工场地裸露面进行临时苫盖，严禁将施工期废水和固体废物排入河道，减缓施工期扰动引起的水土流失对河道的影响。</w:t>
            </w:r>
          </w:p>
          <w:p w14:paraId="4D836669">
            <w:pPr>
              <w:spacing w:line="360" w:lineRule="auto"/>
              <w:ind w:firstLine="480" w:firstLineChars="200"/>
              <w:rPr>
                <w:bCs/>
                <w:color w:val="auto"/>
                <w:sz w:val="24"/>
              </w:rPr>
            </w:pPr>
            <w:r>
              <w:rPr>
                <w:bCs/>
                <w:color w:val="auto"/>
                <w:sz w:val="24"/>
              </w:rPr>
              <w:t>③施工期间对施工人员进行生态保护的宣传教育，以座谈会、公告、发放宣传册等形式，教育施工人员，说明保护生态环境的重要性和要求。</w:t>
            </w:r>
          </w:p>
          <w:p w14:paraId="44FC9932">
            <w:pPr>
              <w:spacing w:line="360" w:lineRule="auto"/>
              <w:ind w:firstLine="480" w:firstLineChars="200"/>
              <w:rPr>
                <w:bCs/>
                <w:color w:val="auto"/>
                <w:sz w:val="24"/>
              </w:rPr>
            </w:pPr>
            <w:r>
              <w:rPr>
                <w:bCs/>
                <w:color w:val="auto"/>
                <w:sz w:val="24"/>
              </w:rPr>
              <w:t>④施工结束后，需注重恢复河湖水生生态系统，为加快受损生态系统的重建，可投放本地区常见的水生生物，投放数量和比例必须控制得当。</w:t>
            </w:r>
          </w:p>
          <w:p w14:paraId="298DDED8">
            <w:pPr>
              <w:spacing w:line="360" w:lineRule="auto"/>
              <w:ind w:firstLine="480" w:firstLineChars="200"/>
              <w:rPr>
                <w:bCs/>
                <w:color w:val="auto"/>
                <w:sz w:val="24"/>
              </w:rPr>
            </w:pPr>
            <w:r>
              <w:rPr>
                <w:bCs/>
                <w:color w:val="auto"/>
                <w:sz w:val="24"/>
              </w:rPr>
              <w:t>（7）清淤后对水生生态的有利影响</w:t>
            </w:r>
          </w:p>
          <w:p w14:paraId="42AAC97A">
            <w:pPr>
              <w:spacing w:line="360" w:lineRule="auto"/>
              <w:ind w:firstLine="480" w:firstLineChars="200"/>
              <w:rPr>
                <w:bCs/>
                <w:color w:val="auto"/>
                <w:sz w:val="24"/>
              </w:rPr>
            </w:pPr>
            <w:r>
              <w:rPr>
                <w:bCs/>
                <w:color w:val="auto"/>
                <w:sz w:val="24"/>
              </w:rPr>
              <w:t>通过疏浚工程，水流速度将会加快，水中溶解氧含量将提高，河水水质得到改善，将有利于各种水生生物的生存和繁殖。随着生物多样性的提高，河道内水生生态系统的物种结构将会更加完善，水生生态系统发育更成熟，其质量稳定性和服务功能将得到提高，有利于阻止或减缓水生生态环境的恶化。综上所述，施工期水生群落生物量和净生产量的损失量不大，造成的生物多样性损失也不至于很大，项目完工后将使河道和湖泊的水生生态环境得到改善，水生生态系统结构更完整。</w:t>
            </w:r>
          </w:p>
          <w:p w14:paraId="10C91AFF">
            <w:pPr>
              <w:widowControl/>
              <w:spacing w:line="360" w:lineRule="auto"/>
              <w:ind w:left="105" w:leftChars="50" w:right="105" w:rightChars="50" w:firstLine="480" w:firstLineChars="200"/>
              <w:rPr>
                <w:color w:val="auto"/>
                <w:kern w:val="0"/>
                <w:sz w:val="24"/>
                <w:lang w:bidi="ar"/>
              </w:rPr>
            </w:pPr>
            <w:r>
              <w:rPr>
                <w:color w:val="auto"/>
                <w:kern w:val="0"/>
                <w:sz w:val="24"/>
                <w:lang w:bidi="ar"/>
              </w:rPr>
              <w:t>3、水土流失</w:t>
            </w:r>
          </w:p>
          <w:p w14:paraId="0E1D6B40">
            <w:pPr>
              <w:spacing w:line="360" w:lineRule="auto"/>
              <w:ind w:firstLine="420"/>
              <w:rPr>
                <w:color w:val="auto"/>
                <w:sz w:val="24"/>
              </w:rPr>
            </w:pPr>
            <w:r>
              <w:rPr>
                <w:color w:val="auto"/>
                <w:spacing w:val="14"/>
                <w:sz w:val="24"/>
              </w:rPr>
              <w:t>施</w:t>
            </w:r>
            <w:r>
              <w:rPr>
                <w:color w:val="auto"/>
                <w:spacing w:val="10"/>
                <w:sz w:val="24"/>
              </w:rPr>
              <w:t>工</w:t>
            </w:r>
            <w:r>
              <w:rPr>
                <w:color w:val="auto"/>
                <w:spacing w:val="7"/>
                <w:sz w:val="24"/>
              </w:rPr>
              <w:t>时扰动土壤面积较大，在大雨条件下可能会造成沿线施工现场的水土流失。工程所</w:t>
            </w:r>
            <w:r>
              <w:rPr>
                <w:color w:val="auto"/>
                <w:spacing w:val="14"/>
                <w:sz w:val="24"/>
              </w:rPr>
              <w:t>在地</w:t>
            </w:r>
            <w:r>
              <w:rPr>
                <w:color w:val="auto"/>
                <w:spacing w:val="9"/>
                <w:sz w:val="24"/>
              </w:rPr>
              <w:t>区</w:t>
            </w:r>
            <w:r>
              <w:rPr>
                <w:color w:val="auto"/>
                <w:spacing w:val="7"/>
                <w:sz w:val="24"/>
              </w:rPr>
              <w:t>属轻度土壤侵蚀地区，虽然本区风蚀现象较重，但水蚀较轻，属土壤轻度侵蚀区。</w:t>
            </w:r>
            <w:r>
              <w:rPr>
                <w:color w:val="auto"/>
                <w:spacing w:val="14"/>
                <w:sz w:val="24"/>
              </w:rPr>
              <w:t>《山东省水利厅关于发布省级水土流失重点预防区和重点治理区的通</w:t>
            </w:r>
            <w:r>
              <w:rPr>
                <w:color w:val="auto"/>
                <w:spacing w:val="5"/>
                <w:sz w:val="24"/>
              </w:rPr>
              <w:t>告》（鲁水保字〔2016〕1号），确定项目区为沂蒙山泰山国家级水土流失重点</w:t>
            </w:r>
            <w:r>
              <w:rPr>
                <w:color w:val="auto"/>
                <w:spacing w:val="2"/>
                <w:sz w:val="24"/>
              </w:rPr>
              <w:t>治</w:t>
            </w:r>
            <w:r>
              <w:rPr>
                <w:color w:val="auto"/>
                <w:spacing w:val="10"/>
                <w:sz w:val="24"/>
              </w:rPr>
              <w:t>理区。项</w:t>
            </w:r>
            <w:r>
              <w:rPr>
                <w:color w:val="auto"/>
                <w:spacing w:val="9"/>
                <w:sz w:val="24"/>
              </w:rPr>
              <w:t>目</w:t>
            </w:r>
            <w:r>
              <w:rPr>
                <w:color w:val="auto"/>
                <w:spacing w:val="5"/>
                <w:sz w:val="24"/>
              </w:rPr>
              <w:t>区水土流失以水力侵蚀为主，现状土壤侵蚀模数800</w:t>
            </w:r>
            <w:r>
              <w:rPr>
                <w:color w:val="auto"/>
                <w:sz w:val="24"/>
              </w:rPr>
              <w:t>t</w:t>
            </w:r>
            <w:r>
              <w:rPr>
                <w:color w:val="auto"/>
                <w:spacing w:val="5"/>
                <w:sz w:val="24"/>
              </w:rPr>
              <w:t>/(</w:t>
            </w:r>
            <w:r>
              <w:rPr>
                <w:color w:val="auto"/>
                <w:sz w:val="24"/>
              </w:rPr>
              <w:t>km</w:t>
            </w:r>
            <w:r>
              <w:rPr>
                <w:color w:val="auto"/>
                <w:sz w:val="24"/>
                <w:vertAlign w:val="superscript"/>
              </w:rPr>
              <w:t>2</w:t>
            </w:r>
            <w:r>
              <w:rPr>
                <w:color w:val="auto"/>
                <w:spacing w:val="5"/>
                <w:sz w:val="24"/>
              </w:rPr>
              <w:t>·</w:t>
            </w:r>
            <w:r>
              <w:rPr>
                <w:color w:val="auto"/>
                <w:sz w:val="24"/>
              </w:rPr>
              <w:t>a</w:t>
            </w:r>
            <w:r>
              <w:rPr>
                <w:color w:val="auto"/>
                <w:spacing w:val="5"/>
                <w:sz w:val="24"/>
              </w:rPr>
              <w:t>)。根</w:t>
            </w:r>
            <w:r>
              <w:rPr>
                <w:color w:val="auto"/>
                <w:spacing w:val="12"/>
                <w:sz w:val="24"/>
              </w:rPr>
              <w:t>据</w:t>
            </w:r>
            <w:r>
              <w:rPr>
                <w:color w:val="auto"/>
                <w:spacing w:val="6"/>
                <w:sz w:val="24"/>
              </w:rPr>
              <w:t>2008年水利部颁布的《土壤侵蚀分类分级标准》(</w:t>
            </w:r>
            <w:r>
              <w:rPr>
                <w:color w:val="auto"/>
                <w:sz w:val="24"/>
              </w:rPr>
              <w:t>SL</w:t>
            </w:r>
            <w:r>
              <w:rPr>
                <w:color w:val="auto"/>
                <w:spacing w:val="6"/>
                <w:sz w:val="24"/>
              </w:rPr>
              <w:t>190-2007)，该区域</w:t>
            </w:r>
            <w:r>
              <w:rPr>
                <w:color w:val="auto"/>
                <w:spacing w:val="2"/>
                <w:sz w:val="24"/>
              </w:rPr>
              <w:t>土壤容许流失量为200</w:t>
            </w:r>
            <w:r>
              <w:rPr>
                <w:color w:val="auto"/>
                <w:sz w:val="24"/>
              </w:rPr>
              <w:t>t</w:t>
            </w:r>
            <w:r>
              <w:rPr>
                <w:color w:val="auto"/>
                <w:spacing w:val="2"/>
                <w:sz w:val="24"/>
              </w:rPr>
              <w:t>/(</w:t>
            </w:r>
            <w:r>
              <w:rPr>
                <w:color w:val="auto"/>
                <w:sz w:val="24"/>
              </w:rPr>
              <w:t>km</w:t>
            </w:r>
            <w:r>
              <w:rPr>
                <w:color w:val="auto"/>
                <w:sz w:val="24"/>
                <w:vertAlign w:val="superscript"/>
              </w:rPr>
              <w:t>2</w:t>
            </w:r>
            <w:r>
              <w:rPr>
                <w:color w:val="auto"/>
                <w:spacing w:val="2"/>
                <w:sz w:val="24"/>
              </w:rPr>
              <w:t>·</w:t>
            </w:r>
            <w:r>
              <w:rPr>
                <w:color w:val="auto"/>
                <w:sz w:val="24"/>
              </w:rPr>
              <w:t>a</w:t>
            </w:r>
            <w:r>
              <w:rPr>
                <w:color w:val="auto"/>
                <w:spacing w:val="2"/>
                <w:sz w:val="24"/>
              </w:rPr>
              <w:t>)。在不考虑坡度和其他降雨因子的情况下</w:t>
            </w:r>
            <w:r>
              <w:rPr>
                <w:color w:val="auto"/>
                <w:spacing w:val="14"/>
                <w:sz w:val="24"/>
              </w:rPr>
              <w:t>土</w:t>
            </w:r>
            <w:r>
              <w:rPr>
                <w:color w:val="auto"/>
                <w:spacing w:val="8"/>
                <w:sz w:val="24"/>
              </w:rPr>
              <w:t>壤侵蚀计算公式可简化为：</w:t>
            </w:r>
          </w:p>
          <w:p w14:paraId="19A83C16">
            <w:pPr>
              <w:spacing w:line="360" w:lineRule="auto"/>
              <w:ind w:firstLine="480" w:firstLineChars="200"/>
              <w:rPr>
                <w:color w:val="auto"/>
                <w:sz w:val="24"/>
              </w:rPr>
            </w:pPr>
            <w:r>
              <w:rPr>
                <w:color w:val="auto"/>
                <w:position w:val="12"/>
                <w:sz w:val="24"/>
              </w:rPr>
              <w:t>E</w:t>
            </w:r>
            <w:r>
              <w:rPr>
                <w:color w:val="auto"/>
                <w:spacing w:val="11"/>
                <w:position w:val="12"/>
                <w:sz w:val="24"/>
              </w:rPr>
              <w:t>=</w:t>
            </w:r>
            <w:r>
              <w:rPr>
                <w:color w:val="auto"/>
                <w:position w:val="12"/>
                <w:sz w:val="24"/>
              </w:rPr>
              <w:t>M</w:t>
            </w:r>
            <w:r>
              <w:rPr>
                <w:color w:val="auto"/>
                <w:spacing w:val="11"/>
                <w:position w:val="12"/>
                <w:sz w:val="24"/>
              </w:rPr>
              <w:t>*</w:t>
            </w:r>
            <w:r>
              <w:rPr>
                <w:color w:val="auto"/>
                <w:position w:val="12"/>
                <w:sz w:val="24"/>
              </w:rPr>
              <w:t>S</w:t>
            </w:r>
          </w:p>
          <w:p w14:paraId="6615D68E">
            <w:pPr>
              <w:spacing w:line="360" w:lineRule="auto"/>
              <w:ind w:firstLine="488" w:firstLineChars="200"/>
              <w:rPr>
                <w:color w:val="auto"/>
                <w:sz w:val="24"/>
              </w:rPr>
            </w:pPr>
            <w:r>
              <w:rPr>
                <w:color w:val="auto"/>
                <w:spacing w:val="2"/>
                <w:sz w:val="24"/>
              </w:rPr>
              <w:t>式中</w:t>
            </w:r>
            <w:r>
              <w:rPr>
                <w:color w:val="auto"/>
                <w:spacing w:val="1"/>
                <w:sz w:val="24"/>
              </w:rPr>
              <w:t>：</w:t>
            </w:r>
          </w:p>
          <w:p w14:paraId="6ED4F91F">
            <w:pPr>
              <w:spacing w:line="360" w:lineRule="auto"/>
              <w:ind w:firstLine="480" w:firstLineChars="200"/>
              <w:rPr>
                <w:color w:val="auto"/>
                <w:sz w:val="24"/>
              </w:rPr>
            </w:pPr>
            <w:r>
              <w:rPr>
                <w:color w:val="auto"/>
                <w:position w:val="1"/>
                <w:sz w:val="24"/>
              </w:rPr>
              <w:t>E</w:t>
            </w:r>
            <w:r>
              <w:rPr>
                <w:color w:val="auto"/>
                <w:spacing w:val="9"/>
                <w:position w:val="1"/>
                <w:sz w:val="24"/>
              </w:rPr>
              <w:t>——土壤侵蚀量，</w:t>
            </w:r>
            <w:r>
              <w:rPr>
                <w:color w:val="auto"/>
                <w:position w:val="1"/>
                <w:sz w:val="24"/>
              </w:rPr>
              <w:t>t</w:t>
            </w:r>
            <w:r>
              <w:rPr>
                <w:color w:val="auto"/>
                <w:spacing w:val="9"/>
                <w:position w:val="1"/>
                <w:sz w:val="24"/>
              </w:rPr>
              <w:t>/</w:t>
            </w:r>
            <w:r>
              <w:rPr>
                <w:color w:val="auto"/>
                <w:position w:val="1"/>
                <w:sz w:val="24"/>
              </w:rPr>
              <w:t>a</w:t>
            </w:r>
            <w:r>
              <w:rPr>
                <w:color w:val="auto"/>
                <w:spacing w:val="9"/>
                <w:position w:val="1"/>
                <w:sz w:val="24"/>
              </w:rPr>
              <w:t>；</w:t>
            </w:r>
          </w:p>
          <w:p w14:paraId="7B661DE8">
            <w:pPr>
              <w:spacing w:line="360" w:lineRule="auto"/>
              <w:ind w:firstLine="480" w:firstLineChars="200"/>
              <w:rPr>
                <w:color w:val="auto"/>
                <w:sz w:val="24"/>
              </w:rPr>
            </w:pPr>
            <w:r>
              <w:rPr>
                <w:color w:val="auto"/>
                <w:position w:val="12"/>
                <w:sz w:val="24"/>
              </w:rPr>
              <w:t>M</w:t>
            </w:r>
            <w:r>
              <w:rPr>
                <w:color w:val="auto"/>
                <w:spacing w:val="5"/>
                <w:position w:val="12"/>
                <w:sz w:val="24"/>
              </w:rPr>
              <w:t>——当地土壤侵蚀模数，</w:t>
            </w:r>
            <w:r>
              <w:rPr>
                <w:color w:val="auto"/>
                <w:position w:val="12"/>
                <w:sz w:val="24"/>
              </w:rPr>
              <w:t>t</w:t>
            </w:r>
            <w:r>
              <w:rPr>
                <w:color w:val="auto"/>
                <w:spacing w:val="5"/>
                <w:position w:val="12"/>
                <w:sz w:val="24"/>
              </w:rPr>
              <w:t>/</w:t>
            </w:r>
            <w:r>
              <w:rPr>
                <w:color w:val="auto"/>
                <w:position w:val="12"/>
                <w:sz w:val="24"/>
              </w:rPr>
              <w:t>km</w:t>
            </w:r>
            <w:r>
              <w:rPr>
                <w:color w:val="auto"/>
                <w:position w:val="12"/>
                <w:sz w:val="24"/>
                <w:vertAlign w:val="superscript"/>
              </w:rPr>
              <w:t>2</w:t>
            </w:r>
            <w:r>
              <w:rPr>
                <w:color w:val="auto"/>
                <w:spacing w:val="5"/>
                <w:position w:val="12"/>
                <w:sz w:val="24"/>
              </w:rPr>
              <w:t>·</w:t>
            </w:r>
            <w:r>
              <w:rPr>
                <w:color w:val="auto"/>
                <w:position w:val="12"/>
                <w:sz w:val="24"/>
              </w:rPr>
              <w:t>a</w:t>
            </w:r>
            <w:r>
              <w:rPr>
                <w:color w:val="auto"/>
                <w:spacing w:val="4"/>
                <w:position w:val="12"/>
                <w:sz w:val="24"/>
              </w:rPr>
              <w:t>；</w:t>
            </w:r>
          </w:p>
          <w:p w14:paraId="17965308">
            <w:pPr>
              <w:spacing w:line="360" w:lineRule="auto"/>
              <w:ind w:firstLine="480" w:firstLineChars="200"/>
              <w:rPr>
                <w:color w:val="auto"/>
                <w:sz w:val="24"/>
              </w:rPr>
            </w:pPr>
            <w:r>
              <w:rPr>
                <w:color w:val="auto"/>
                <w:position w:val="1"/>
                <w:sz w:val="24"/>
              </w:rPr>
              <w:t>S</w:t>
            </w:r>
            <w:r>
              <w:rPr>
                <w:color w:val="auto"/>
                <w:spacing w:val="9"/>
                <w:position w:val="1"/>
                <w:sz w:val="24"/>
              </w:rPr>
              <w:t>——侵蚀土壤面积，</w:t>
            </w:r>
            <w:r>
              <w:rPr>
                <w:color w:val="auto"/>
                <w:position w:val="1"/>
                <w:sz w:val="24"/>
              </w:rPr>
              <w:t>km</w:t>
            </w:r>
            <w:r>
              <w:rPr>
                <w:color w:val="auto"/>
                <w:position w:val="1"/>
                <w:sz w:val="24"/>
                <w:vertAlign w:val="superscript"/>
              </w:rPr>
              <w:t>2</w:t>
            </w:r>
            <w:r>
              <w:rPr>
                <w:color w:val="auto"/>
                <w:spacing w:val="8"/>
                <w:position w:val="1"/>
                <w:sz w:val="24"/>
              </w:rPr>
              <w:t>。</w:t>
            </w:r>
          </w:p>
          <w:p w14:paraId="7CFC1638">
            <w:pPr>
              <w:widowControl/>
              <w:spacing w:line="360" w:lineRule="auto"/>
              <w:ind w:firstLine="516" w:firstLineChars="200"/>
              <w:rPr>
                <w:b/>
                <w:bCs/>
                <w:color w:val="auto"/>
                <w:kern w:val="0"/>
                <w:sz w:val="24"/>
                <w:lang w:bidi="ar"/>
              </w:rPr>
            </w:pPr>
            <w:r>
              <w:rPr>
                <w:color w:val="auto"/>
                <w:spacing w:val="9"/>
                <w:sz w:val="24"/>
              </w:rPr>
              <w:t>经计算，因施工可能造成的土壤侵蚀总量约为1.0～2.0</w:t>
            </w:r>
            <w:r>
              <w:rPr>
                <w:color w:val="auto"/>
                <w:sz w:val="24"/>
              </w:rPr>
              <w:t>t</w:t>
            </w:r>
            <w:r>
              <w:rPr>
                <w:color w:val="auto"/>
                <w:spacing w:val="9"/>
                <w:sz w:val="24"/>
              </w:rPr>
              <w:t>/</w:t>
            </w:r>
            <w:r>
              <w:rPr>
                <w:color w:val="auto"/>
                <w:sz w:val="24"/>
              </w:rPr>
              <w:t>a</w:t>
            </w:r>
            <w:r>
              <w:rPr>
                <w:color w:val="auto"/>
                <w:spacing w:val="9"/>
                <w:sz w:val="24"/>
              </w:rPr>
              <w:t>。被侵蚀的土壤在大雨条件</w:t>
            </w:r>
            <w:r>
              <w:rPr>
                <w:color w:val="auto"/>
                <w:spacing w:val="5"/>
                <w:sz w:val="24"/>
              </w:rPr>
              <w:t>下</w:t>
            </w:r>
            <w:r>
              <w:rPr>
                <w:color w:val="auto"/>
                <w:spacing w:val="14"/>
                <w:sz w:val="24"/>
              </w:rPr>
              <w:t>会随</w:t>
            </w:r>
            <w:r>
              <w:rPr>
                <w:color w:val="auto"/>
                <w:spacing w:val="9"/>
                <w:sz w:val="24"/>
              </w:rPr>
              <w:t>地</w:t>
            </w:r>
            <w:r>
              <w:rPr>
                <w:color w:val="auto"/>
                <w:spacing w:val="7"/>
                <w:sz w:val="24"/>
              </w:rPr>
              <w:t>表径流进入附近水体，增加了水中悬浮物浓度，更重要的是流失了土地和土壤中的肥</w:t>
            </w:r>
            <w:r>
              <w:rPr>
                <w:color w:val="auto"/>
                <w:spacing w:val="1"/>
                <w:sz w:val="24"/>
              </w:rPr>
              <w:t>力</w:t>
            </w:r>
            <w:r>
              <w:rPr>
                <w:color w:val="auto"/>
                <w:sz w:val="24"/>
              </w:rPr>
              <w:t>。</w:t>
            </w:r>
          </w:p>
          <w:p w14:paraId="6B7D1924">
            <w:pPr>
              <w:spacing w:line="360" w:lineRule="auto"/>
              <w:ind w:firstLine="480" w:firstLineChars="200"/>
              <w:rPr>
                <w:color w:val="auto"/>
                <w:sz w:val="24"/>
              </w:rPr>
            </w:pPr>
            <w:r>
              <w:rPr>
                <w:color w:val="auto"/>
                <w:sz w:val="24"/>
              </w:rPr>
              <w:t>水土流失管控措施：</w:t>
            </w:r>
          </w:p>
          <w:p w14:paraId="393A6A79">
            <w:pPr>
              <w:spacing w:line="360" w:lineRule="auto"/>
              <w:ind w:firstLine="480" w:firstLineChars="200"/>
              <w:rPr>
                <w:color w:val="auto"/>
                <w:sz w:val="24"/>
              </w:rPr>
            </w:pPr>
            <w:r>
              <w:rPr>
                <w:color w:val="auto"/>
                <w:sz w:val="24"/>
              </w:rPr>
              <w:t>根据《山东省水利厅关于发布省级水土流失重点预防区和重点治理区的通告》（鲁水保字〔2016〕1号文），项目区属水土流失重点防治区。水土流失类型以风蚀为主，兼有水蚀，土壤侵蚀强度级别为轻度。</w:t>
            </w:r>
          </w:p>
          <w:p w14:paraId="1113691E">
            <w:pPr>
              <w:spacing w:line="360" w:lineRule="auto"/>
              <w:ind w:firstLine="480" w:firstLineChars="200"/>
              <w:rPr>
                <w:color w:val="auto"/>
                <w:sz w:val="24"/>
              </w:rPr>
            </w:pPr>
            <w:r>
              <w:rPr>
                <w:color w:val="auto"/>
                <w:sz w:val="24"/>
              </w:rPr>
              <w:t>本项目施工过程将扰动地表、破坏植被、增大地表裸露面积，使土壤变得疏松，破坏原有水土保持稳定状态，引起一定程度的水土流失。本项目施工期水土流失类型主要为水力侵蚀，自然恢复期间，水土流失量有所减少。</w:t>
            </w:r>
          </w:p>
          <w:p w14:paraId="30B4707A">
            <w:pPr>
              <w:spacing w:line="360" w:lineRule="auto"/>
              <w:ind w:firstLine="480" w:firstLineChars="200"/>
              <w:rPr>
                <w:color w:val="auto"/>
                <w:sz w:val="24"/>
              </w:rPr>
            </w:pPr>
            <w:r>
              <w:rPr>
                <w:color w:val="auto"/>
                <w:sz w:val="24"/>
              </w:rPr>
              <w:t>本项目施工过程中需对占地范围内的土壤进行表土剥离，单独堆放。本项目考虑将表土采用就近堆放的原则进行临时堆放，并采取临时防护措施，可有效减少水土流失。施工结束后表土用于回填后的表层覆盖土，同时对临时表土堆放场进行复垦。通过采取以上措施后，工程产生的水土流失量在可接受范围内。</w:t>
            </w:r>
          </w:p>
          <w:p w14:paraId="154BC43A">
            <w:pPr>
              <w:spacing w:line="360" w:lineRule="auto"/>
              <w:ind w:firstLine="480" w:firstLineChars="200"/>
              <w:rPr>
                <w:color w:val="auto"/>
                <w:sz w:val="24"/>
              </w:rPr>
            </w:pPr>
            <w:r>
              <w:rPr>
                <w:color w:val="auto"/>
                <w:sz w:val="24"/>
              </w:rPr>
              <w:t>为有效控制工程施工准备期、施工期和自然恢复期各种水土流失的发生，本项目施工过程中临时堆土采取土工布遮盖、四周拦挡等临时防护措施，有效防止雨水冲刷。施工结束后，对临时占地及时进行土地整治、植被恢复和土地复垦。施工期是水土流失防治的重点时期，应加强水土保持工作。</w:t>
            </w:r>
          </w:p>
          <w:p w14:paraId="16B398A0">
            <w:pPr>
              <w:spacing w:line="360" w:lineRule="auto"/>
              <w:ind w:firstLine="480" w:firstLineChars="200"/>
              <w:rPr>
                <w:color w:val="auto"/>
                <w:sz w:val="24"/>
              </w:rPr>
            </w:pPr>
            <w:r>
              <w:rPr>
                <w:color w:val="auto"/>
                <w:sz w:val="24"/>
              </w:rPr>
              <w:t>施工期引起的水土流失影响待施工结束后逐渐消失，运营期地表复原后，只要严格实施各项水土保持措施，不会造成新的水土流失。</w:t>
            </w:r>
          </w:p>
          <w:p w14:paraId="02F2E468">
            <w:pPr>
              <w:spacing w:line="360" w:lineRule="auto"/>
              <w:ind w:firstLine="480" w:firstLineChars="200"/>
              <w:rPr>
                <w:color w:val="auto"/>
                <w:sz w:val="24"/>
              </w:rPr>
            </w:pPr>
            <w:r>
              <w:rPr>
                <w:color w:val="auto"/>
                <w:sz w:val="24"/>
              </w:rPr>
              <w:t>采取上述措施后，本项目施工期不会出现土壤酸化或碱化问题，也不会加重土壤盐化，对周围土壤环境影响较小，而且施工期的影响是短期的，工程结束后，将不复存在。</w:t>
            </w:r>
          </w:p>
          <w:p w14:paraId="6DED6B03">
            <w:pPr>
              <w:widowControl/>
              <w:spacing w:line="360" w:lineRule="auto"/>
              <w:ind w:left="105" w:leftChars="50" w:right="105" w:rightChars="50" w:firstLine="480" w:firstLineChars="200"/>
              <w:rPr>
                <w:color w:val="auto"/>
                <w:kern w:val="0"/>
                <w:sz w:val="24"/>
                <w:lang w:bidi="ar"/>
              </w:rPr>
            </w:pPr>
            <w:r>
              <w:rPr>
                <w:color w:val="auto"/>
                <w:kern w:val="0"/>
                <w:sz w:val="24"/>
                <w:lang w:bidi="ar"/>
              </w:rPr>
              <w:t>4、临时占地环境影响</w:t>
            </w:r>
          </w:p>
          <w:p w14:paraId="482F37EB">
            <w:pPr>
              <w:widowControl/>
              <w:spacing w:line="360" w:lineRule="auto"/>
              <w:ind w:firstLine="508" w:firstLineChars="200"/>
              <w:rPr>
                <w:rFonts w:hint="eastAsia" w:eastAsia="宋体"/>
                <w:color w:val="auto"/>
                <w:spacing w:val="7"/>
                <w:sz w:val="24"/>
                <w:lang w:eastAsia="zh-CN"/>
              </w:rPr>
            </w:pPr>
            <w:r>
              <w:rPr>
                <w:color w:val="auto"/>
                <w:spacing w:val="7"/>
                <w:sz w:val="24"/>
              </w:rPr>
              <w:t>拟建项目临时占地主要包括办公及生活设施、综合加工厂、机械设备修配厂、施工临时道路及土方临时堆存等</w:t>
            </w:r>
            <w:r>
              <w:rPr>
                <w:rFonts w:hint="eastAsia"/>
                <w:color w:val="auto"/>
                <w:spacing w:val="7"/>
                <w:sz w:val="24"/>
                <w:lang w:eastAsia="zh-CN"/>
              </w:rPr>
              <w:t>。</w:t>
            </w:r>
          </w:p>
          <w:p w14:paraId="76E5CB85">
            <w:pPr>
              <w:spacing w:line="360" w:lineRule="auto"/>
              <w:ind w:firstLine="480" w:firstLineChars="200"/>
              <w:rPr>
                <w:rFonts w:hint="eastAsia" w:eastAsia="宋体"/>
                <w:color w:val="auto"/>
                <w:sz w:val="24"/>
                <w:lang w:eastAsia="zh-CN"/>
              </w:rPr>
            </w:pPr>
            <w:r>
              <w:rPr>
                <w:color w:val="auto"/>
                <w:sz w:val="24"/>
              </w:rPr>
              <w:t>施工区临时占地场地平整、植被恢复保护措施</w:t>
            </w:r>
            <w:r>
              <w:rPr>
                <w:rFonts w:hint="eastAsia"/>
                <w:color w:val="auto"/>
                <w:sz w:val="24"/>
                <w:lang w:eastAsia="zh-CN"/>
              </w:rPr>
              <w:t>：</w:t>
            </w:r>
          </w:p>
          <w:p w14:paraId="68BD934B">
            <w:pPr>
              <w:spacing w:line="360" w:lineRule="auto"/>
              <w:ind w:firstLine="480" w:firstLineChars="200"/>
              <w:rPr>
                <w:color w:val="auto"/>
                <w:sz w:val="24"/>
              </w:rPr>
            </w:pPr>
            <w:r>
              <w:rPr>
                <w:color w:val="auto"/>
                <w:sz w:val="24"/>
              </w:rPr>
              <w:t>本工程临时占地为</w:t>
            </w:r>
            <w:r>
              <w:rPr>
                <w:rFonts w:hint="eastAsia"/>
                <w:color w:val="auto"/>
                <w:sz w:val="24"/>
              </w:rPr>
              <w:t>水域及水利设施用地、其他土地</w:t>
            </w:r>
            <w:r>
              <w:rPr>
                <w:color w:val="auto"/>
                <w:sz w:val="24"/>
              </w:rPr>
              <w:t>等，施工临时占地布设应结合当地条件，因地制宜，合理规划堆料场，尽量少占耕地，施工场区选择在植被少、距离区域道路较近的场地。对于植被生长较好的地段及对临时占地范围的树苗采取移栽措施，禁止砍伐。施工结束时，临时生产生活区拆除工程中，应彻底清除施工场地上所有渣土、混凝土、废旧机械构件，涉及到部分临时建筑、附件设施的拆除，将产生一些废渣、废料，这部分废渣应按临时生产生活区所处不同的位置分别收集后集中清运；拆除形成的裸露地表坑洼不平，应实施土地整治。对临时工程扰动区域以机械为主、人工配合的方式进行土地整治，促其自然恢复。土地整治后选择以适合当地生长的植物进行播种，并进行养护，从而增加区域植被数量；对于少量不能进行植被恢复的区域，进行平整压实，以减轻水土流失。对施工过程中的损坏路面施工结束后对损坏路面恢复，恢复强度不得小于原工程强度。</w:t>
            </w:r>
          </w:p>
          <w:p w14:paraId="70D4216A">
            <w:pPr>
              <w:widowControl/>
              <w:spacing w:line="360" w:lineRule="auto"/>
              <w:ind w:firstLine="508" w:firstLineChars="200"/>
              <w:rPr>
                <w:color w:val="auto"/>
                <w:spacing w:val="7"/>
                <w:sz w:val="24"/>
              </w:rPr>
            </w:pPr>
            <w:r>
              <w:rPr>
                <w:color w:val="auto"/>
                <w:spacing w:val="7"/>
                <w:sz w:val="24"/>
              </w:rPr>
              <w:t>拟建项目临时施工场地土地现状为空地，远离环境敏感点，占地面积较小，挖深较浅，不会形成高陡边坡，产生的水土流失量相对较小。施工前将临时占地的地面表土剥离并按要求堆放，等项目建设完成后用于恢复临时用地表面植被。</w:t>
            </w:r>
          </w:p>
          <w:p w14:paraId="6FC8F77E">
            <w:pPr>
              <w:widowControl/>
              <w:spacing w:line="360" w:lineRule="auto"/>
              <w:ind w:firstLine="508" w:firstLineChars="200"/>
              <w:rPr>
                <w:color w:val="auto"/>
                <w:spacing w:val="7"/>
                <w:sz w:val="24"/>
              </w:rPr>
            </w:pPr>
            <w:r>
              <w:rPr>
                <w:color w:val="auto"/>
                <w:spacing w:val="7"/>
                <w:sz w:val="24"/>
              </w:rPr>
              <w:t>项目建设中会造成一定程度的植被损失，破坏的植被不会对沿线生态系统物种的丰度和生态功能产生影响。工程建设不会干扰该区域动物的正常活动，也不会对其生活习性造成大的改变。</w:t>
            </w:r>
          </w:p>
          <w:p w14:paraId="1452C011">
            <w:pPr>
              <w:widowControl/>
              <w:spacing w:line="360" w:lineRule="auto"/>
              <w:ind w:firstLine="508" w:firstLineChars="200"/>
              <w:rPr>
                <w:color w:val="auto"/>
                <w:spacing w:val="7"/>
                <w:sz w:val="24"/>
              </w:rPr>
            </w:pPr>
            <w:r>
              <w:rPr>
                <w:rFonts w:hint="eastAsia"/>
                <w:color w:val="auto"/>
                <w:spacing w:val="7"/>
                <w:sz w:val="24"/>
                <w:lang w:val="en-US" w:eastAsia="zh-CN"/>
              </w:rPr>
              <w:t>5</w:t>
            </w:r>
            <w:r>
              <w:rPr>
                <w:color w:val="auto"/>
                <w:spacing w:val="7"/>
                <w:sz w:val="24"/>
              </w:rPr>
              <w:t>、景观生态环境影响分析</w:t>
            </w:r>
          </w:p>
          <w:p w14:paraId="459F008D">
            <w:pPr>
              <w:widowControl/>
              <w:spacing w:line="360" w:lineRule="auto"/>
              <w:ind w:firstLine="508" w:firstLineChars="200"/>
              <w:rPr>
                <w:color w:val="auto"/>
                <w:spacing w:val="7"/>
                <w:sz w:val="24"/>
              </w:rPr>
            </w:pPr>
            <w:r>
              <w:rPr>
                <w:color w:val="auto"/>
                <w:spacing w:val="7"/>
                <w:sz w:val="24"/>
              </w:rPr>
              <w:t>项目施工期，由于临时建筑及工程施工活动频繁，对作业区景观环境影响较大。由于作业区多集中于项目用地范围内，工程直接影响范围相对较小，但临时占地、施工场地及作业活动由于改变原有地貌景观，会产生视觉污染。主要表现为：</w:t>
            </w:r>
          </w:p>
          <w:p w14:paraId="7FE4F9C9">
            <w:pPr>
              <w:widowControl/>
              <w:spacing w:line="360" w:lineRule="auto"/>
              <w:ind w:firstLine="508" w:firstLineChars="200"/>
              <w:rPr>
                <w:color w:val="auto"/>
                <w:spacing w:val="7"/>
                <w:sz w:val="24"/>
              </w:rPr>
            </w:pPr>
            <w:r>
              <w:rPr>
                <w:color w:val="auto"/>
                <w:spacing w:val="7"/>
                <w:sz w:val="24"/>
              </w:rPr>
              <w:t>①对地貌形态的影响</w:t>
            </w:r>
          </w:p>
          <w:p w14:paraId="0E4F88B0">
            <w:pPr>
              <w:widowControl/>
              <w:spacing w:line="360" w:lineRule="auto"/>
              <w:ind w:firstLine="508" w:firstLineChars="200"/>
              <w:rPr>
                <w:color w:val="auto"/>
                <w:spacing w:val="7"/>
                <w:sz w:val="24"/>
              </w:rPr>
            </w:pPr>
            <w:r>
              <w:rPr>
                <w:color w:val="auto"/>
                <w:spacing w:val="7"/>
                <w:sz w:val="24"/>
              </w:rPr>
              <w:t>项目地貌类型主要为平原。在施工过程中，项目不会改变境内地形的基本态势；不会在境内构成新的地理分界线，进而改变现有的地貌单元构成；在保证地表径流通畅基本不变的情况下，不会改变现有地表径流汇水区域的基本格局，不会对区域地貌单元格局产生影响。通过上述分析来看，项目建设不会改变其沿线的地貌类型构成，也不会由此产生新的地貌单元，因此，不会对沿线地貌形态产生影响。</w:t>
            </w:r>
          </w:p>
          <w:p w14:paraId="1C3B745F">
            <w:pPr>
              <w:widowControl/>
              <w:spacing w:line="360" w:lineRule="auto"/>
              <w:ind w:firstLine="508" w:firstLineChars="200"/>
              <w:rPr>
                <w:color w:val="auto"/>
                <w:spacing w:val="7"/>
                <w:sz w:val="24"/>
              </w:rPr>
            </w:pPr>
            <w:r>
              <w:rPr>
                <w:color w:val="auto"/>
                <w:spacing w:val="7"/>
                <w:sz w:val="24"/>
              </w:rPr>
              <w:t>②临时工程对景观影响</w:t>
            </w:r>
          </w:p>
          <w:p w14:paraId="2FEC2F56">
            <w:pPr>
              <w:widowControl/>
              <w:spacing w:line="360" w:lineRule="auto"/>
              <w:ind w:firstLine="508" w:firstLineChars="200"/>
              <w:rPr>
                <w:color w:val="auto"/>
                <w:spacing w:val="7"/>
                <w:sz w:val="24"/>
              </w:rPr>
            </w:pPr>
            <w:r>
              <w:rPr>
                <w:color w:val="auto"/>
                <w:spacing w:val="7"/>
                <w:sz w:val="24"/>
              </w:rPr>
              <w:t>临时工程对景观环境的影响主要表现为施工及生活垃圾污染环境，粉尘飞扬污染空气，植物枝叶积尘过多易发生灼伤或机械损伤。由于工程临时性用地多具有较好的肥力土层，容易进行复垦利用，施工结束后，在较短的时间内就能实现植被恢复。因此，采取适当的措施保护有肥力的土层具有重要意义。设置的临时</w:t>
            </w:r>
            <w:r>
              <w:rPr>
                <w:rFonts w:hint="eastAsia"/>
                <w:color w:val="auto"/>
                <w:spacing w:val="7"/>
                <w:sz w:val="24"/>
              </w:rPr>
              <w:t>设施区</w:t>
            </w:r>
            <w:r>
              <w:rPr>
                <w:color w:val="auto"/>
                <w:spacing w:val="7"/>
                <w:sz w:val="24"/>
              </w:rPr>
              <w:t>，临时堆土区</w:t>
            </w:r>
            <w:r>
              <w:rPr>
                <w:rFonts w:hint="eastAsia"/>
                <w:color w:val="auto"/>
                <w:spacing w:val="7"/>
                <w:sz w:val="24"/>
              </w:rPr>
              <w:t>设</w:t>
            </w:r>
            <w:r>
              <w:rPr>
                <w:color w:val="auto"/>
                <w:spacing w:val="7"/>
                <w:sz w:val="24"/>
              </w:rPr>
              <w:t>置沉淀池等临时工程，上述临时工程的修建与投入使用，无疑对周围景观环境带来不利影响。总体而言，本项目地区受长期农业开发活动的影响，自然生态环境破坏较为严重，本项目建设期间，并不改变以城镇、农田为基质的生态景观环境，因此本项目施工对沿线地区生态环境影响较小。</w:t>
            </w:r>
          </w:p>
          <w:p w14:paraId="5CCA9D5A">
            <w:pPr>
              <w:widowControl/>
              <w:spacing w:line="360" w:lineRule="auto"/>
              <w:ind w:firstLine="508" w:firstLineChars="200"/>
              <w:rPr>
                <w:color w:val="auto"/>
                <w:spacing w:val="7"/>
                <w:sz w:val="24"/>
              </w:rPr>
            </w:pPr>
            <w:r>
              <w:rPr>
                <w:color w:val="auto"/>
                <w:spacing w:val="7"/>
                <w:sz w:val="24"/>
              </w:rPr>
              <w:t>本工程施工过程中不涉及占用、穿越生态保护红线，不在红线保护区范围内设置临时道路，不会向红线保护区周边区域倾倒固体废弃物，施工期固废不会对生态红线范围周边环境造成影响。</w:t>
            </w:r>
          </w:p>
          <w:p w14:paraId="748D9194">
            <w:pPr>
              <w:pStyle w:val="37"/>
              <w:adjustRightInd/>
              <w:snapToGrid/>
              <w:ind w:left="105" w:leftChars="50" w:right="105" w:rightChars="50" w:firstLine="482"/>
              <w:jc w:val="both"/>
              <w:rPr>
                <w:rFonts w:cs="Times New Roman"/>
                <w:b/>
                <w:color w:val="auto"/>
                <w:szCs w:val="24"/>
              </w:rPr>
            </w:pPr>
            <w:r>
              <w:rPr>
                <w:rFonts w:cs="Times New Roman"/>
                <w:b/>
                <w:color w:val="auto"/>
                <w:szCs w:val="24"/>
              </w:rPr>
              <w:t>二、运营期</w:t>
            </w:r>
          </w:p>
          <w:p w14:paraId="7616D93E">
            <w:pPr>
              <w:widowControl/>
              <w:spacing w:line="360" w:lineRule="auto"/>
              <w:ind w:left="105" w:leftChars="50" w:right="105" w:rightChars="50" w:firstLine="480" w:firstLineChars="200"/>
              <w:rPr>
                <w:color w:val="auto"/>
                <w:sz w:val="24"/>
              </w:rPr>
            </w:pPr>
            <w:r>
              <w:rPr>
                <w:color w:val="auto"/>
                <w:kern w:val="0"/>
                <w:sz w:val="24"/>
                <w:lang w:bidi="ar"/>
              </w:rPr>
              <w:t>本项目为</w:t>
            </w:r>
            <w:r>
              <w:rPr>
                <w:rFonts w:hint="eastAsia"/>
                <w:color w:val="auto"/>
                <w:kern w:val="0"/>
                <w:sz w:val="24"/>
                <w:lang w:bidi="ar"/>
              </w:rPr>
              <w:t>防洪排涝</w:t>
            </w:r>
            <w:r>
              <w:rPr>
                <w:color w:val="auto"/>
                <w:kern w:val="0"/>
                <w:sz w:val="24"/>
                <w:lang w:bidi="ar"/>
              </w:rPr>
              <w:t>项目</w:t>
            </w:r>
            <w:r>
              <w:rPr>
                <w:rFonts w:hint="eastAsia"/>
                <w:color w:val="auto"/>
                <w:kern w:val="0"/>
                <w:sz w:val="24"/>
                <w:lang w:eastAsia="zh-CN" w:bidi="ar"/>
              </w:rPr>
              <w:t>及</w:t>
            </w:r>
            <w:r>
              <w:rPr>
                <w:rFonts w:hint="eastAsia"/>
                <w:color w:val="auto"/>
                <w:kern w:val="0"/>
                <w:sz w:val="24"/>
                <w:lang w:val="en-US" w:eastAsia="zh-CN" w:bidi="ar"/>
              </w:rPr>
              <w:t>城镇供排水工程</w:t>
            </w:r>
            <w:r>
              <w:rPr>
                <w:rFonts w:hint="eastAsia"/>
                <w:color w:val="auto"/>
                <w:kern w:val="0"/>
                <w:sz w:val="24"/>
                <w:lang w:bidi="ar"/>
              </w:rPr>
              <w:t>项目</w:t>
            </w:r>
            <w:r>
              <w:rPr>
                <w:color w:val="auto"/>
                <w:kern w:val="0"/>
                <w:sz w:val="24"/>
                <w:lang w:bidi="ar"/>
              </w:rPr>
              <w:t>，整治后可完善河流域防洪除涝体系，兴利除害，发挥防洪、除涝、抗旱综合效益。</w:t>
            </w:r>
          </w:p>
          <w:p w14:paraId="659910BD">
            <w:pPr>
              <w:widowControl/>
              <w:spacing w:line="360" w:lineRule="auto"/>
              <w:ind w:left="105" w:leftChars="50" w:right="105" w:rightChars="50" w:firstLine="480" w:firstLineChars="200"/>
              <w:rPr>
                <w:color w:val="auto"/>
                <w:sz w:val="24"/>
              </w:rPr>
            </w:pPr>
            <w:r>
              <w:rPr>
                <w:color w:val="auto"/>
                <w:kern w:val="0"/>
                <w:sz w:val="24"/>
                <w:lang w:bidi="ar"/>
              </w:rPr>
              <w:t>工程运营期主要为生态影响，是由于河道疏挖，带来水文情势的变化，这种变化给水生生物带来影响，由于水量变大，水生生物可能增加。</w:t>
            </w:r>
          </w:p>
          <w:p w14:paraId="3C240E2F">
            <w:pPr>
              <w:widowControl/>
              <w:numPr>
                <w:ilvl w:val="0"/>
                <w:numId w:val="11"/>
              </w:numPr>
              <w:spacing w:line="360" w:lineRule="auto"/>
              <w:ind w:firstLine="480" w:firstLineChars="200"/>
              <w:rPr>
                <w:color w:val="auto"/>
                <w:kern w:val="0"/>
                <w:sz w:val="24"/>
                <w:lang w:bidi="ar"/>
              </w:rPr>
            </w:pPr>
            <w:r>
              <w:rPr>
                <w:color w:val="auto"/>
                <w:kern w:val="0"/>
                <w:sz w:val="24"/>
                <w:lang w:bidi="ar"/>
              </w:rPr>
              <w:t>废水</w:t>
            </w:r>
          </w:p>
          <w:p w14:paraId="4E40EDA6">
            <w:pPr>
              <w:widowControl/>
              <w:spacing w:line="360" w:lineRule="auto"/>
              <w:ind w:firstLine="504" w:firstLineChars="200"/>
              <w:rPr>
                <w:color w:val="auto"/>
                <w:spacing w:val="9"/>
                <w:sz w:val="24"/>
              </w:rPr>
            </w:pPr>
            <w:r>
              <w:rPr>
                <w:color w:val="auto"/>
                <w:spacing w:val="6"/>
                <w:sz w:val="24"/>
              </w:rPr>
              <w:t>本项目运</w:t>
            </w:r>
            <w:r>
              <w:rPr>
                <w:color w:val="auto"/>
                <w:spacing w:val="5"/>
                <w:sz w:val="24"/>
              </w:rPr>
              <w:t>营</w:t>
            </w:r>
            <w:r>
              <w:rPr>
                <w:color w:val="auto"/>
                <w:spacing w:val="3"/>
                <w:sz w:val="24"/>
              </w:rPr>
              <w:t>期无废水产生。根据对同类型工程分析，项目涉及的河道经过本项目整治后，</w:t>
            </w:r>
            <w:r>
              <w:rPr>
                <w:color w:val="auto"/>
                <w:spacing w:val="10"/>
                <w:sz w:val="24"/>
              </w:rPr>
              <w:t>对</w:t>
            </w:r>
            <w:r>
              <w:rPr>
                <w:color w:val="auto"/>
                <w:spacing w:val="9"/>
                <w:sz w:val="24"/>
              </w:rPr>
              <w:t>河岸的防洪抗涝能力的改善有着积极的作用。</w:t>
            </w:r>
          </w:p>
          <w:p w14:paraId="2BE9EB92">
            <w:pPr>
              <w:widowControl/>
              <w:numPr>
                <w:ilvl w:val="0"/>
                <w:numId w:val="11"/>
              </w:numPr>
              <w:spacing w:line="360" w:lineRule="auto"/>
              <w:ind w:firstLine="516" w:firstLineChars="200"/>
              <w:rPr>
                <w:color w:val="auto"/>
                <w:spacing w:val="9"/>
                <w:sz w:val="24"/>
              </w:rPr>
            </w:pPr>
            <w:r>
              <w:rPr>
                <w:color w:val="auto"/>
                <w:spacing w:val="9"/>
                <w:sz w:val="24"/>
              </w:rPr>
              <w:t>废气</w:t>
            </w:r>
          </w:p>
          <w:p w14:paraId="47FF19F4">
            <w:pPr>
              <w:widowControl/>
              <w:spacing w:line="360" w:lineRule="auto"/>
              <w:ind w:firstLine="480" w:firstLineChars="200"/>
              <w:rPr>
                <w:color w:val="auto"/>
                <w:kern w:val="0"/>
                <w:sz w:val="24"/>
                <w:lang w:bidi="ar"/>
              </w:rPr>
            </w:pPr>
            <w:r>
              <w:rPr>
                <w:color w:val="auto"/>
                <w:kern w:val="0"/>
                <w:sz w:val="24"/>
                <w:lang w:bidi="ar"/>
              </w:rPr>
              <w:t>本项目运营期无废气产生。</w:t>
            </w:r>
          </w:p>
          <w:p w14:paraId="20937E48">
            <w:pPr>
              <w:widowControl/>
              <w:numPr>
                <w:ilvl w:val="0"/>
                <w:numId w:val="11"/>
              </w:numPr>
              <w:spacing w:line="360" w:lineRule="auto"/>
              <w:ind w:firstLine="480" w:firstLineChars="200"/>
              <w:rPr>
                <w:color w:val="auto"/>
                <w:kern w:val="0"/>
                <w:sz w:val="24"/>
                <w:lang w:bidi="ar"/>
              </w:rPr>
            </w:pPr>
            <w:r>
              <w:rPr>
                <w:color w:val="auto"/>
                <w:kern w:val="0"/>
                <w:sz w:val="24"/>
                <w:lang w:bidi="ar"/>
              </w:rPr>
              <w:t>噪声</w:t>
            </w:r>
          </w:p>
          <w:p w14:paraId="5560656C">
            <w:pPr>
              <w:widowControl/>
              <w:spacing w:line="360" w:lineRule="auto"/>
              <w:ind w:firstLine="480" w:firstLineChars="200"/>
              <w:rPr>
                <w:color w:val="auto"/>
                <w:kern w:val="0"/>
                <w:sz w:val="24"/>
                <w:lang w:bidi="ar"/>
              </w:rPr>
            </w:pPr>
            <w:r>
              <w:rPr>
                <w:bCs/>
                <w:color w:val="auto"/>
                <w:sz w:val="24"/>
              </w:rPr>
              <w:t>本项目属于</w:t>
            </w:r>
            <w:r>
              <w:rPr>
                <w:rFonts w:hint="eastAsia"/>
                <w:bCs/>
                <w:color w:val="auto"/>
                <w:sz w:val="24"/>
              </w:rPr>
              <w:t>防洪排涝项目</w:t>
            </w:r>
            <w:r>
              <w:rPr>
                <w:rFonts w:hint="eastAsia"/>
                <w:color w:val="auto"/>
                <w:kern w:val="0"/>
                <w:sz w:val="24"/>
                <w:lang w:eastAsia="zh-CN" w:bidi="ar"/>
              </w:rPr>
              <w:t>及</w:t>
            </w:r>
            <w:r>
              <w:rPr>
                <w:rFonts w:hint="eastAsia"/>
                <w:color w:val="auto"/>
                <w:kern w:val="0"/>
                <w:sz w:val="24"/>
                <w:lang w:val="en-US" w:eastAsia="zh-CN" w:bidi="ar"/>
              </w:rPr>
              <w:t>城镇供排水工程</w:t>
            </w:r>
            <w:r>
              <w:rPr>
                <w:rFonts w:hint="eastAsia"/>
                <w:color w:val="auto"/>
                <w:kern w:val="0"/>
                <w:sz w:val="24"/>
                <w:lang w:eastAsia="zh-CN" w:bidi="ar"/>
              </w:rPr>
              <w:t>项目</w:t>
            </w:r>
            <w:r>
              <w:rPr>
                <w:bCs/>
                <w:color w:val="auto"/>
                <w:sz w:val="24"/>
              </w:rPr>
              <w:t>，运营期间无噪声产生。</w:t>
            </w:r>
          </w:p>
          <w:p w14:paraId="6E1FD532">
            <w:pPr>
              <w:widowControl/>
              <w:numPr>
                <w:ilvl w:val="0"/>
                <w:numId w:val="11"/>
              </w:numPr>
              <w:spacing w:line="360" w:lineRule="auto"/>
              <w:ind w:firstLine="480" w:firstLineChars="200"/>
              <w:rPr>
                <w:color w:val="auto"/>
                <w:kern w:val="0"/>
                <w:sz w:val="24"/>
                <w:lang w:bidi="ar"/>
              </w:rPr>
            </w:pPr>
            <w:r>
              <w:rPr>
                <w:color w:val="auto"/>
                <w:kern w:val="0"/>
                <w:sz w:val="24"/>
                <w:lang w:bidi="ar"/>
              </w:rPr>
              <w:t>固废</w:t>
            </w:r>
          </w:p>
          <w:p w14:paraId="5642CDC2">
            <w:pPr>
              <w:widowControl/>
              <w:spacing w:line="360" w:lineRule="auto"/>
              <w:ind w:firstLine="480" w:firstLineChars="200"/>
              <w:rPr>
                <w:color w:val="auto"/>
                <w:kern w:val="0"/>
                <w:sz w:val="24"/>
                <w:lang w:bidi="ar"/>
              </w:rPr>
            </w:pPr>
            <w:r>
              <w:rPr>
                <w:color w:val="auto"/>
                <w:kern w:val="0"/>
                <w:sz w:val="24"/>
                <w:lang w:bidi="ar"/>
              </w:rPr>
              <w:t>本项目运营期无固体废物产生。</w:t>
            </w:r>
          </w:p>
          <w:p w14:paraId="5BDC6936">
            <w:pPr>
              <w:widowControl/>
              <w:numPr>
                <w:ilvl w:val="0"/>
                <w:numId w:val="11"/>
              </w:numPr>
              <w:spacing w:line="360" w:lineRule="auto"/>
              <w:ind w:firstLine="480" w:firstLineChars="200"/>
              <w:rPr>
                <w:color w:val="auto"/>
                <w:kern w:val="0"/>
                <w:sz w:val="24"/>
                <w:lang w:bidi="ar"/>
              </w:rPr>
            </w:pPr>
            <w:r>
              <w:rPr>
                <w:color w:val="auto"/>
                <w:kern w:val="0"/>
                <w:sz w:val="24"/>
                <w:lang w:bidi="ar"/>
              </w:rPr>
              <w:t>生态影响</w:t>
            </w:r>
          </w:p>
          <w:p w14:paraId="31BD1F60">
            <w:pPr>
              <w:widowControl/>
              <w:spacing w:line="360" w:lineRule="auto"/>
              <w:ind w:firstLine="480" w:firstLineChars="200"/>
              <w:rPr>
                <w:color w:val="auto"/>
                <w:sz w:val="24"/>
              </w:rPr>
            </w:pPr>
            <w:r>
              <w:rPr>
                <w:color w:val="auto"/>
                <w:kern w:val="0"/>
                <w:sz w:val="24"/>
                <w:lang w:bidi="ar"/>
              </w:rPr>
              <w:t>1、对自然体系生产力的影响</w:t>
            </w:r>
          </w:p>
          <w:p w14:paraId="3F6968C9">
            <w:pPr>
              <w:widowControl/>
              <w:spacing w:line="360" w:lineRule="auto"/>
              <w:ind w:firstLine="480" w:firstLineChars="200"/>
              <w:rPr>
                <w:color w:val="auto"/>
                <w:sz w:val="24"/>
              </w:rPr>
            </w:pPr>
            <w:r>
              <w:rPr>
                <w:color w:val="auto"/>
                <w:kern w:val="0"/>
                <w:sz w:val="24"/>
                <w:lang w:bidi="ar"/>
              </w:rPr>
              <w:t>工程运行后，河流水面面积有所增加，水环境得以改善，生态环境质量提高，生物量逐渐恢复。因此，自然系统的生产能力可以得以恢复。</w:t>
            </w:r>
          </w:p>
          <w:p w14:paraId="49E5C8BA">
            <w:pPr>
              <w:widowControl/>
              <w:spacing w:line="360" w:lineRule="auto"/>
              <w:ind w:firstLine="480" w:firstLineChars="200"/>
              <w:rPr>
                <w:color w:val="auto"/>
                <w:sz w:val="24"/>
              </w:rPr>
            </w:pPr>
            <w:r>
              <w:rPr>
                <w:color w:val="auto"/>
                <w:kern w:val="0"/>
                <w:sz w:val="24"/>
                <w:lang w:bidi="ar"/>
              </w:rPr>
              <w:t>2、对自然系统稳定性的影响</w:t>
            </w:r>
          </w:p>
          <w:p w14:paraId="0F525C05">
            <w:pPr>
              <w:widowControl/>
              <w:spacing w:line="360" w:lineRule="auto"/>
              <w:ind w:firstLine="480" w:firstLineChars="200"/>
              <w:rPr>
                <w:color w:val="auto"/>
                <w:sz w:val="24"/>
              </w:rPr>
            </w:pPr>
            <w:r>
              <w:rPr>
                <w:color w:val="auto"/>
                <w:kern w:val="0"/>
                <w:sz w:val="24"/>
                <w:lang w:bidi="ar"/>
              </w:rPr>
              <w:t>①对恢复稳定性的影响</w:t>
            </w:r>
          </w:p>
          <w:p w14:paraId="65A0D420">
            <w:pPr>
              <w:widowControl/>
              <w:spacing w:line="360" w:lineRule="auto"/>
              <w:ind w:firstLine="480" w:firstLineChars="200"/>
              <w:rPr>
                <w:color w:val="auto"/>
                <w:sz w:val="24"/>
              </w:rPr>
            </w:pPr>
            <w:r>
              <w:rPr>
                <w:color w:val="auto"/>
                <w:kern w:val="0"/>
                <w:sz w:val="24"/>
                <w:lang w:bidi="ar"/>
              </w:rPr>
              <w:t>恢复稳定性与自然系统生物量的关系密切。前述可知，运营期间河道两侧部分生物量损失可以得以恢复，所以在运营期，施工区的恢复稳定性也可以维护在系统背景恢复稳定性状况。</w:t>
            </w:r>
          </w:p>
          <w:p w14:paraId="65F6C52F">
            <w:pPr>
              <w:widowControl/>
              <w:spacing w:line="360" w:lineRule="auto"/>
              <w:ind w:firstLine="480" w:firstLineChars="200"/>
              <w:rPr>
                <w:color w:val="auto"/>
                <w:sz w:val="24"/>
              </w:rPr>
            </w:pPr>
            <w:r>
              <w:rPr>
                <w:color w:val="auto"/>
                <w:kern w:val="0"/>
                <w:sz w:val="24"/>
                <w:lang w:bidi="ar"/>
              </w:rPr>
              <w:t>②对阻抗稳定性的影响</w:t>
            </w:r>
          </w:p>
          <w:p w14:paraId="46F79C0D">
            <w:pPr>
              <w:widowControl/>
              <w:spacing w:line="360" w:lineRule="auto"/>
              <w:ind w:firstLine="480" w:firstLineChars="200"/>
              <w:rPr>
                <w:color w:val="auto"/>
                <w:sz w:val="24"/>
              </w:rPr>
            </w:pPr>
            <w:r>
              <w:rPr>
                <w:color w:val="auto"/>
                <w:kern w:val="0"/>
                <w:sz w:val="24"/>
                <w:lang w:bidi="ar"/>
              </w:rPr>
              <w:t>对河流生态系统阻抗稳定性的影响主要是：由于工程结束后水量增大、水质变好，会使当地河流生态系统生物多样性增加。因此，工程对于地区阻抗稳定性的影响利大于弊。</w:t>
            </w:r>
          </w:p>
          <w:p w14:paraId="242A81DB">
            <w:pPr>
              <w:widowControl/>
              <w:spacing w:line="360" w:lineRule="auto"/>
              <w:ind w:firstLine="480" w:firstLineChars="200"/>
              <w:rPr>
                <w:color w:val="auto"/>
                <w:sz w:val="24"/>
              </w:rPr>
            </w:pPr>
            <w:r>
              <w:rPr>
                <w:color w:val="auto"/>
                <w:kern w:val="0"/>
                <w:sz w:val="24"/>
                <w:lang w:bidi="ar"/>
              </w:rPr>
              <w:t>③对河流水生生态系统完整性维护的结论</w:t>
            </w:r>
          </w:p>
          <w:p w14:paraId="0DC46DF4">
            <w:pPr>
              <w:widowControl/>
              <w:spacing w:line="360" w:lineRule="auto"/>
              <w:ind w:firstLine="480" w:firstLineChars="200"/>
              <w:rPr>
                <w:color w:val="auto"/>
                <w:sz w:val="24"/>
              </w:rPr>
            </w:pPr>
            <w:r>
              <w:rPr>
                <w:color w:val="auto"/>
                <w:kern w:val="0"/>
                <w:sz w:val="24"/>
                <w:lang w:bidi="ar"/>
              </w:rPr>
              <w:t>1）河道清淤后，清除多年沉积的有机污染物，水环境相对改善，水生生物的生境也相对改善，有助于水生生物的生长，施工带来的水生生物量损失得以恢复，因此，自然系统生产力基本不受影响。</w:t>
            </w:r>
          </w:p>
          <w:p w14:paraId="43BAD061">
            <w:pPr>
              <w:widowControl/>
              <w:spacing w:line="360" w:lineRule="auto"/>
              <w:ind w:firstLine="480" w:firstLineChars="200"/>
              <w:rPr>
                <w:color w:val="auto"/>
                <w:sz w:val="24"/>
              </w:rPr>
            </w:pPr>
            <w:r>
              <w:rPr>
                <w:color w:val="auto"/>
                <w:kern w:val="0"/>
                <w:sz w:val="24"/>
                <w:lang w:bidi="ar"/>
              </w:rPr>
              <w:t>2）根据前面分析，工程运行后，自然系统的恢复和阻抗稳定性得以维护。</w:t>
            </w:r>
          </w:p>
          <w:p w14:paraId="70D8EF8E">
            <w:pPr>
              <w:widowControl/>
              <w:spacing w:line="360" w:lineRule="auto"/>
              <w:ind w:firstLine="480" w:firstLineChars="200"/>
              <w:rPr>
                <w:b/>
                <w:color w:val="auto"/>
                <w:sz w:val="24"/>
              </w:rPr>
            </w:pPr>
            <w:r>
              <w:rPr>
                <w:color w:val="auto"/>
                <w:kern w:val="0"/>
                <w:sz w:val="24"/>
                <w:lang w:bidi="ar"/>
              </w:rPr>
              <w:t>因此，从生态完整性维护的角度看，工程的运营对地区生态完整性的影响较小，地区现状生态完整性是可以得以维护的。</w:t>
            </w:r>
          </w:p>
        </w:tc>
      </w:tr>
      <w:tr w14:paraId="1DB895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48" w:hRule="atLeast"/>
          <w:jc w:val="center"/>
        </w:trPr>
        <w:tc>
          <w:tcPr>
            <w:tcW w:w="392" w:type="pct"/>
            <w:vAlign w:val="center"/>
          </w:tcPr>
          <w:p w14:paraId="1C9FBACB">
            <w:pPr>
              <w:pStyle w:val="17"/>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bCs/>
                <w:color w:val="auto"/>
                <w:kern w:val="2"/>
              </w:rPr>
              <w:t>选址选线环境合理性分析</w:t>
            </w:r>
          </w:p>
        </w:tc>
        <w:tc>
          <w:tcPr>
            <w:tcW w:w="4607" w:type="pct"/>
            <w:vAlign w:val="center"/>
          </w:tcPr>
          <w:p w14:paraId="5C6EB799">
            <w:pPr>
              <w:keepNext w:val="0"/>
              <w:keepLines w:val="0"/>
              <w:pageBreakBefore w:val="0"/>
              <w:widowControl w:val="0"/>
              <w:numPr>
                <w:ilvl w:val="0"/>
                <w:numId w:val="0"/>
              </w:numPr>
              <w:tabs>
                <w:tab w:val="left" w:pos="377"/>
              </w:tabs>
              <w:kinsoku/>
              <w:wordWrap/>
              <w:overflowPunct/>
              <w:topLinePunct w:val="0"/>
              <w:autoSpaceDE/>
              <w:autoSpaceDN/>
              <w:bidi w:val="0"/>
              <w:adjustRightInd/>
              <w:snapToGrid/>
              <w:spacing w:after="0"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lang w:val="en-US" w:eastAsia="zh-CN"/>
              </w:rPr>
              <w:t>临时设施区</w:t>
            </w:r>
            <w:r>
              <w:rPr>
                <w:rFonts w:hint="default" w:ascii="Times New Roman" w:hAnsi="Times New Roman" w:eastAsia="宋体" w:cs="Times New Roman"/>
                <w:b/>
                <w:bCs/>
                <w:color w:val="auto"/>
                <w:sz w:val="24"/>
                <w:szCs w:val="24"/>
                <w:highlight w:val="none"/>
                <w:lang w:val="en-US" w:eastAsia="zh-CN"/>
              </w:rPr>
              <w:t>、临时道路设置合理性</w:t>
            </w:r>
          </w:p>
          <w:p w14:paraId="246125A8">
            <w:pPr>
              <w:keepNext w:val="0"/>
              <w:keepLines w:val="0"/>
              <w:pageBreakBefore w:val="0"/>
              <w:widowControl w:val="0"/>
              <w:numPr>
                <w:ilvl w:val="0"/>
                <w:numId w:val="0"/>
              </w:numPr>
              <w:tabs>
                <w:tab w:val="left" w:pos="377"/>
              </w:tabs>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施工临时设施区布置为不与土方施工和施工交通干扰，提高工作效率，施工临时设施集中设置，按</w:t>
            </w:r>
            <w:r>
              <w:rPr>
                <w:rFonts w:hint="eastAsia" w:ascii="Times New Roman" w:hAnsi="Times New Roman" w:eastAsia="宋体" w:cs="Times New Roman"/>
                <w:color w:val="auto"/>
                <w:sz w:val="24"/>
                <w:szCs w:val="24"/>
                <w:highlight w:val="none"/>
                <w:lang w:val="en-US" w:eastAsia="zh-CN"/>
              </w:rPr>
              <w:t>工程区布置在工程中段</w:t>
            </w:r>
            <w:r>
              <w:rPr>
                <w:rFonts w:hint="default" w:ascii="Times New Roman" w:hAnsi="Times New Roman" w:eastAsia="宋体" w:cs="Times New Roman"/>
                <w:color w:val="auto"/>
                <w:sz w:val="24"/>
                <w:szCs w:val="24"/>
                <w:highlight w:val="none"/>
                <w:lang w:val="en-US" w:eastAsia="zh-CN"/>
              </w:rPr>
              <w:t>比较便利的村庄附近布置</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处施工临时设施区（临时工程不在生态红线和水源保护区内设置）。施工临时设施区内布置</w:t>
            </w:r>
            <w:r>
              <w:rPr>
                <w:rFonts w:hint="eastAsia" w:ascii="Times New Roman" w:hAnsi="Times New Roman" w:eastAsia="宋体" w:cs="Times New Roman"/>
                <w:color w:val="auto"/>
                <w:sz w:val="24"/>
                <w:szCs w:val="24"/>
                <w:highlight w:val="none"/>
                <w:lang w:val="en-US" w:eastAsia="zh-CN"/>
              </w:rPr>
              <w:t>临时生活区、</w:t>
            </w:r>
            <w:r>
              <w:rPr>
                <w:rFonts w:hint="default" w:ascii="Times New Roman" w:hAnsi="Times New Roman" w:eastAsia="宋体" w:cs="Times New Roman"/>
                <w:color w:val="auto"/>
                <w:sz w:val="24"/>
                <w:lang w:val="en-US" w:eastAsia="zh-CN"/>
              </w:rPr>
              <w:t>施工仓库、料场、</w:t>
            </w:r>
            <w:r>
              <w:rPr>
                <w:rFonts w:hint="eastAsia" w:ascii="Times New Roman" w:hAnsi="Times New Roman" w:eastAsia="宋体" w:cs="Times New Roman"/>
                <w:color w:val="auto"/>
                <w:sz w:val="24"/>
                <w:lang w:val="en-US" w:eastAsia="zh-CN"/>
              </w:rPr>
              <w:t>施工机械临时存放区等</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szCs w:val="24"/>
                <w:highlight w:val="none"/>
                <w:lang w:val="en-US" w:eastAsia="zh-CN"/>
              </w:rPr>
              <w:t>布置在满足工程施工需要及环保与水保要求的前提下，根据工程规模、施工方案及工期等因素，按照因地制宜、易于管理、安全可靠、经济合理的原则，进行施工总体布置。临时占地在施工结束后拆除临时建筑、采取土地整治、生态恢复措施，恢复其原来的用地性质，不会对区域土地利用产生较大影响。临时性工程占地短期内影响沿线土地的利用状况，施工结束后，随着生态补偿或生态恢复措施的实施，这一影响将逐渐减小或消失。</w:t>
            </w:r>
          </w:p>
          <w:p w14:paraId="4AB64D57">
            <w:pPr>
              <w:keepNext w:val="0"/>
              <w:keepLines w:val="0"/>
              <w:pageBreakBefore w:val="0"/>
              <w:widowControl w:val="0"/>
              <w:numPr>
                <w:ilvl w:val="0"/>
                <w:numId w:val="0"/>
              </w:numPr>
              <w:tabs>
                <w:tab w:val="left" w:pos="377"/>
              </w:tabs>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临时工程占地不改变原有地形地貌，不破坏植被，因此对生态环境影响较小</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综上，本工程施工期临时工程设置基本合理。</w:t>
            </w:r>
          </w:p>
          <w:p w14:paraId="3BDEE937">
            <w:pPr>
              <w:keepNext w:val="0"/>
              <w:keepLines w:val="0"/>
              <w:pageBreakBefore w:val="0"/>
              <w:widowControl w:val="0"/>
              <w:numPr>
                <w:ilvl w:val="0"/>
                <w:numId w:val="0"/>
              </w:numPr>
              <w:tabs>
                <w:tab w:val="left" w:pos="377"/>
              </w:tabs>
              <w:kinsoku/>
              <w:wordWrap/>
              <w:overflowPunct/>
              <w:topLinePunct w:val="0"/>
              <w:autoSpaceDE/>
              <w:autoSpaceDN/>
              <w:bidi w:val="0"/>
              <w:adjustRightInd/>
              <w:snapToGrid/>
              <w:spacing w:after="0"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2、周边敏感目标分析</w:t>
            </w:r>
          </w:p>
          <w:p w14:paraId="3EED4A59">
            <w:pPr>
              <w:widowControl/>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临时征地不涉及占用、穿越生态保护红线、饮用水源保护区、湿地公园等环境敏感区，施工期、运营期影响范围内无生态保护红线、饮用水源保护区等环境敏感区，不会对工程范围附近生态环境造成不利影响。</w:t>
            </w:r>
          </w:p>
          <w:p w14:paraId="54486DBD">
            <w:pPr>
              <w:widowControl/>
              <w:spacing w:line="360" w:lineRule="auto"/>
              <w:ind w:firstLine="480" w:firstLineChars="200"/>
              <w:jc w:val="left"/>
              <w:rPr>
                <w:color w:val="auto"/>
                <w:szCs w:val="21"/>
              </w:rPr>
            </w:pPr>
            <w:r>
              <w:rPr>
                <w:rFonts w:hint="eastAsia" w:ascii="Times New Roman" w:hAnsi="Times New Roman" w:eastAsia="宋体" w:cs="Times New Roman"/>
                <w:color w:val="auto"/>
                <w:sz w:val="24"/>
                <w:szCs w:val="24"/>
                <w:highlight w:val="none"/>
                <w:lang w:val="en-US" w:eastAsia="zh-CN"/>
              </w:rPr>
              <w:t>从</w:t>
            </w:r>
            <w:r>
              <w:rPr>
                <w:rFonts w:hint="default" w:ascii="Times New Roman" w:hAnsi="Times New Roman" w:eastAsia="宋体" w:cs="Times New Roman"/>
                <w:color w:val="auto"/>
                <w:sz w:val="24"/>
                <w:szCs w:val="24"/>
                <w:highlight w:val="none"/>
                <w:lang w:val="en-US" w:eastAsia="zh-CN"/>
              </w:rPr>
              <w:t>环境保护角度分析，选址可行</w:t>
            </w:r>
            <w:r>
              <w:rPr>
                <w:rFonts w:hint="eastAsia" w:ascii="Times New Roman" w:hAnsi="Times New Roman" w:eastAsia="宋体" w:cs="Times New Roman"/>
                <w:color w:val="auto"/>
                <w:sz w:val="24"/>
                <w:szCs w:val="24"/>
                <w:highlight w:val="none"/>
                <w:lang w:val="en-US" w:eastAsia="zh-CN"/>
              </w:rPr>
              <w:t>。</w:t>
            </w:r>
          </w:p>
        </w:tc>
      </w:tr>
    </w:tbl>
    <w:p w14:paraId="4D44CD91">
      <w:pPr>
        <w:pStyle w:val="17"/>
        <w:jc w:val="center"/>
        <w:rPr>
          <w:rFonts w:ascii="Times New Roman" w:hAnsi="Times New Roman"/>
          <w:snapToGrid w:val="0"/>
          <w:color w:val="auto"/>
          <w:sz w:val="36"/>
          <w:szCs w:val="36"/>
          <w:highlight w:val="yellow"/>
        </w:rPr>
        <w:sectPr>
          <w:pgSz w:w="11905" w:h="16838"/>
          <w:pgMar w:top="1417" w:right="1417" w:bottom="1417" w:left="1417" w:header="851" w:footer="1077" w:gutter="0"/>
          <w:cols w:space="720" w:num="1"/>
          <w:docGrid w:linePitch="312" w:charSpace="0"/>
        </w:sectPr>
      </w:pPr>
    </w:p>
    <w:p w14:paraId="638F13A8">
      <w:pPr>
        <w:pStyle w:val="17"/>
        <w:spacing w:before="120" w:beforeLines="50" w:beforeAutospacing="0" w:after="120"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五、主要生态环境保护措施</w:t>
      </w:r>
    </w:p>
    <w:tbl>
      <w:tblPr>
        <w:tblStyle w:val="20"/>
        <w:tblW w:w="504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8772"/>
      </w:tblGrid>
      <w:tr w14:paraId="75AAA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382" w:type="pct"/>
            <w:tcMar>
              <w:left w:w="28" w:type="dxa"/>
              <w:right w:w="28" w:type="dxa"/>
            </w:tcMar>
            <w:vAlign w:val="center"/>
          </w:tcPr>
          <w:p w14:paraId="02F20806">
            <w:pPr>
              <w:adjustRightInd w:val="0"/>
              <w:snapToGrid w:val="0"/>
              <w:jc w:val="center"/>
              <w:rPr>
                <w:bCs/>
                <w:color w:val="auto"/>
                <w:spacing w:val="10"/>
                <w:szCs w:val="21"/>
              </w:rPr>
            </w:pPr>
            <w:r>
              <w:rPr>
                <w:bCs/>
                <w:color w:val="auto"/>
                <w:spacing w:val="10"/>
                <w:sz w:val="24"/>
              </w:rPr>
              <w:t>施工期生态环境保护措施</w:t>
            </w:r>
          </w:p>
        </w:tc>
        <w:tc>
          <w:tcPr>
            <w:tcW w:w="4617" w:type="pct"/>
          </w:tcPr>
          <w:p w14:paraId="1A2A888D">
            <w:pPr>
              <w:spacing w:before="120" w:beforeLines="50" w:line="360" w:lineRule="auto"/>
              <w:ind w:firstLine="482" w:firstLineChars="200"/>
              <w:rPr>
                <w:b/>
                <w:color w:val="auto"/>
                <w:sz w:val="24"/>
              </w:rPr>
            </w:pPr>
            <w:r>
              <w:rPr>
                <w:b/>
                <w:color w:val="auto"/>
                <w:sz w:val="24"/>
              </w:rPr>
              <w:t>一、污染防治措施</w:t>
            </w:r>
          </w:p>
          <w:p w14:paraId="6CC54FCE">
            <w:pPr>
              <w:jc w:val="center"/>
              <w:rPr>
                <w:b/>
                <w:bCs/>
                <w:color w:val="auto"/>
                <w:szCs w:val="21"/>
              </w:rPr>
            </w:pPr>
            <w:r>
              <w:rPr>
                <w:b/>
                <w:bCs/>
                <w:color w:val="auto"/>
                <w:spacing w:val="4"/>
                <w:szCs w:val="21"/>
              </w:rPr>
              <w:t xml:space="preserve">表5-1  </w:t>
            </w:r>
            <w:r>
              <w:rPr>
                <w:b/>
                <w:bCs/>
                <w:color w:val="auto"/>
                <w:spacing w:val="2"/>
                <w:szCs w:val="21"/>
              </w:rPr>
              <w:t>污染防治保护措施表</w:t>
            </w:r>
          </w:p>
          <w:tbl>
            <w:tblPr>
              <w:tblStyle w:val="20"/>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22"/>
              <w:gridCol w:w="800"/>
              <w:gridCol w:w="954"/>
              <w:gridCol w:w="4959"/>
              <w:gridCol w:w="1191"/>
            </w:tblGrid>
            <w:tr w14:paraId="0240E8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622" w:type="dxa"/>
                  <w:vAlign w:val="center"/>
                </w:tcPr>
                <w:p w14:paraId="689386B9">
                  <w:pPr>
                    <w:jc w:val="center"/>
                    <w:rPr>
                      <w:b/>
                      <w:bCs/>
                      <w:color w:val="auto"/>
                      <w:szCs w:val="21"/>
                    </w:rPr>
                  </w:pPr>
                  <w:r>
                    <w:rPr>
                      <w:b/>
                      <w:bCs/>
                      <w:color w:val="auto"/>
                      <w:szCs w:val="21"/>
                    </w:rPr>
                    <w:t>内容</w:t>
                  </w:r>
                </w:p>
              </w:tc>
              <w:tc>
                <w:tcPr>
                  <w:tcW w:w="800" w:type="dxa"/>
                  <w:vAlign w:val="center"/>
                </w:tcPr>
                <w:p w14:paraId="7EA44ED4">
                  <w:pPr>
                    <w:jc w:val="center"/>
                    <w:rPr>
                      <w:b/>
                      <w:bCs/>
                      <w:color w:val="auto"/>
                      <w:szCs w:val="21"/>
                    </w:rPr>
                  </w:pPr>
                  <w:r>
                    <w:rPr>
                      <w:b/>
                      <w:bCs/>
                      <w:color w:val="auto"/>
                      <w:spacing w:val="-6"/>
                      <w:position w:val="7"/>
                      <w:szCs w:val="21"/>
                    </w:rPr>
                    <w:t>排放源（编号）</w:t>
                  </w:r>
                </w:p>
              </w:tc>
              <w:tc>
                <w:tcPr>
                  <w:tcW w:w="954" w:type="dxa"/>
                  <w:vAlign w:val="center"/>
                </w:tcPr>
                <w:p w14:paraId="0071233D">
                  <w:pPr>
                    <w:jc w:val="center"/>
                    <w:rPr>
                      <w:b/>
                      <w:bCs/>
                      <w:color w:val="auto"/>
                      <w:szCs w:val="21"/>
                    </w:rPr>
                  </w:pPr>
                  <w:r>
                    <w:rPr>
                      <w:b/>
                      <w:bCs/>
                      <w:color w:val="auto"/>
                      <w:spacing w:val="-4"/>
                      <w:szCs w:val="21"/>
                    </w:rPr>
                    <w:t>污染物名称</w:t>
                  </w:r>
                </w:p>
              </w:tc>
              <w:tc>
                <w:tcPr>
                  <w:tcW w:w="4959" w:type="dxa"/>
                  <w:vAlign w:val="center"/>
                </w:tcPr>
                <w:p w14:paraId="0F619755">
                  <w:pPr>
                    <w:jc w:val="center"/>
                    <w:rPr>
                      <w:b/>
                      <w:bCs/>
                      <w:color w:val="auto"/>
                      <w:szCs w:val="21"/>
                    </w:rPr>
                  </w:pPr>
                  <w:r>
                    <w:rPr>
                      <w:b/>
                      <w:bCs/>
                      <w:color w:val="auto"/>
                      <w:spacing w:val="-4"/>
                      <w:szCs w:val="21"/>
                    </w:rPr>
                    <w:t>防治措施</w:t>
                  </w:r>
                </w:p>
              </w:tc>
              <w:tc>
                <w:tcPr>
                  <w:tcW w:w="1191" w:type="dxa"/>
                  <w:vAlign w:val="center"/>
                </w:tcPr>
                <w:p w14:paraId="2DF745E3">
                  <w:pPr>
                    <w:jc w:val="center"/>
                    <w:rPr>
                      <w:b/>
                      <w:bCs/>
                      <w:color w:val="auto"/>
                      <w:szCs w:val="21"/>
                    </w:rPr>
                  </w:pPr>
                  <w:r>
                    <w:rPr>
                      <w:b/>
                      <w:bCs/>
                      <w:color w:val="auto"/>
                      <w:spacing w:val="-4"/>
                      <w:szCs w:val="21"/>
                    </w:rPr>
                    <w:t>预期治理效果</w:t>
                  </w:r>
                </w:p>
              </w:tc>
            </w:tr>
            <w:tr w14:paraId="73E7B6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97" w:hRule="atLeast"/>
              </w:trPr>
              <w:tc>
                <w:tcPr>
                  <w:tcW w:w="622" w:type="dxa"/>
                  <w:vMerge w:val="restart"/>
                  <w:vAlign w:val="center"/>
                </w:tcPr>
                <w:p w14:paraId="0F2AF075">
                  <w:pPr>
                    <w:jc w:val="center"/>
                    <w:rPr>
                      <w:color w:val="auto"/>
                      <w:szCs w:val="21"/>
                    </w:rPr>
                  </w:pPr>
                  <w:r>
                    <w:rPr>
                      <w:color w:val="auto"/>
                      <w:szCs w:val="21"/>
                    </w:rPr>
                    <w:t>大气污染物</w:t>
                  </w:r>
                </w:p>
              </w:tc>
              <w:tc>
                <w:tcPr>
                  <w:tcW w:w="800" w:type="dxa"/>
                  <w:vMerge w:val="restart"/>
                  <w:vAlign w:val="center"/>
                </w:tcPr>
                <w:p w14:paraId="7D576BCB">
                  <w:pPr>
                    <w:jc w:val="center"/>
                    <w:rPr>
                      <w:color w:val="auto"/>
                      <w:spacing w:val="-6"/>
                      <w:position w:val="7"/>
                      <w:szCs w:val="21"/>
                    </w:rPr>
                  </w:pPr>
                  <w:r>
                    <w:rPr>
                      <w:color w:val="auto"/>
                      <w:spacing w:val="-6"/>
                      <w:position w:val="7"/>
                      <w:szCs w:val="21"/>
                    </w:rPr>
                    <w:t>施工期</w:t>
                  </w:r>
                </w:p>
              </w:tc>
              <w:tc>
                <w:tcPr>
                  <w:tcW w:w="954" w:type="dxa"/>
                  <w:vAlign w:val="center"/>
                </w:tcPr>
                <w:p w14:paraId="1DCF352F">
                  <w:pPr>
                    <w:jc w:val="center"/>
                    <w:rPr>
                      <w:color w:val="auto"/>
                      <w:spacing w:val="-4"/>
                      <w:szCs w:val="21"/>
                    </w:rPr>
                  </w:pPr>
                  <w:r>
                    <w:rPr>
                      <w:color w:val="auto"/>
                      <w:spacing w:val="-4"/>
                      <w:szCs w:val="21"/>
                    </w:rPr>
                    <w:t>扬尘（施工扬尘、运输扬尘及土方开挖回填扬尘）</w:t>
                  </w:r>
                </w:p>
              </w:tc>
              <w:tc>
                <w:tcPr>
                  <w:tcW w:w="4959" w:type="dxa"/>
                  <w:vMerge w:val="restart"/>
                  <w:vAlign w:val="center"/>
                </w:tcPr>
                <w:p w14:paraId="313813A2">
                  <w:pPr>
                    <w:spacing w:before="74"/>
                    <w:ind w:right="82" w:firstLine="476" w:firstLineChars="200"/>
                    <w:jc w:val="left"/>
                    <w:rPr>
                      <w:color w:val="auto"/>
                      <w:szCs w:val="21"/>
                    </w:rPr>
                  </w:pPr>
                  <w:r>
                    <w:rPr>
                      <w:color w:val="auto"/>
                      <w:spacing w:val="14"/>
                      <w:szCs w:val="21"/>
                    </w:rPr>
                    <w:t>①</w:t>
                  </w:r>
                  <w:r>
                    <w:rPr>
                      <w:color w:val="auto"/>
                      <w:spacing w:val="13"/>
                      <w:szCs w:val="21"/>
                    </w:rPr>
                    <w:t>对施工现场进行科学管理，物料应统一堆放，尽量减少搬运环节。施</w:t>
                  </w:r>
                  <w:r>
                    <w:rPr>
                      <w:color w:val="auto"/>
                      <w:spacing w:val="7"/>
                      <w:szCs w:val="21"/>
                    </w:rPr>
                    <w:t>工阶段，对作业面和土堆适当喷水，使其保持一定湿度，减少扬尘量；采用散</w:t>
                  </w:r>
                  <w:r>
                    <w:rPr>
                      <w:color w:val="auto"/>
                      <w:spacing w:val="6"/>
                      <w:szCs w:val="21"/>
                    </w:rPr>
                    <w:t>装</w:t>
                  </w:r>
                  <w:r>
                    <w:rPr>
                      <w:color w:val="auto"/>
                      <w:spacing w:val="7"/>
                      <w:szCs w:val="21"/>
                    </w:rPr>
                    <w:t>水泥罐装运输，运输装卸的全过程应密闭进行，水泥等容易产生粉尘的物料的</w:t>
                  </w:r>
                  <w:r>
                    <w:rPr>
                      <w:color w:val="auto"/>
                      <w:spacing w:val="6"/>
                      <w:szCs w:val="21"/>
                    </w:rPr>
                    <w:t>临</w:t>
                  </w:r>
                  <w:r>
                    <w:rPr>
                      <w:color w:val="auto"/>
                      <w:spacing w:val="12"/>
                      <w:szCs w:val="21"/>
                    </w:rPr>
                    <w:t>时</w:t>
                  </w:r>
                  <w:r>
                    <w:rPr>
                      <w:color w:val="auto"/>
                      <w:spacing w:val="9"/>
                      <w:szCs w:val="21"/>
                    </w:rPr>
                    <w:t>存放时必须采取防风遮盖措施，如适当加湿或盖上布；</w:t>
                  </w:r>
                </w:p>
                <w:p w14:paraId="4F55F33C">
                  <w:pPr>
                    <w:spacing w:before="1"/>
                    <w:ind w:right="21" w:firstLine="452" w:firstLineChars="200"/>
                    <w:jc w:val="left"/>
                    <w:rPr>
                      <w:color w:val="auto"/>
                      <w:szCs w:val="21"/>
                    </w:rPr>
                  </w:pPr>
                  <w:r>
                    <w:rPr>
                      <w:color w:val="auto"/>
                      <w:spacing w:val="8"/>
                      <w:szCs w:val="21"/>
                    </w:rPr>
                    <w:t>②车辆扬尘量与公路路面尘土、道路状况、装载的物料特性及车速有关</w:t>
                  </w:r>
                  <w:r>
                    <w:rPr>
                      <w:color w:val="auto"/>
                      <w:spacing w:val="5"/>
                      <w:szCs w:val="21"/>
                    </w:rPr>
                    <w:t>，</w:t>
                  </w:r>
                  <w:r>
                    <w:rPr>
                      <w:color w:val="auto"/>
                      <w:spacing w:val="2"/>
                      <w:szCs w:val="21"/>
                    </w:rPr>
                    <w:t>只要有效控制其来源，即可减少扬尘；运输路线，应充分</w:t>
                  </w:r>
                  <w:r>
                    <w:rPr>
                      <w:color w:val="auto"/>
                      <w:spacing w:val="1"/>
                      <w:szCs w:val="21"/>
                    </w:rPr>
                    <w:t>利用永久性高规格公路；</w:t>
                  </w:r>
                </w:p>
                <w:p w14:paraId="2F612648">
                  <w:pPr>
                    <w:spacing w:before="3"/>
                    <w:ind w:right="82" w:firstLine="476" w:firstLineChars="200"/>
                    <w:jc w:val="left"/>
                    <w:rPr>
                      <w:color w:val="auto"/>
                      <w:szCs w:val="21"/>
                    </w:rPr>
                  </w:pPr>
                  <w:r>
                    <w:rPr>
                      <w:color w:val="auto"/>
                      <w:spacing w:val="14"/>
                      <w:szCs w:val="21"/>
                    </w:rPr>
                    <w:t>③</w:t>
                  </w:r>
                  <w:r>
                    <w:rPr>
                      <w:color w:val="auto"/>
                      <w:spacing w:val="13"/>
                      <w:szCs w:val="21"/>
                    </w:rPr>
                    <w:t>运输通过临时性道路或土路时，实施现场车辆速度控制；车辆应配备</w:t>
                  </w:r>
                  <w:r>
                    <w:rPr>
                      <w:color w:val="auto"/>
                      <w:spacing w:val="8"/>
                      <w:szCs w:val="21"/>
                    </w:rPr>
                    <w:t>车</w:t>
                  </w:r>
                  <w:r>
                    <w:rPr>
                      <w:color w:val="auto"/>
                      <w:spacing w:val="7"/>
                      <w:szCs w:val="21"/>
                    </w:rPr>
                    <w:t>轮洗刷设备，或在离开施工场地时用软管冲洗；来往于各施工场地的卡车上的</w:t>
                  </w:r>
                  <w:r>
                    <w:rPr>
                      <w:color w:val="auto"/>
                      <w:spacing w:val="8"/>
                      <w:szCs w:val="21"/>
                    </w:rPr>
                    <w:t>多</w:t>
                  </w:r>
                  <w:r>
                    <w:rPr>
                      <w:color w:val="auto"/>
                      <w:spacing w:val="7"/>
                      <w:szCs w:val="21"/>
                    </w:rPr>
                    <w:t>尘物料应用帆布覆盖；做好道路养护，在来往车辆繁忙道路应适时进行洒水湿</w:t>
                  </w:r>
                  <w:r>
                    <w:rPr>
                      <w:color w:val="auto"/>
                      <w:spacing w:val="5"/>
                      <w:szCs w:val="21"/>
                    </w:rPr>
                    <w:t>化降尘</w:t>
                  </w:r>
                  <w:r>
                    <w:rPr>
                      <w:color w:val="auto"/>
                      <w:spacing w:val="4"/>
                      <w:szCs w:val="21"/>
                    </w:rPr>
                    <w:t>；</w:t>
                  </w:r>
                </w:p>
                <w:p w14:paraId="3D0657B2">
                  <w:pPr>
                    <w:spacing w:before="7"/>
                    <w:ind w:firstLine="476" w:firstLineChars="200"/>
                    <w:jc w:val="left"/>
                    <w:rPr>
                      <w:color w:val="auto"/>
                      <w:szCs w:val="21"/>
                    </w:rPr>
                  </w:pPr>
                  <w:r>
                    <w:rPr>
                      <w:color w:val="auto"/>
                      <w:spacing w:val="14"/>
                      <w:szCs w:val="21"/>
                    </w:rPr>
                    <w:t>④</w:t>
                  </w:r>
                  <w:r>
                    <w:rPr>
                      <w:color w:val="auto"/>
                      <w:spacing w:val="13"/>
                      <w:szCs w:val="21"/>
                    </w:rPr>
                    <w:t>往返于施工区的大型车辆，尾气应达标排放，不能达标的，应安装尾</w:t>
                  </w:r>
                  <w:r>
                    <w:rPr>
                      <w:color w:val="auto"/>
                      <w:spacing w:val="9"/>
                      <w:szCs w:val="21"/>
                    </w:rPr>
                    <w:t>气</w:t>
                  </w:r>
                  <w:r>
                    <w:rPr>
                      <w:color w:val="auto"/>
                      <w:spacing w:val="7"/>
                      <w:szCs w:val="21"/>
                    </w:rPr>
                    <w:t>净化器；加强对燃油机械设备的维护保养，发动机应在正常、良</w:t>
                  </w:r>
                  <w:r>
                    <w:rPr>
                      <w:color w:val="auto"/>
                      <w:spacing w:val="4"/>
                      <w:szCs w:val="21"/>
                    </w:rPr>
                    <w:t>好状态下工作；采用无铅汽油；</w:t>
                  </w:r>
                  <w:r>
                    <w:rPr>
                      <w:color w:val="auto"/>
                      <w:spacing w:val="2"/>
                      <w:szCs w:val="21"/>
                    </w:rPr>
                    <w:t>加强道路建设，减少弯道和坡度，保持路面平整。</w:t>
                  </w:r>
                  <w:r>
                    <w:rPr>
                      <w:color w:val="auto"/>
                      <w:spacing w:val="9"/>
                      <w:szCs w:val="21"/>
                    </w:rPr>
                    <w:t>同</w:t>
                  </w:r>
                  <w:r>
                    <w:rPr>
                      <w:color w:val="auto"/>
                      <w:spacing w:val="7"/>
                      <w:szCs w:val="21"/>
                    </w:rPr>
                    <w:t>时，加强道路管理和养护；配备洒水车，适时对施工场地进行洒水；对车辆勤</w:t>
                  </w:r>
                  <w:r>
                    <w:rPr>
                      <w:color w:val="auto"/>
                      <w:spacing w:val="17"/>
                      <w:szCs w:val="21"/>
                    </w:rPr>
                    <w:t>清</w:t>
                  </w:r>
                  <w:r>
                    <w:rPr>
                      <w:color w:val="auto"/>
                      <w:spacing w:val="12"/>
                      <w:szCs w:val="21"/>
                    </w:rPr>
                    <w:t>洗，即可减免车辆扬尘；无雨天每天早、中、晚必须洒水一次，按照每5</w:t>
                  </w:r>
                  <w:r>
                    <w:rPr>
                      <w:color w:val="auto"/>
                      <w:szCs w:val="21"/>
                    </w:rPr>
                    <w:t>km</w:t>
                  </w:r>
                  <w:r>
                    <w:rPr>
                      <w:color w:val="auto"/>
                      <w:spacing w:val="12"/>
                      <w:szCs w:val="21"/>
                    </w:rPr>
                    <w:t>共用</w:t>
                  </w:r>
                  <w:r>
                    <w:rPr>
                      <w:color w:val="auto"/>
                      <w:spacing w:val="6"/>
                      <w:szCs w:val="21"/>
                    </w:rPr>
                    <w:t>一台洒水车，沿线建筑物共用，计算需洒水车</w:t>
                  </w:r>
                  <w:r>
                    <w:rPr>
                      <w:rFonts w:hint="eastAsia"/>
                      <w:color w:val="auto"/>
                      <w:spacing w:val="6"/>
                      <w:szCs w:val="21"/>
                      <w:lang w:val="en-US" w:eastAsia="zh-CN"/>
                    </w:rPr>
                    <w:t>9</w:t>
                  </w:r>
                  <w:r>
                    <w:rPr>
                      <w:color w:val="auto"/>
                      <w:spacing w:val="6"/>
                      <w:szCs w:val="21"/>
                    </w:rPr>
                    <w:t>台。</w:t>
                  </w:r>
                </w:p>
                <w:p w14:paraId="375F22B4">
                  <w:pPr>
                    <w:ind w:firstLine="484" w:firstLineChars="200"/>
                    <w:jc w:val="left"/>
                    <w:rPr>
                      <w:color w:val="auto"/>
                      <w:spacing w:val="-4"/>
                      <w:szCs w:val="21"/>
                    </w:rPr>
                  </w:pPr>
                  <w:r>
                    <w:rPr>
                      <w:color w:val="auto"/>
                      <w:spacing w:val="16"/>
                      <w:szCs w:val="21"/>
                    </w:rPr>
                    <w:t>⑤</w:t>
                  </w:r>
                  <w:r>
                    <w:rPr>
                      <w:color w:val="auto"/>
                      <w:spacing w:val="13"/>
                      <w:szCs w:val="21"/>
                    </w:rPr>
                    <w:t>施工期在各个建筑物施工区以及靠近社区等人口密集河段设置围栏，</w:t>
                  </w:r>
                  <w:r>
                    <w:rPr>
                      <w:color w:val="auto"/>
                      <w:spacing w:val="8"/>
                      <w:szCs w:val="21"/>
                    </w:rPr>
                    <w:t>以</w:t>
                  </w:r>
                  <w:r>
                    <w:rPr>
                      <w:color w:val="auto"/>
                      <w:spacing w:val="6"/>
                      <w:szCs w:val="21"/>
                    </w:rPr>
                    <w:t>减</w:t>
                  </w:r>
                  <w:r>
                    <w:rPr>
                      <w:color w:val="auto"/>
                      <w:spacing w:val="4"/>
                      <w:szCs w:val="21"/>
                    </w:rPr>
                    <w:t>少扬尘扩散范围，需设置围挡，并做好防尘工作，注意洒水</w:t>
                  </w:r>
                  <w:r>
                    <w:rPr>
                      <w:color w:val="auto"/>
                      <w:spacing w:val="9"/>
                      <w:szCs w:val="21"/>
                    </w:rPr>
                    <w:t>降</w:t>
                  </w:r>
                  <w:r>
                    <w:rPr>
                      <w:color w:val="auto"/>
                      <w:spacing w:val="8"/>
                      <w:szCs w:val="21"/>
                    </w:rPr>
                    <w:t>尘，无雨天每天早、中、晚必须洒水一次。</w:t>
                  </w:r>
                </w:p>
              </w:tc>
              <w:tc>
                <w:tcPr>
                  <w:tcW w:w="1191" w:type="dxa"/>
                  <w:vMerge w:val="restart"/>
                  <w:vAlign w:val="center"/>
                </w:tcPr>
                <w:p w14:paraId="57C32177">
                  <w:pPr>
                    <w:jc w:val="center"/>
                    <w:rPr>
                      <w:color w:val="auto"/>
                      <w:spacing w:val="-4"/>
                      <w:szCs w:val="21"/>
                    </w:rPr>
                  </w:pPr>
                  <w:r>
                    <w:rPr>
                      <w:color w:val="auto"/>
                      <w:spacing w:val="-4"/>
                      <w:szCs w:val="21"/>
                    </w:rPr>
                    <w:t>达标排放，对周围大气环境影响不大</w:t>
                  </w:r>
                </w:p>
              </w:tc>
            </w:tr>
            <w:tr w14:paraId="4FCB0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622" w:type="dxa"/>
                  <w:vMerge w:val="continue"/>
                  <w:vAlign w:val="center"/>
                </w:tcPr>
                <w:p w14:paraId="1B4DAE5E">
                  <w:pPr>
                    <w:jc w:val="center"/>
                    <w:rPr>
                      <w:color w:val="auto"/>
                      <w:szCs w:val="21"/>
                    </w:rPr>
                  </w:pPr>
                </w:p>
              </w:tc>
              <w:tc>
                <w:tcPr>
                  <w:tcW w:w="800" w:type="dxa"/>
                  <w:vMerge w:val="continue"/>
                  <w:vAlign w:val="center"/>
                </w:tcPr>
                <w:p w14:paraId="0E2705EC">
                  <w:pPr>
                    <w:jc w:val="center"/>
                    <w:rPr>
                      <w:color w:val="auto"/>
                      <w:spacing w:val="-6"/>
                      <w:position w:val="7"/>
                      <w:szCs w:val="21"/>
                    </w:rPr>
                  </w:pPr>
                </w:p>
              </w:tc>
              <w:tc>
                <w:tcPr>
                  <w:tcW w:w="954" w:type="dxa"/>
                  <w:vAlign w:val="center"/>
                </w:tcPr>
                <w:p w14:paraId="0A1AE3F0">
                  <w:pPr>
                    <w:jc w:val="center"/>
                    <w:rPr>
                      <w:color w:val="auto"/>
                      <w:spacing w:val="-4"/>
                      <w:szCs w:val="21"/>
                    </w:rPr>
                  </w:pPr>
                  <w:r>
                    <w:rPr>
                      <w:color w:val="auto"/>
                      <w:spacing w:val="-4"/>
                      <w:szCs w:val="21"/>
                    </w:rPr>
                    <w:t>燃油废气</w:t>
                  </w:r>
                </w:p>
              </w:tc>
              <w:tc>
                <w:tcPr>
                  <w:tcW w:w="4959" w:type="dxa"/>
                  <w:vMerge w:val="continue"/>
                  <w:vAlign w:val="center"/>
                </w:tcPr>
                <w:p w14:paraId="44A72051">
                  <w:pPr>
                    <w:jc w:val="center"/>
                    <w:rPr>
                      <w:color w:val="auto"/>
                      <w:spacing w:val="-4"/>
                      <w:szCs w:val="21"/>
                    </w:rPr>
                  </w:pPr>
                </w:p>
              </w:tc>
              <w:tc>
                <w:tcPr>
                  <w:tcW w:w="1191" w:type="dxa"/>
                  <w:vMerge w:val="continue"/>
                  <w:vAlign w:val="center"/>
                </w:tcPr>
                <w:p w14:paraId="5A8F8AC2">
                  <w:pPr>
                    <w:jc w:val="center"/>
                    <w:rPr>
                      <w:color w:val="auto"/>
                      <w:spacing w:val="-4"/>
                      <w:szCs w:val="21"/>
                    </w:rPr>
                  </w:pPr>
                </w:p>
              </w:tc>
            </w:tr>
            <w:tr w14:paraId="667975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622" w:type="dxa"/>
                  <w:vMerge w:val="continue"/>
                  <w:vAlign w:val="center"/>
                </w:tcPr>
                <w:p w14:paraId="761613DD">
                  <w:pPr>
                    <w:jc w:val="center"/>
                    <w:rPr>
                      <w:color w:val="auto"/>
                      <w:szCs w:val="21"/>
                    </w:rPr>
                  </w:pPr>
                </w:p>
              </w:tc>
              <w:tc>
                <w:tcPr>
                  <w:tcW w:w="800" w:type="dxa"/>
                  <w:vMerge w:val="continue"/>
                  <w:vAlign w:val="center"/>
                </w:tcPr>
                <w:p w14:paraId="4805093C">
                  <w:pPr>
                    <w:jc w:val="center"/>
                    <w:rPr>
                      <w:color w:val="auto"/>
                      <w:spacing w:val="-6"/>
                      <w:position w:val="7"/>
                      <w:szCs w:val="21"/>
                    </w:rPr>
                  </w:pPr>
                </w:p>
              </w:tc>
              <w:tc>
                <w:tcPr>
                  <w:tcW w:w="954" w:type="dxa"/>
                  <w:vAlign w:val="center"/>
                </w:tcPr>
                <w:p w14:paraId="044017B2">
                  <w:pPr>
                    <w:jc w:val="center"/>
                    <w:rPr>
                      <w:color w:val="auto"/>
                      <w:spacing w:val="-4"/>
                      <w:szCs w:val="21"/>
                    </w:rPr>
                  </w:pPr>
                  <w:r>
                    <w:rPr>
                      <w:color w:val="auto"/>
                      <w:spacing w:val="-4"/>
                      <w:szCs w:val="21"/>
                    </w:rPr>
                    <w:t>河道淤泥臭气</w:t>
                  </w:r>
                </w:p>
              </w:tc>
              <w:tc>
                <w:tcPr>
                  <w:tcW w:w="4959" w:type="dxa"/>
                  <w:vAlign w:val="center"/>
                </w:tcPr>
                <w:p w14:paraId="29D9B36D">
                  <w:pPr>
                    <w:jc w:val="center"/>
                    <w:rPr>
                      <w:color w:val="auto"/>
                      <w:spacing w:val="-4"/>
                      <w:szCs w:val="21"/>
                    </w:rPr>
                  </w:pPr>
                  <w:r>
                    <w:rPr>
                      <w:color w:val="auto"/>
                    </w:rPr>
                    <w:t>清淤工程采用</w:t>
                  </w:r>
                  <w:r>
                    <w:rPr>
                      <w:rFonts w:hint="eastAsia"/>
                      <w:color w:val="auto"/>
                      <w:lang w:eastAsia="zh-CN"/>
                    </w:rPr>
                    <w:t>集中</w:t>
                  </w:r>
                  <w:r>
                    <w:rPr>
                      <w:color w:val="auto"/>
                    </w:rPr>
                    <w:t>施工方式，尽量缩短清淤施工时间，降低恶臭废气对周围环境影响</w:t>
                  </w:r>
                </w:p>
              </w:tc>
              <w:tc>
                <w:tcPr>
                  <w:tcW w:w="1191" w:type="dxa"/>
                  <w:vMerge w:val="continue"/>
                  <w:vAlign w:val="center"/>
                </w:tcPr>
                <w:p w14:paraId="1FC51313">
                  <w:pPr>
                    <w:jc w:val="center"/>
                    <w:rPr>
                      <w:color w:val="auto"/>
                      <w:spacing w:val="-4"/>
                      <w:szCs w:val="21"/>
                    </w:rPr>
                  </w:pPr>
                </w:p>
              </w:tc>
            </w:tr>
            <w:tr w14:paraId="140360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622" w:type="dxa"/>
                  <w:vMerge w:val="restart"/>
                  <w:vAlign w:val="center"/>
                </w:tcPr>
                <w:p w14:paraId="5C99BE6B">
                  <w:pPr>
                    <w:jc w:val="center"/>
                    <w:rPr>
                      <w:color w:val="auto"/>
                      <w:szCs w:val="21"/>
                    </w:rPr>
                  </w:pPr>
                  <w:r>
                    <w:rPr>
                      <w:color w:val="auto"/>
                      <w:szCs w:val="21"/>
                    </w:rPr>
                    <w:t>水污染物</w:t>
                  </w:r>
                </w:p>
              </w:tc>
              <w:tc>
                <w:tcPr>
                  <w:tcW w:w="800" w:type="dxa"/>
                  <w:vMerge w:val="restart"/>
                  <w:vAlign w:val="center"/>
                </w:tcPr>
                <w:p w14:paraId="112AEC16">
                  <w:pPr>
                    <w:jc w:val="center"/>
                    <w:rPr>
                      <w:color w:val="auto"/>
                      <w:spacing w:val="-6"/>
                      <w:position w:val="7"/>
                      <w:szCs w:val="21"/>
                    </w:rPr>
                  </w:pPr>
                  <w:r>
                    <w:rPr>
                      <w:color w:val="auto"/>
                      <w:spacing w:val="-6"/>
                      <w:position w:val="7"/>
                      <w:szCs w:val="21"/>
                    </w:rPr>
                    <w:t>施工期生活污水</w:t>
                  </w:r>
                </w:p>
              </w:tc>
              <w:tc>
                <w:tcPr>
                  <w:tcW w:w="954" w:type="dxa"/>
                  <w:vAlign w:val="center"/>
                </w:tcPr>
                <w:p w14:paraId="36AFB9F8">
                  <w:pPr>
                    <w:jc w:val="center"/>
                    <w:rPr>
                      <w:color w:val="auto"/>
                      <w:spacing w:val="-4"/>
                      <w:szCs w:val="21"/>
                    </w:rPr>
                  </w:pPr>
                  <w:r>
                    <w:rPr>
                      <w:color w:val="auto"/>
                      <w:spacing w:val="-4"/>
                      <w:szCs w:val="21"/>
                    </w:rPr>
                    <w:t>COD</w:t>
                  </w:r>
                </w:p>
              </w:tc>
              <w:tc>
                <w:tcPr>
                  <w:tcW w:w="4959" w:type="dxa"/>
                  <w:vMerge w:val="restart"/>
                  <w:vAlign w:val="center"/>
                </w:tcPr>
                <w:p w14:paraId="0E7E3EDB">
                  <w:pPr>
                    <w:ind w:firstLine="448" w:firstLineChars="200"/>
                    <w:jc w:val="left"/>
                    <w:rPr>
                      <w:color w:val="auto"/>
                      <w:spacing w:val="-4"/>
                      <w:szCs w:val="21"/>
                    </w:rPr>
                  </w:pPr>
                  <w:r>
                    <w:rPr>
                      <w:color w:val="auto"/>
                      <w:spacing w:val="7"/>
                      <w:szCs w:val="21"/>
                    </w:rPr>
                    <w:t>本工程施工时，由于各施工点工程量相对较小，施工期间临时生活区产生</w:t>
                  </w:r>
                  <w:r>
                    <w:rPr>
                      <w:color w:val="auto"/>
                      <w:spacing w:val="2"/>
                      <w:szCs w:val="21"/>
                    </w:rPr>
                    <w:t>的</w:t>
                  </w:r>
                  <w:r>
                    <w:rPr>
                      <w:color w:val="auto"/>
                      <w:spacing w:val="7"/>
                      <w:szCs w:val="21"/>
                    </w:rPr>
                    <w:t>生活污水定期由当地居民清运肥田，为防止生活污水在未能及时清理情况下污染</w:t>
                  </w:r>
                  <w:r>
                    <w:rPr>
                      <w:color w:val="auto"/>
                      <w:spacing w:val="10"/>
                      <w:szCs w:val="21"/>
                    </w:rPr>
                    <w:t>水体</w:t>
                  </w:r>
                  <w:r>
                    <w:rPr>
                      <w:color w:val="auto"/>
                      <w:spacing w:val="8"/>
                      <w:szCs w:val="21"/>
                    </w:rPr>
                    <w:t>。</w:t>
                  </w:r>
                </w:p>
              </w:tc>
              <w:tc>
                <w:tcPr>
                  <w:tcW w:w="1191" w:type="dxa"/>
                  <w:vMerge w:val="restart"/>
                  <w:vAlign w:val="center"/>
                </w:tcPr>
                <w:p w14:paraId="1C3E1048">
                  <w:pPr>
                    <w:jc w:val="center"/>
                    <w:rPr>
                      <w:color w:val="auto"/>
                      <w:spacing w:val="-4"/>
                      <w:szCs w:val="21"/>
                    </w:rPr>
                  </w:pPr>
                  <w:r>
                    <w:rPr>
                      <w:color w:val="auto"/>
                      <w:spacing w:val="-4"/>
                      <w:szCs w:val="21"/>
                    </w:rPr>
                    <w:t>不外排，对周围水环境影响不大</w:t>
                  </w:r>
                </w:p>
              </w:tc>
            </w:tr>
            <w:tr w14:paraId="4C3824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622" w:type="dxa"/>
                  <w:vMerge w:val="continue"/>
                  <w:vAlign w:val="center"/>
                </w:tcPr>
                <w:p w14:paraId="60A8D049">
                  <w:pPr>
                    <w:jc w:val="center"/>
                    <w:rPr>
                      <w:color w:val="auto"/>
                      <w:szCs w:val="21"/>
                    </w:rPr>
                  </w:pPr>
                </w:p>
              </w:tc>
              <w:tc>
                <w:tcPr>
                  <w:tcW w:w="800" w:type="dxa"/>
                  <w:vMerge w:val="continue"/>
                  <w:vAlign w:val="center"/>
                </w:tcPr>
                <w:p w14:paraId="474B68F8">
                  <w:pPr>
                    <w:jc w:val="center"/>
                    <w:rPr>
                      <w:color w:val="auto"/>
                      <w:spacing w:val="-6"/>
                      <w:position w:val="7"/>
                      <w:szCs w:val="21"/>
                    </w:rPr>
                  </w:pPr>
                </w:p>
              </w:tc>
              <w:tc>
                <w:tcPr>
                  <w:tcW w:w="954" w:type="dxa"/>
                  <w:vAlign w:val="center"/>
                </w:tcPr>
                <w:p w14:paraId="3306D3E0">
                  <w:pPr>
                    <w:jc w:val="center"/>
                    <w:rPr>
                      <w:color w:val="auto"/>
                      <w:spacing w:val="-4"/>
                      <w:szCs w:val="21"/>
                    </w:rPr>
                  </w:pPr>
                  <w:r>
                    <w:rPr>
                      <w:color w:val="auto"/>
                      <w:spacing w:val="-4"/>
                      <w:szCs w:val="21"/>
                    </w:rPr>
                    <w:t>氨氮</w:t>
                  </w:r>
                </w:p>
              </w:tc>
              <w:tc>
                <w:tcPr>
                  <w:tcW w:w="4959" w:type="dxa"/>
                  <w:vMerge w:val="continue"/>
                  <w:vAlign w:val="center"/>
                </w:tcPr>
                <w:p w14:paraId="27FB13CA">
                  <w:pPr>
                    <w:jc w:val="center"/>
                    <w:rPr>
                      <w:color w:val="auto"/>
                      <w:spacing w:val="-4"/>
                      <w:szCs w:val="21"/>
                    </w:rPr>
                  </w:pPr>
                </w:p>
              </w:tc>
              <w:tc>
                <w:tcPr>
                  <w:tcW w:w="1191" w:type="dxa"/>
                  <w:vMerge w:val="continue"/>
                  <w:vAlign w:val="center"/>
                </w:tcPr>
                <w:p w14:paraId="6632F6EF">
                  <w:pPr>
                    <w:jc w:val="center"/>
                    <w:rPr>
                      <w:color w:val="auto"/>
                      <w:spacing w:val="-4"/>
                      <w:szCs w:val="21"/>
                    </w:rPr>
                  </w:pPr>
                </w:p>
              </w:tc>
            </w:tr>
            <w:tr w14:paraId="680D7A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22" w:type="dxa"/>
                  <w:vMerge w:val="continue"/>
                  <w:vAlign w:val="center"/>
                </w:tcPr>
                <w:p w14:paraId="20E722EF">
                  <w:pPr>
                    <w:jc w:val="center"/>
                    <w:rPr>
                      <w:color w:val="auto"/>
                      <w:szCs w:val="21"/>
                    </w:rPr>
                  </w:pPr>
                </w:p>
              </w:tc>
              <w:tc>
                <w:tcPr>
                  <w:tcW w:w="800" w:type="dxa"/>
                  <w:vMerge w:val="continue"/>
                  <w:vAlign w:val="center"/>
                </w:tcPr>
                <w:p w14:paraId="5E33F959">
                  <w:pPr>
                    <w:jc w:val="center"/>
                    <w:rPr>
                      <w:color w:val="auto"/>
                      <w:spacing w:val="-6"/>
                      <w:position w:val="7"/>
                      <w:szCs w:val="21"/>
                    </w:rPr>
                  </w:pPr>
                </w:p>
              </w:tc>
              <w:tc>
                <w:tcPr>
                  <w:tcW w:w="954" w:type="dxa"/>
                  <w:vAlign w:val="center"/>
                </w:tcPr>
                <w:p w14:paraId="0AF1B2F6">
                  <w:pPr>
                    <w:jc w:val="center"/>
                    <w:rPr>
                      <w:color w:val="auto"/>
                      <w:spacing w:val="-4"/>
                      <w:szCs w:val="21"/>
                    </w:rPr>
                  </w:pPr>
                  <w:r>
                    <w:rPr>
                      <w:color w:val="auto"/>
                      <w:spacing w:val="-4"/>
                      <w:szCs w:val="21"/>
                    </w:rPr>
                    <w:t>总磷</w:t>
                  </w:r>
                </w:p>
              </w:tc>
              <w:tc>
                <w:tcPr>
                  <w:tcW w:w="4959" w:type="dxa"/>
                  <w:vMerge w:val="continue"/>
                  <w:vAlign w:val="center"/>
                </w:tcPr>
                <w:p w14:paraId="756B42DB">
                  <w:pPr>
                    <w:jc w:val="center"/>
                    <w:rPr>
                      <w:color w:val="auto"/>
                      <w:spacing w:val="-4"/>
                      <w:szCs w:val="21"/>
                    </w:rPr>
                  </w:pPr>
                </w:p>
              </w:tc>
              <w:tc>
                <w:tcPr>
                  <w:tcW w:w="1191" w:type="dxa"/>
                  <w:vMerge w:val="continue"/>
                  <w:vAlign w:val="center"/>
                </w:tcPr>
                <w:p w14:paraId="2EF0D44E">
                  <w:pPr>
                    <w:jc w:val="center"/>
                    <w:rPr>
                      <w:color w:val="auto"/>
                      <w:spacing w:val="-4"/>
                      <w:szCs w:val="21"/>
                    </w:rPr>
                  </w:pPr>
                </w:p>
              </w:tc>
            </w:tr>
            <w:tr w14:paraId="0724B2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60" w:hRule="atLeast"/>
              </w:trPr>
              <w:tc>
                <w:tcPr>
                  <w:tcW w:w="622" w:type="dxa"/>
                  <w:vMerge w:val="continue"/>
                  <w:vAlign w:val="center"/>
                </w:tcPr>
                <w:p w14:paraId="682E8762">
                  <w:pPr>
                    <w:jc w:val="center"/>
                    <w:rPr>
                      <w:color w:val="auto"/>
                      <w:szCs w:val="21"/>
                    </w:rPr>
                  </w:pPr>
                </w:p>
              </w:tc>
              <w:tc>
                <w:tcPr>
                  <w:tcW w:w="800" w:type="dxa"/>
                  <w:vMerge w:val="continue"/>
                  <w:vAlign w:val="center"/>
                </w:tcPr>
                <w:p w14:paraId="5C0CAF6A">
                  <w:pPr>
                    <w:jc w:val="center"/>
                    <w:rPr>
                      <w:color w:val="auto"/>
                      <w:spacing w:val="-6"/>
                      <w:position w:val="7"/>
                      <w:szCs w:val="21"/>
                    </w:rPr>
                  </w:pPr>
                </w:p>
              </w:tc>
              <w:tc>
                <w:tcPr>
                  <w:tcW w:w="954" w:type="dxa"/>
                  <w:vAlign w:val="center"/>
                </w:tcPr>
                <w:p w14:paraId="6DB2562A">
                  <w:pPr>
                    <w:jc w:val="center"/>
                    <w:rPr>
                      <w:color w:val="auto"/>
                      <w:spacing w:val="-4"/>
                      <w:szCs w:val="21"/>
                    </w:rPr>
                  </w:pPr>
                  <w:r>
                    <w:rPr>
                      <w:color w:val="auto"/>
                      <w:spacing w:val="-4"/>
                      <w:szCs w:val="21"/>
                    </w:rPr>
                    <w:t>总氮</w:t>
                  </w:r>
                </w:p>
              </w:tc>
              <w:tc>
                <w:tcPr>
                  <w:tcW w:w="4959" w:type="dxa"/>
                  <w:vMerge w:val="continue"/>
                  <w:vAlign w:val="center"/>
                </w:tcPr>
                <w:p w14:paraId="6DA06F3C">
                  <w:pPr>
                    <w:jc w:val="center"/>
                    <w:rPr>
                      <w:color w:val="auto"/>
                      <w:spacing w:val="-4"/>
                      <w:szCs w:val="21"/>
                    </w:rPr>
                  </w:pPr>
                </w:p>
              </w:tc>
              <w:tc>
                <w:tcPr>
                  <w:tcW w:w="1191" w:type="dxa"/>
                  <w:vMerge w:val="continue"/>
                  <w:vAlign w:val="center"/>
                </w:tcPr>
                <w:p w14:paraId="3ED832E1">
                  <w:pPr>
                    <w:jc w:val="center"/>
                    <w:rPr>
                      <w:color w:val="auto"/>
                      <w:spacing w:val="-4"/>
                      <w:szCs w:val="21"/>
                    </w:rPr>
                  </w:pPr>
                </w:p>
              </w:tc>
            </w:tr>
            <w:tr w14:paraId="2A9C87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09" w:hRule="atLeast"/>
              </w:trPr>
              <w:tc>
                <w:tcPr>
                  <w:tcW w:w="622" w:type="dxa"/>
                  <w:vMerge w:val="continue"/>
                  <w:vAlign w:val="center"/>
                </w:tcPr>
                <w:p w14:paraId="25E9BDB3">
                  <w:pPr>
                    <w:jc w:val="center"/>
                    <w:rPr>
                      <w:color w:val="auto"/>
                      <w:szCs w:val="21"/>
                    </w:rPr>
                  </w:pPr>
                </w:p>
              </w:tc>
              <w:tc>
                <w:tcPr>
                  <w:tcW w:w="800" w:type="dxa"/>
                  <w:vMerge w:val="restart"/>
                  <w:vAlign w:val="center"/>
                </w:tcPr>
                <w:p w14:paraId="131F48FB">
                  <w:pPr>
                    <w:jc w:val="center"/>
                    <w:rPr>
                      <w:color w:val="auto"/>
                      <w:spacing w:val="-6"/>
                      <w:position w:val="7"/>
                      <w:szCs w:val="21"/>
                    </w:rPr>
                  </w:pPr>
                  <w:r>
                    <w:rPr>
                      <w:color w:val="auto"/>
                      <w:spacing w:val="-6"/>
                      <w:position w:val="7"/>
                      <w:szCs w:val="21"/>
                    </w:rPr>
                    <w:t>施工废水（混凝土养护废水、</w:t>
                  </w:r>
                  <w:r>
                    <w:rPr>
                      <w:rFonts w:hint="eastAsia"/>
                      <w:color w:val="auto"/>
                      <w:spacing w:val="-6"/>
                      <w:position w:val="7"/>
                      <w:szCs w:val="21"/>
                      <w:lang w:eastAsia="zh-CN"/>
                    </w:rPr>
                    <w:t>车辆冲洗废水</w:t>
                  </w:r>
                  <w:r>
                    <w:rPr>
                      <w:color w:val="auto"/>
                      <w:spacing w:val="-6"/>
                      <w:position w:val="7"/>
                      <w:szCs w:val="21"/>
                    </w:rPr>
                    <w:t>）</w:t>
                  </w:r>
                </w:p>
              </w:tc>
              <w:tc>
                <w:tcPr>
                  <w:tcW w:w="954" w:type="dxa"/>
                  <w:vAlign w:val="center"/>
                </w:tcPr>
                <w:p w14:paraId="323F8D91">
                  <w:pPr>
                    <w:jc w:val="center"/>
                    <w:rPr>
                      <w:color w:val="auto"/>
                      <w:spacing w:val="-4"/>
                      <w:szCs w:val="21"/>
                    </w:rPr>
                  </w:pPr>
                  <w:r>
                    <w:rPr>
                      <w:color w:val="auto"/>
                      <w:spacing w:val="-4"/>
                      <w:szCs w:val="21"/>
                    </w:rPr>
                    <w:t>SS</w:t>
                  </w:r>
                </w:p>
              </w:tc>
              <w:tc>
                <w:tcPr>
                  <w:tcW w:w="4959" w:type="dxa"/>
                  <w:vMerge w:val="restart"/>
                  <w:vAlign w:val="center"/>
                </w:tcPr>
                <w:p w14:paraId="4B26B8FC">
                  <w:pPr>
                    <w:ind w:firstLine="448" w:firstLineChars="200"/>
                    <w:jc w:val="left"/>
                    <w:rPr>
                      <w:color w:val="auto"/>
                      <w:spacing w:val="1"/>
                      <w:szCs w:val="21"/>
                    </w:rPr>
                  </w:pPr>
                  <w:r>
                    <w:rPr>
                      <w:color w:val="auto"/>
                      <w:spacing w:val="7"/>
                      <w:szCs w:val="21"/>
                    </w:rPr>
                    <w:t>①混凝土养护废水中不含有</w:t>
                  </w:r>
                  <w:r>
                    <w:rPr>
                      <w:color w:val="auto"/>
                      <w:spacing w:val="2"/>
                      <w:szCs w:val="21"/>
                    </w:rPr>
                    <w:t>毒</w:t>
                  </w:r>
                  <w:r>
                    <w:rPr>
                      <w:color w:val="auto"/>
                      <w:spacing w:val="4"/>
                      <w:szCs w:val="21"/>
                    </w:rPr>
                    <w:t>有害物质，但废水具有悬浮物</w:t>
                  </w:r>
                  <w:r>
                    <w:rPr>
                      <w:color w:val="auto"/>
                      <w:spacing w:val="2"/>
                      <w:szCs w:val="21"/>
                    </w:rPr>
                    <w:t>浓度高，碱性大，水量较小和间歇集中排放的特点。</w:t>
                  </w:r>
                  <w:r>
                    <w:rPr>
                      <w:color w:val="auto"/>
                      <w:spacing w:val="8"/>
                      <w:szCs w:val="21"/>
                    </w:rPr>
                    <w:t>该</w:t>
                  </w:r>
                  <w:r>
                    <w:rPr>
                      <w:color w:val="auto"/>
                      <w:spacing w:val="7"/>
                      <w:szCs w:val="21"/>
                    </w:rPr>
                    <w:t>类悬浮物具有易沉淀的特点，施工区内设置简易沉</w:t>
                  </w:r>
                  <w:r>
                    <w:rPr>
                      <w:color w:val="auto"/>
                      <w:spacing w:val="2"/>
                      <w:szCs w:val="21"/>
                    </w:rPr>
                    <w:t>淀</w:t>
                  </w:r>
                  <w:r>
                    <w:rPr>
                      <w:color w:val="auto"/>
                      <w:spacing w:val="1"/>
                      <w:szCs w:val="21"/>
                    </w:rPr>
                    <w:t>池，</w:t>
                  </w:r>
                  <w:r>
                    <w:rPr>
                      <w:rFonts w:hint="eastAsia"/>
                      <w:color w:val="auto"/>
                      <w:spacing w:val="1"/>
                      <w:szCs w:val="21"/>
                      <w:lang w:eastAsia="zh-CN"/>
                    </w:rPr>
                    <w:t>每个施工区各设</w:t>
                  </w:r>
                  <w:r>
                    <w:rPr>
                      <w:rFonts w:hint="eastAsia"/>
                      <w:color w:val="auto"/>
                      <w:spacing w:val="1"/>
                      <w:szCs w:val="21"/>
                      <w:lang w:val="en-US" w:eastAsia="zh-CN"/>
                    </w:rPr>
                    <w:t>2个</w:t>
                  </w:r>
                  <w:r>
                    <w:rPr>
                      <w:color w:val="auto"/>
                      <w:spacing w:val="1"/>
                      <w:szCs w:val="21"/>
                    </w:rPr>
                    <w:t>，经沉淀处理后的混凝土养护废水回用于地面洒水降尘，不外排；</w:t>
                  </w:r>
                </w:p>
                <w:p w14:paraId="27937610">
                  <w:pPr>
                    <w:ind w:firstLine="448" w:firstLineChars="200"/>
                    <w:jc w:val="left"/>
                    <w:rPr>
                      <w:color w:val="auto"/>
                      <w:spacing w:val="-4"/>
                      <w:szCs w:val="21"/>
                    </w:rPr>
                  </w:pPr>
                  <w:r>
                    <w:rPr>
                      <w:rFonts w:ascii="Times New Roman" w:hAnsi="Times New Roman" w:eastAsia="宋体" w:cs="Times New Roman"/>
                      <w:color w:val="auto"/>
                      <w:spacing w:val="7"/>
                      <w:szCs w:val="21"/>
                      <w:highlight w:val="none"/>
                    </w:rPr>
                    <w:t>②</w:t>
                  </w:r>
                  <w:r>
                    <w:rPr>
                      <w:rFonts w:hint="eastAsia" w:ascii="Times New Roman" w:hAnsi="Times New Roman" w:eastAsia="宋体" w:cs="Times New Roman"/>
                      <w:color w:val="auto"/>
                      <w:spacing w:val="7"/>
                      <w:szCs w:val="21"/>
                      <w:highlight w:val="none"/>
                      <w:lang w:eastAsia="zh-CN"/>
                    </w:rPr>
                    <w:t>车辆</w:t>
                  </w:r>
                  <w:r>
                    <w:rPr>
                      <w:rFonts w:hint="eastAsia" w:cs="Times New Roman"/>
                      <w:color w:val="auto"/>
                      <w:spacing w:val="7"/>
                      <w:szCs w:val="21"/>
                      <w:highlight w:val="none"/>
                      <w:lang w:eastAsia="zh-CN"/>
                    </w:rPr>
                    <w:t>及机械</w:t>
                  </w:r>
                  <w:r>
                    <w:rPr>
                      <w:rFonts w:hint="eastAsia" w:ascii="Times New Roman" w:hAnsi="Times New Roman" w:eastAsia="宋体" w:cs="Times New Roman"/>
                      <w:color w:val="auto"/>
                      <w:spacing w:val="7"/>
                      <w:szCs w:val="21"/>
                      <w:highlight w:val="none"/>
                      <w:lang w:eastAsia="zh-CN"/>
                    </w:rPr>
                    <w:t>冲洗废水沿河道</w:t>
                  </w:r>
                  <w:r>
                    <w:rPr>
                      <w:rFonts w:hint="eastAsia" w:cs="Times New Roman"/>
                      <w:color w:val="auto"/>
                      <w:spacing w:val="7"/>
                      <w:szCs w:val="21"/>
                      <w:highlight w:val="none"/>
                      <w:lang w:eastAsia="zh-CN"/>
                    </w:rPr>
                    <w:t>每个施工区各设</w:t>
                  </w:r>
                  <w:r>
                    <w:rPr>
                      <w:rFonts w:hint="eastAsia" w:cs="Times New Roman"/>
                      <w:color w:val="auto"/>
                      <w:spacing w:val="7"/>
                      <w:szCs w:val="21"/>
                      <w:highlight w:val="none"/>
                      <w:lang w:val="en-US" w:eastAsia="zh-CN"/>
                    </w:rPr>
                    <w:t>2个隔油</w:t>
                  </w:r>
                  <w:r>
                    <w:rPr>
                      <w:rFonts w:hint="eastAsia" w:ascii="Times New Roman" w:hAnsi="Times New Roman" w:eastAsia="宋体" w:cs="Times New Roman"/>
                      <w:color w:val="auto"/>
                      <w:spacing w:val="7"/>
                      <w:szCs w:val="21"/>
                      <w:highlight w:val="none"/>
                      <w:lang w:val="en-US" w:eastAsia="zh-CN"/>
                    </w:rPr>
                    <w:t>沉淀池，经</w:t>
                  </w:r>
                  <w:r>
                    <w:rPr>
                      <w:rFonts w:hint="eastAsia" w:cs="Times New Roman"/>
                      <w:color w:val="auto"/>
                      <w:spacing w:val="7"/>
                      <w:szCs w:val="21"/>
                      <w:highlight w:val="none"/>
                      <w:lang w:val="en-US" w:eastAsia="zh-CN"/>
                    </w:rPr>
                    <w:t>隔油、</w:t>
                  </w:r>
                  <w:r>
                    <w:rPr>
                      <w:rFonts w:hint="eastAsia" w:ascii="Times New Roman" w:hAnsi="Times New Roman" w:eastAsia="宋体" w:cs="Times New Roman"/>
                      <w:color w:val="auto"/>
                      <w:spacing w:val="7"/>
                      <w:szCs w:val="21"/>
                      <w:highlight w:val="none"/>
                      <w:lang w:val="en-US" w:eastAsia="zh-CN"/>
                    </w:rPr>
                    <w:t>沉淀处理后</w:t>
                  </w:r>
                  <w:r>
                    <w:rPr>
                      <w:rFonts w:ascii="Times New Roman" w:hAnsi="Times New Roman" w:eastAsia="宋体" w:cs="Times New Roman"/>
                      <w:color w:val="auto"/>
                      <w:spacing w:val="7"/>
                      <w:szCs w:val="21"/>
                      <w:highlight w:val="none"/>
                    </w:rPr>
                    <w:t>达标后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p>
              </w:tc>
              <w:tc>
                <w:tcPr>
                  <w:tcW w:w="1191" w:type="dxa"/>
                  <w:vMerge w:val="restart"/>
                  <w:vAlign w:val="center"/>
                </w:tcPr>
                <w:p w14:paraId="5F250779">
                  <w:pPr>
                    <w:jc w:val="center"/>
                    <w:rPr>
                      <w:color w:val="auto"/>
                      <w:spacing w:val="-4"/>
                      <w:szCs w:val="21"/>
                    </w:rPr>
                  </w:pPr>
                  <w:r>
                    <w:rPr>
                      <w:color w:val="auto"/>
                      <w:spacing w:val="-4"/>
                      <w:szCs w:val="21"/>
                    </w:rPr>
                    <w:t>经处理达标后回用于地面洒水降尘</w:t>
                  </w:r>
                </w:p>
              </w:tc>
            </w:tr>
            <w:tr w14:paraId="54CE7F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622" w:type="dxa"/>
                  <w:vMerge w:val="continue"/>
                  <w:vAlign w:val="center"/>
                </w:tcPr>
                <w:p w14:paraId="720C9E4B">
                  <w:pPr>
                    <w:jc w:val="center"/>
                    <w:rPr>
                      <w:color w:val="auto"/>
                      <w:szCs w:val="21"/>
                    </w:rPr>
                  </w:pPr>
                </w:p>
              </w:tc>
              <w:tc>
                <w:tcPr>
                  <w:tcW w:w="800" w:type="dxa"/>
                  <w:vMerge w:val="continue"/>
                  <w:vAlign w:val="center"/>
                </w:tcPr>
                <w:p w14:paraId="69218A7F">
                  <w:pPr>
                    <w:jc w:val="center"/>
                    <w:rPr>
                      <w:color w:val="auto"/>
                      <w:spacing w:val="-6"/>
                      <w:position w:val="7"/>
                      <w:szCs w:val="21"/>
                    </w:rPr>
                  </w:pPr>
                </w:p>
              </w:tc>
              <w:tc>
                <w:tcPr>
                  <w:tcW w:w="954" w:type="dxa"/>
                  <w:vAlign w:val="center"/>
                </w:tcPr>
                <w:p w14:paraId="46CB0FAA">
                  <w:pPr>
                    <w:jc w:val="center"/>
                    <w:rPr>
                      <w:color w:val="auto"/>
                      <w:spacing w:val="-4"/>
                      <w:szCs w:val="21"/>
                    </w:rPr>
                  </w:pPr>
                  <w:r>
                    <w:rPr>
                      <w:color w:val="auto"/>
                      <w:spacing w:val="-4"/>
                      <w:szCs w:val="21"/>
                    </w:rPr>
                    <w:t>pH</w:t>
                  </w:r>
                </w:p>
              </w:tc>
              <w:tc>
                <w:tcPr>
                  <w:tcW w:w="4959" w:type="dxa"/>
                  <w:vMerge w:val="continue"/>
                  <w:vAlign w:val="center"/>
                </w:tcPr>
                <w:p w14:paraId="7724CB50">
                  <w:pPr>
                    <w:jc w:val="center"/>
                    <w:rPr>
                      <w:color w:val="auto"/>
                      <w:spacing w:val="-4"/>
                      <w:szCs w:val="21"/>
                    </w:rPr>
                  </w:pPr>
                </w:p>
              </w:tc>
              <w:tc>
                <w:tcPr>
                  <w:tcW w:w="1191" w:type="dxa"/>
                  <w:vMerge w:val="continue"/>
                  <w:vAlign w:val="center"/>
                </w:tcPr>
                <w:p w14:paraId="5998C51B">
                  <w:pPr>
                    <w:jc w:val="center"/>
                    <w:rPr>
                      <w:color w:val="auto"/>
                      <w:spacing w:val="-4"/>
                      <w:szCs w:val="21"/>
                    </w:rPr>
                  </w:pPr>
                </w:p>
              </w:tc>
            </w:tr>
            <w:tr w14:paraId="55B4F3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2376" w:type="dxa"/>
                  <w:gridSpan w:val="3"/>
                  <w:vAlign w:val="center"/>
                </w:tcPr>
                <w:p w14:paraId="10F2413D">
                  <w:pPr>
                    <w:jc w:val="center"/>
                    <w:rPr>
                      <w:color w:val="auto"/>
                      <w:spacing w:val="-4"/>
                      <w:szCs w:val="21"/>
                    </w:rPr>
                  </w:pPr>
                  <w:r>
                    <w:rPr>
                      <w:color w:val="auto"/>
                      <w:szCs w:val="21"/>
                    </w:rPr>
                    <w:t>电磁辐射</w:t>
                  </w:r>
                </w:p>
              </w:tc>
              <w:tc>
                <w:tcPr>
                  <w:tcW w:w="6150" w:type="dxa"/>
                  <w:gridSpan w:val="2"/>
                  <w:vAlign w:val="center"/>
                </w:tcPr>
                <w:p w14:paraId="38BD6ABF">
                  <w:pPr>
                    <w:jc w:val="center"/>
                    <w:rPr>
                      <w:color w:val="auto"/>
                      <w:spacing w:val="-4"/>
                      <w:szCs w:val="21"/>
                    </w:rPr>
                  </w:pPr>
                  <w:r>
                    <w:rPr>
                      <w:color w:val="auto"/>
                      <w:spacing w:val="-4"/>
                      <w:szCs w:val="21"/>
                    </w:rPr>
                    <w:t>无</w:t>
                  </w:r>
                </w:p>
              </w:tc>
            </w:tr>
            <w:tr w14:paraId="30E9A1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622" w:type="dxa"/>
                  <w:vMerge w:val="restart"/>
                  <w:vAlign w:val="center"/>
                </w:tcPr>
                <w:p w14:paraId="19FFDE4A">
                  <w:pPr>
                    <w:jc w:val="center"/>
                    <w:rPr>
                      <w:color w:val="auto"/>
                      <w:szCs w:val="21"/>
                    </w:rPr>
                  </w:pPr>
                  <w:r>
                    <w:rPr>
                      <w:color w:val="auto"/>
                      <w:szCs w:val="21"/>
                    </w:rPr>
                    <w:t>固废</w:t>
                  </w:r>
                </w:p>
              </w:tc>
              <w:tc>
                <w:tcPr>
                  <w:tcW w:w="800" w:type="dxa"/>
                  <w:vMerge w:val="restart"/>
                  <w:vAlign w:val="center"/>
                </w:tcPr>
                <w:p w14:paraId="07FF8006">
                  <w:pPr>
                    <w:jc w:val="center"/>
                    <w:rPr>
                      <w:color w:val="auto"/>
                      <w:spacing w:val="-6"/>
                      <w:position w:val="7"/>
                      <w:szCs w:val="21"/>
                    </w:rPr>
                  </w:pPr>
                  <w:r>
                    <w:rPr>
                      <w:color w:val="auto"/>
                      <w:spacing w:val="-6"/>
                      <w:position w:val="7"/>
                      <w:szCs w:val="21"/>
                    </w:rPr>
                    <w:t>施工期</w:t>
                  </w:r>
                </w:p>
              </w:tc>
              <w:tc>
                <w:tcPr>
                  <w:tcW w:w="954" w:type="dxa"/>
                  <w:vAlign w:val="center"/>
                </w:tcPr>
                <w:p w14:paraId="6FDF1010">
                  <w:pPr>
                    <w:jc w:val="center"/>
                    <w:rPr>
                      <w:color w:val="auto"/>
                      <w:spacing w:val="-4"/>
                      <w:szCs w:val="21"/>
                    </w:rPr>
                  </w:pPr>
                  <w:r>
                    <w:rPr>
                      <w:color w:val="auto"/>
                      <w:spacing w:val="-4"/>
                      <w:szCs w:val="21"/>
                    </w:rPr>
                    <w:t>生活垃圾</w:t>
                  </w:r>
                </w:p>
              </w:tc>
              <w:tc>
                <w:tcPr>
                  <w:tcW w:w="4959" w:type="dxa"/>
                  <w:vAlign w:val="center"/>
                </w:tcPr>
                <w:p w14:paraId="5B782441">
                  <w:pPr>
                    <w:ind w:firstLine="404" w:firstLineChars="200"/>
                    <w:rPr>
                      <w:color w:val="auto"/>
                      <w:spacing w:val="-4"/>
                      <w:szCs w:val="21"/>
                    </w:rPr>
                  </w:pPr>
                  <w:r>
                    <w:rPr>
                      <w:color w:val="auto"/>
                      <w:spacing w:val="-4"/>
                      <w:szCs w:val="21"/>
                    </w:rPr>
                    <w:t>设置垃圾桶收集，由环卫部门定期清运。</w:t>
                  </w:r>
                </w:p>
              </w:tc>
              <w:tc>
                <w:tcPr>
                  <w:tcW w:w="1191" w:type="dxa"/>
                  <w:vMerge w:val="restart"/>
                  <w:vAlign w:val="center"/>
                </w:tcPr>
                <w:p w14:paraId="2B13C7ED">
                  <w:pPr>
                    <w:jc w:val="center"/>
                    <w:rPr>
                      <w:color w:val="auto"/>
                      <w:spacing w:val="-4"/>
                      <w:szCs w:val="21"/>
                    </w:rPr>
                  </w:pPr>
                  <w:r>
                    <w:rPr>
                      <w:color w:val="auto"/>
                      <w:spacing w:val="-4"/>
                      <w:szCs w:val="21"/>
                    </w:rPr>
                    <w:t>有效处置，不会造成二次污染</w:t>
                  </w:r>
                </w:p>
              </w:tc>
            </w:tr>
            <w:tr w14:paraId="2DBAB8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622" w:type="dxa"/>
                  <w:vMerge w:val="continue"/>
                  <w:vAlign w:val="center"/>
                </w:tcPr>
                <w:p w14:paraId="0DEBFD68">
                  <w:pPr>
                    <w:jc w:val="center"/>
                    <w:rPr>
                      <w:color w:val="auto"/>
                      <w:szCs w:val="21"/>
                    </w:rPr>
                  </w:pPr>
                </w:p>
              </w:tc>
              <w:tc>
                <w:tcPr>
                  <w:tcW w:w="800" w:type="dxa"/>
                  <w:vMerge w:val="continue"/>
                  <w:vAlign w:val="center"/>
                </w:tcPr>
                <w:p w14:paraId="316541EB">
                  <w:pPr>
                    <w:jc w:val="center"/>
                    <w:rPr>
                      <w:color w:val="auto"/>
                      <w:spacing w:val="-6"/>
                      <w:position w:val="7"/>
                      <w:szCs w:val="21"/>
                    </w:rPr>
                  </w:pPr>
                </w:p>
              </w:tc>
              <w:tc>
                <w:tcPr>
                  <w:tcW w:w="954" w:type="dxa"/>
                  <w:vAlign w:val="center"/>
                </w:tcPr>
                <w:p w14:paraId="149EA49F">
                  <w:pPr>
                    <w:jc w:val="center"/>
                    <w:rPr>
                      <w:color w:val="auto"/>
                      <w:spacing w:val="-4"/>
                      <w:szCs w:val="21"/>
                    </w:rPr>
                  </w:pPr>
                  <w:r>
                    <w:rPr>
                      <w:color w:val="auto"/>
                      <w:spacing w:val="-4"/>
                      <w:szCs w:val="21"/>
                    </w:rPr>
                    <w:t>建筑垃圾</w:t>
                  </w:r>
                </w:p>
              </w:tc>
              <w:tc>
                <w:tcPr>
                  <w:tcW w:w="4959" w:type="dxa"/>
                  <w:vAlign w:val="center"/>
                </w:tcPr>
                <w:p w14:paraId="251E2FD8">
                  <w:pPr>
                    <w:ind w:firstLine="456" w:firstLineChars="200"/>
                    <w:rPr>
                      <w:color w:val="auto"/>
                      <w:spacing w:val="-4"/>
                      <w:szCs w:val="21"/>
                    </w:rPr>
                  </w:pPr>
                  <w:r>
                    <w:rPr>
                      <w:color w:val="auto"/>
                      <w:spacing w:val="9"/>
                      <w:szCs w:val="21"/>
                    </w:rPr>
                    <w:t>建筑垃圾统一收集后，按照环卫部门的规定进行利用或者处置</w:t>
                  </w:r>
                  <w:r>
                    <w:rPr>
                      <w:rFonts w:hint="eastAsia"/>
                      <w:color w:val="auto"/>
                      <w:spacing w:val="9"/>
                      <w:szCs w:val="21"/>
                    </w:rPr>
                    <w:t>。</w:t>
                  </w:r>
                </w:p>
              </w:tc>
              <w:tc>
                <w:tcPr>
                  <w:tcW w:w="1191" w:type="dxa"/>
                  <w:vMerge w:val="continue"/>
                  <w:vAlign w:val="center"/>
                </w:tcPr>
                <w:p w14:paraId="121E4145">
                  <w:pPr>
                    <w:jc w:val="center"/>
                    <w:rPr>
                      <w:color w:val="auto"/>
                      <w:spacing w:val="-4"/>
                      <w:szCs w:val="21"/>
                    </w:rPr>
                  </w:pPr>
                </w:p>
              </w:tc>
            </w:tr>
            <w:tr w14:paraId="6EBB2E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932" w:hRule="atLeast"/>
              </w:trPr>
              <w:tc>
                <w:tcPr>
                  <w:tcW w:w="622" w:type="dxa"/>
                  <w:vMerge w:val="continue"/>
                  <w:vAlign w:val="center"/>
                </w:tcPr>
                <w:p w14:paraId="6F4C938D">
                  <w:pPr>
                    <w:jc w:val="center"/>
                    <w:rPr>
                      <w:color w:val="auto"/>
                      <w:szCs w:val="21"/>
                    </w:rPr>
                  </w:pPr>
                </w:p>
              </w:tc>
              <w:tc>
                <w:tcPr>
                  <w:tcW w:w="800" w:type="dxa"/>
                  <w:vMerge w:val="continue"/>
                  <w:vAlign w:val="center"/>
                </w:tcPr>
                <w:p w14:paraId="67C570F8">
                  <w:pPr>
                    <w:jc w:val="center"/>
                    <w:rPr>
                      <w:color w:val="auto"/>
                      <w:spacing w:val="-6"/>
                      <w:position w:val="7"/>
                      <w:szCs w:val="21"/>
                    </w:rPr>
                  </w:pPr>
                </w:p>
              </w:tc>
              <w:tc>
                <w:tcPr>
                  <w:tcW w:w="954" w:type="dxa"/>
                  <w:vAlign w:val="center"/>
                </w:tcPr>
                <w:p w14:paraId="1C8BD7E7">
                  <w:pPr>
                    <w:jc w:val="center"/>
                    <w:rPr>
                      <w:color w:val="auto"/>
                      <w:spacing w:val="-4"/>
                      <w:szCs w:val="21"/>
                    </w:rPr>
                  </w:pPr>
                  <w:r>
                    <w:rPr>
                      <w:color w:val="auto"/>
                      <w:spacing w:val="-4"/>
                      <w:szCs w:val="21"/>
                    </w:rPr>
                    <w:t>施工弃方和淤泥</w:t>
                  </w:r>
                </w:p>
              </w:tc>
              <w:tc>
                <w:tcPr>
                  <w:tcW w:w="4959" w:type="dxa"/>
                  <w:vAlign w:val="center"/>
                </w:tcPr>
                <w:p w14:paraId="3BE66B6C">
                  <w:pPr>
                    <w:ind w:firstLine="404" w:firstLineChars="200"/>
                    <w:rPr>
                      <w:color w:val="auto"/>
                      <w:spacing w:val="-4"/>
                      <w:szCs w:val="21"/>
                    </w:rPr>
                  </w:pPr>
                  <w:r>
                    <w:rPr>
                      <w:color w:val="auto"/>
                      <w:spacing w:val="-4"/>
                      <w:szCs w:val="21"/>
                    </w:rPr>
                    <w:t>本项目在河道开挖土方和清挖产生的淤泥属于一般固体废物。利用挖机将淤泥挖至河道一侧沥水，待淤积物较干后与清挖产生的土石方按照环卫部门的规定进行利用或者处置</w:t>
                  </w:r>
                  <w:r>
                    <w:rPr>
                      <w:rFonts w:hint="eastAsia"/>
                      <w:color w:val="auto"/>
                      <w:spacing w:val="-4"/>
                      <w:szCs w:val="21"/>
                    </w:rPr>
                    <w:t>。</w:t>
                  </w:r>
                </w:p>
                <w:p w14:paraId="11B3D20C">
                  <w:pPr>
                    <w:ind w:firstLine="404" w:firstLineChars="200"/>
                    <w:rPr>
                      <w:color w:val="auto"/>
                      <w:spacing w:val="-4"/>
                      <w:szCs w:val="21"/>
                    </w:rPr>
                  </w:pPr>
                  <w:r>
                    <w:rPr>
                      <w:color w:val="auto"/>
                      <w:spacing w:val="-4"/>
                      <w:szCs w:val="21"/>
                    </w:rPr>
                    <w:t>措施：做好施工计划，尽量做到项目内部土石方平衡，减少施工弃土、弃渣运输量，并采用封闭车辆运输，防止工程弃土、弃渣沿途撒落；不可随意堆放，堆土区进行定期洒水，防止风吹扬尘，或者使用薄膜覆盖防风和降雨；堆放过程中要注意控制堆放高度，并采取建设挡栏等措施防止其被冲刷流失。同时加强设备的日常检查及维护，避免设备破损造成淤泥外泄，影响周边环境。经类比分析，项目清淤污泥在条件符合的情况下，作为中层土和肥料回用于景观绿化中是可行和可靠的。</w:t>
                  </w:r>
                </w:p>
              </w:tc>
              <w:tc>
                <w:tcPr>
                  <w:tcW w:w="1191" w:type="dxa"/>
                  <w:vMerge w:val="continue"/>
                  <w:vAlign w:val="center"/>
                </w:tcPr>
                <w:p w14:paraId="3A8DD899">
                  <w:pPr>
                    <w:jc w:val="center"/>
                    <w:rPr>
                      <w:color w:val="auto"/>
                      <w:spacing w:val="-4"/>
                      <w:szCs w:val="21"/>
                    </w:rPr>
                  </w:pPr>
                </w:p>
              </w:tc>
            </w:tr>
            <w:tr w14:paraId="6A2C86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622" w:type="dxa"/>
                  <w:vMerge w:val="continue"/>
                  <w:vAlign w:val="center"/>
                </w:tcPr>
                <w:p w14:paraId="1E04805C">
                  <w:pPr>
                    <w:jc w:val="center"/>
                    <w:rPr>
                      <w:color w:val="auto"/>
                      <w:szCs w:val="21"/>
                    </w:rPr>
                  </w:pPr>
                </w:p>
              </w:tc>
              <w:tc>
                <w:tcPr>
                  <w:tcW w:w="800" w:type="dxa"/>
                  <w:vMerge w:val="continue"/>
                  <w:vAlign w:val="center"/>
                </w:tcPr>
                <w:p w14:paraId="2DBD14E0">
                  <w:pPr>
                    <w:jc w:val="center"/>
                    <w:rPr>
                      <w:color w:val="auto"/>
                      <w:spacing w:val="-6"/>
                      <w:position w:val="7"/>
                      <w:szCs w:val="21"/>
                    </w:rPr>
                  </w:pPr>
                </w:p>
              </w:tc>
              <w:tc>
                <w:tcPr>
                  <w:tcW w:w="954" w:type="dxa"/>
                  <w:vAlign w:val="center"/>
                </w:tcPr>
                <w:p w14:paraId="49D6ABD8">
                  <w:pPr>
                    <w:jc w:val="center"/>
                    <w:rPr>
                      <w:color w:val="auto"/>
                      <w:spacing w:val="-4"/>
                      <w:szCs w:val="21"/>
                    </w:rPr>
                  </w:pPr>
                  <w:r>
                    <w:rPr>
                      <w:color w:val="auto"/>
                      <w:spacing w:val="-4"/>
                      <w:szCs w:val="21"/>
                    </w:rPr>
                    <w:t>河道垃圾</w:t>
                  </w:r>
                </w:p>
              </w:tc>
              <w:tc>
                <w:tcPr>
                  <w:tcW w:w="4959" w:type="dxa"/>
                  <w:vAlign w:val="center"/>
                </w:tcPr>
                <w:p w14:paraId="4B8B4879">
                  <w:pPr>
                    <w:ind w:firstLine="448" w:firstLineChars="200"/>
                    <w:jc w:val="left"/>
                    <w:rPr>
                      <w:color w:val="auto"/>
                      <w:spacing w:val="7"/>
                      <w:szCs w:val="21"/>
                    </w:rPr>
                  </w:pPr>
                  <w:r>
                    <w:rPr>
                      <w:color w:val="auto"/>
                      <w:spacing w:val="7"/>
                      <w:szCs w:val="21"/>
                    </w:rPr>
                    <w:t>统一收集后交由环卫部门清运</w:t>
                  </w:r>
                </w:p>
              </w:tc>
              <w:tc>
                <w:tcPr>
                  <w:tcW w:w="1191" w:type="dxa"/>
                  <w:vMerge w:val="continue"/>
                  <w:vAlign w:val="center"/>
                </w:tcPr>
                <w:p w14:paraId="39681CFA">
                  <w:pPr>
                    <w:jc w:val="center"/>
                    <w:rPr>
                      <w:color w:val="auto"/>
                      <w:spacing w:val="-4"/>
                      <w:szCs w:val="21"/>
                    </w:rPr>
                  </w:pPr>
                </w:p>
              </w:tc>
            </w:tr>
            <w:tr w14:paraId="66DC9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622" w:type="dxa"/>
                  <w:vMerge w:val="continue"/>
                  <w:vAlign w:val="center"/>
                </w:tcPr>
                <w:p w14:paraId="421D07AF">
                  <w:pPr>
                    <w:jc w:val="center"/>
                    <w:rPr>
                      <w:color w:val="auto"/>
                      <w:szCs w:val="21"/>
                    </w:rPr>
                  </w:pPr>
                </w:p>
              </w:tc>
              <w:tc>
                <w:tcPr>
                  <w:tcW w:w="800" w:type="dxa"/>
                  <w:vMerge w:val="continue"/>
                  <w:vAlign w:val="center"/>
                </w:tcPr>
                <w:p w14:paraId="6B3D3168">
                  <w:pPr>
                    <w:jc w:val="center"/>
                    <w:rPr>
                      <w:color w:val="auto"/>
                      <w:spacing w:val="-6"/>
                      <w:position w:val="7"/>
                      <w:szCs w:val="21"/>
                    </w:rPr>
                  </w:pPr>
                </w:p>
              </w:tc>
              <w:tc>
                <w:tcPr>
                  <w:tcW w:w="954" w:type="dxa"/>
                  <w:vAlign w:val="center"/>
                </w:tcPr>
                <w:p w14:paraId="1920211C">
                  <w:pPr>
                    <w:jc w:val="center"/>
                    <w:rPr>
                      <w:rFonts w:hint="eastAsia" w:eastAsia="宋体"/>
                      <w:color w:val="auto"/>
                      <w:spacing w:val="-4"/>
                      <w:szCs w:val="21"/>
                      <w:highlight w:val="yellow"/>
                      <w:lang w:eastAsia="zh-CN"/>
                    </w:rPr>
                  </w:pPr>
                  <w:r>
                    <w:rPr>
                      <w:rFonts w:hint="default" w:ascii="Times New Roman" w:hAnsi="Times New Roman" w:eastAsia="宋体" w:cs="Times New Roman"/>
                      <w:color w:val="auto"/>
                      <w:spacing w:val="7"/>
                      <w:szCs w:val="21"/>
                      <w:highlight w:val="none"/>
                    </w:rPr>
                    <w:t>隔油池浮油</w:t>
                  </w:r>
                </w:p>
              </w:tc>
              <w:tc>
                <w:tcPr>
                  <w:tcW w:w="4959" w:type="dxa"/>
                  <w:vAlign w:val="center"/>
                </w:tcPr>
                <w:p w14:paraId="7A96BB75">
                  <w:pPr>
                    <w:keepNext w:val="0"/>
                    <w:keepLines w:val="0"/>
                    <w:suppressLineNumbers w:val="0"/>
                    <w:spacing w:before="0" w:beforeAutospacing="0" w:after="0" w:afterAutospacing="0" w:line="240" w:lineRule="auto"/>
                    <w:ind w:left="0" w:right="0" w:firstLine="508"/>
                    <w:rPr>
                      <w:rFonts w:hint="eastAsia" w:eastAsia="宋体"/>
                      <w:color w:val="auto"/>
                      <w:spacing w:val="7"/>
                      <w:szCs w:val="21"/>
                      <w:highlight w:val="yellow"/>
                      <w:lang w:eastAsia="zh-CN"/>
                    </w:rPr>
                  </w:pPr>
                  <w:r>
                    <w:rPr>
                      <w:rFonts w:hint="eastAsia" w:ascii="Times New Roman" w:hAnsi="Times New Roman" w:eastAsia="宋体" w:cs="Times New Roman"/>
                      <w:color w:val="auto"/>
                      <w:spacing w:val="7"/>
                      <w:szCs w:val="21"/>
                      <w:highlight w:val="none"/>
                      <w:lang w:eastAsia="zh-CN"/>
                    </w:rPr>
                    <w:t>每个施工区各设</w:t>
                  </w:r>
                  <w:r>
                    <w:rPr>
                      <w:rFonts w:hint="eastAsia" w:ascii="Times New Roman" w:hAnsi="Times New Roman" w:eastAsia="宋体" w:cs="Times New Roman"/>
                      <w:color w:val="auto"/>
                      <w:spacing w:val="7"/>
                      <w:szCs w:val="21"/>
                      <w:highlight w:val="none"/>
                      <w:lang w:val="en-US" w:eastAsia="zh-CN"/>
                    </w:rPr>
                    <w:t>1个5m</w:t>
                  </w:r>
                  <w:r>
                    <w:rPr>
                      <w:rFonts w:hint="eastAsia" w:ascii="Times New Roman" w:hAnsi="Times New Roman" w:eastAsia="宋体" w:cs="Times New Roman"/>
                      <w:color w:val="auto"/>
                      <w:spacing w:val="7"/>
                      <w:szCs w:val="21"/>
                      <w:highlight w:val="none"/>
                      <w:vertAlign w:val="superscript"/>
                      <w:lang w:val="en-US" w:eastAsia="zh-CN"/>
                    </w:rPr>
                    <w:t>2</w:t>
                  </w:r>
                  <w:r>
                    <w:rPr>
                      <w:rFonts w:hint="eastAsia" w:ascii="Times New Roman" w:hAnsi="Times New Roman" w:eastAsia="宋体" w:cs="Times New Roman"/>
                      <w:color w:val="auto"/>
                      <w:spacing w:val="7"/>
                      <w:szCs w:val="21"/>
                      <w:highlight w:val="none"/>
                      <w:lang w:val="en-US" w:eastAsia="zh-CN"/>
                    </w:rPr>
                    <w:t>的危废间，隔油池浮油</w:t>
                  </w:r>
                  <w:r>
                    <w:rPr>
                      <w:rFonts w:hint="eastAsia" w:ascii="Times New Roman" w:hAnsi="Times New Roman" w:eastAsia="宋体" w:cs="Times New Roman"/>
                      <w:color w:val="auto"/>
                      <w:spacing w:val="7"/>
                      <w:szCs w:val="21"/>
                      <w:highlight w:val="none"/>
                      <w:lang w:eastAsia="zh-CN"/>
                    </w:rPr>
                    <w:t>暂存危废间，</w:t>
                  </w:r>
                  <w:r>
                    <w:rPr>
                      <w:rFonts w:hint="default" w:ascii="Times New Roman" w:hAnsi="Times New Roman" w:eastAsia="宋体" w:cs="Times New Roman"/>
                      <w:color w:val="auto"/>
                      <w:spacing w:val="7"/>
                      <w:szCs w:val="21"/>
                      <w:highlight w:val="none"/>
                      <w:lang w:eastAsia="zh-CN"/>
                    </w:rPr>
                    <w:t>待施工结束后交由资质单位妥善处理。</w:t>
                  </w:r>
                </w:p>
              </w:tc>
              <w:tc>
                <w:tcPr>
                  <w:tcW w:w="1191" w:type="dxa"/>
                  <w:vMerge w:val="continue"/>
                  <w:vAlign w:val="center"/>
                </w:tcPr>
                <w:p w14:paraId="3F8A222F">
                  <w:pPr>
                    <w:jc w:val="center"/>
                    <w:rPr>
                      <w:color w:val="auto"/>
                      <w:spacing w:val="-4"/>
                      <w:szCs w:val="21"/>
                    </w:rPr>
                  </w:pPr>
                </w:p>
              </w:tc>
            </w:tr>
            <w:tr w14:paraId="133779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22" w:type="dxa"/>
                  <w:vAlign w:val="center"/>
                </w:tcPr>
                <w:p w14:paraId="658E7A36">
                  <w:pPr>
                    <w:jc w:val="center"/>
                    <w:rPr>
                      <w:color w:val="auto"/>
                      <w:szCs w:val="21"/>
                    </w:rPr>
                  </w:pPr>
                  <w:r>
                    <w:rPr>
                      <w:color w:val="auto"/>
                      <w:szCs w:val="21"/>
                    </w:rPr>
                    <w:t>噪声</w:t>
                  </w:r>
                </w:p>
              </w:tc>
              <w:tc>
                <w:tcPr>
                  <w:tcW w:w="800" w:type="dxa"/>
                  <w:vAlign w:val="center"/>
                </w:tcPr>
                <w:p w14:paraId="25F34C3A">
                  <w:pPr>
                    <w:jc w:val="center"/>
                    <w:rPr>
                      <w:color w:val="auto"/>
                      <w:spacing w:val="-4"/>
                      <w:szCs w:val="21"/>
                    </w:rPr>
                  </w:pPr>
                  <w:r>
                    <w:rPr>
                      <w:color w:val="auto"/>
                      <w:spacing w:val="-4"/>
                      <w:szCs w:val="21"/>
                    </w:rPr>
                    <w:t>施工期</w:t>
                  </w:r>
                </w:p>
              </w:tc>
              <w:tc>
                <w:tcPr>
                  <w:tcW w:w="7104" w:type="dxa"/>
                  <w:gridSpan w:val="3"/>
                  <w:vAlign w:val="center"/>
                </w:tcPr>
                <w:p w14:paraId="01C00D83">
                  <w:pPr>
                    <w:ind w:firstLine="404" w:firstLineChars="200"/>
                    <w:jc w:val="left"/>
                    <w:rPr>
                      <w:color w:val="auto"/>
                      <w:spacing w:val="-4"/>
                      <w:szCs w:val="21"/>
                    </w:rPr>
                  </w:pPr>
                  <w:r>
                    <w:rPr>
                      <w:color w:val="auto"/>
                      <w:spacing w:val="-4"/>
                      <w:szCs w:val="21"/>
                    </w:rPr>
                    <w:t>①噪声源控制：选用低噪声工艺和设备；振动大的设备（部件）应配备减振装置。加强机械设备的维修和保养，减少运行噪声。施工道路和施工生产区布置尽可能远离居民区。集中居民区附近夜间10：00～第二天早晨6：00停止高噪声机械施工。</w:t>
                  </w:r>
                </w:p>
                <w:p w14:paraId="3FD31628">
                  <w:pPr>
                    <w:ind w:firstLine="404" w:firstLineChars="200"/>
                    <w:jc w:val="left"/>
                    <w:rPr>
                      <w:color w:val="auto"/>
                      <w:spacing w:val="-4"/>
                      <w:szCs w:val="21"/>
                    </w:rPr>
                  </w:pPr>
                  <w:r>
                    <w:rPr>
                      <w:color w:val="auto"/>
                      <w:spacing w:val="-4"/>
                      <w:szCs w:val="21"/>
                    </w:rPr>
                    <w:t>②噪声传播途径控制：合理安排施工区和生活区位置，噪声大的施工机械应尽可能远离生活区。为降低噪声对临近施工区的集中居民点影响，设置可移动隔声屏障，隔声屏高不低于2.5m。</w:t>
                  </w:r>
                </w:p>
                <w:p w14:paraId="2005E5E3">
                  <w:pPr>
                    <w:ind w:firstLine="404" w:firstLineChars="200"/>
                    <w:jc w:val="left"/>
                    <w:rPr>
                      <w:color w:val="auto"/>
                      <w:spacing w:val="-4"/>
                      <w:szCs w:val="21"/>
                    </w:rPr>
                  </w:pPr>
                  <w:r>
                    <w:rPr>
                      <w:color w:val="auto"/>
                      <w:spacing w:val="-4"/>
                      <w:szCs w:val="21"/>
                    </w:rPr>
                    <w:t>③受影响者的个体保护：改善施工人员的作业条件，加强劳动保护，高噪声环境下的施工作业人员每人每天的工作时间不多于6h。给受噪声影响大的施工人员配发噪声防护用具。</w:t>
                  </w:r>
                </w:p>
                <w:p w14:paraId="1D50E86B">
                  <w:pPr>
                    <w:ind w:firstLine="404" w:firstLineChars="200"/>
                    <w:jc w:val="left"/>
                    <w:rPr>
                      <w:color w:val="auto"/>
                      <w:spacing w:val="-4"/>
                      <w:szCs w:val="21"/>
                    </w:rPr>
                  </w:pPr>
                  <w:r>
                    <w:rPr>
                      <w:color w:val="auto"/>
                      <w:spacing w:val="-4"/>
                      <w:szCs w:val="21"/>
                    </w:rPr>
                    <w:t>④施工单位应该在施工现场和距离较近的村庄张布通告，并标明投诉电话，建设单位在接到投诉后应及时与当地环保部门取得联系，及时处理各种环境纠纷。</w:t>
                  </w:r>
                </w:p>
                <w:p w14:paraId="43F11821">
                  <w:pPr>
                    <w:ind w:firstLine="404" w:firstLineChars="200"/>
                    <w:jc w:val="left"/>
                    <w:rPr>
                      <w:color w:val="auto"/>
                      <w:spacing w:val="-4"/>
                      <w:szCs w:val="21"/>
                    </w:rPr>
                  </w:pPr>
                  <w:r>
                    <w:rPr>
                      <w:color w:val="auto"/>
                      <w:spacing w:val="-4"/>
                      <w:szCs w:val="21"/>
                    </w:rPr>
                    <w:t>⑤应严格执行《中华人民共和国</w:t>
                  </w:r>
                  <w:r>
                    <w:rPr>
                      <w:rFonts w:hint="eastAsia"/>
                      <w:color w:val="auto"/>
                      <w:spacing w:val="-4"/>
                      <w:szCs w:val="21"/>
                      <w:lang w:eastAsia="zh-CN"/>
                    </w:rPr>
                    <w:t>生态环境法典</w:t>
                  </w:r>
                  <w:r>
                    <w:rPr>
                      <w:color w:val="auto"/>
                      <w:spacing w:val="-4"/>
                      <w:szCs w:val="21"/>
                    </w:rPr>
                    <w:t>》和《建筑施工噪声排放标准》（GB12523-20</w:t>
                  </w:r>
                  <w:r>
                    <w:rPr>
                      <w:rFonts w:hint="eastAsia"/>
                      <w:color w:val="auto"/>
                      <w:spacing w:val="-4"/>
                      <w:szCs w:val="21"/>
                      <w:lang w:val="en-US" w:eastAsia="zh-CN"/>
                    </w:rPr>
                    <w:t>25</w:t>
                  </w:r>
                  <w:r>
                    <w:rPr>
                      <w:color w:val="auto"/>
                      <w:spacing w:val="-4"/>
                      <w:szCs w:val="21"/>
                    </w:rPr>
                    <w:t>），采用低噪声施工机械和先进工艺进行施工，施工机械设备要加强保养和维护，保持良好的工况。日常须加强对施工人员的管理，减少人为原因产生的高噪声。</w:t>
                  </w:r>
                </w:p>
              </w:tc>
            </w:tr>
            <w:tr w14:paraId="7656C3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422" w:type="dxa"/>
                  <w:gridSpan w:val="2"/>
                  <w:vAlign w:val="center"/>
                </w:tcPr>
                <w:p w14:paraId="524ADEE3">
                  <w:pPr>
                    <w:jc w:val="center"/>
                    <w:rPr>
                      <w:color w:val="auto"/>
                      <w:spacing w:val="16"/>
                      <w:szCs w:val="21"/>
                    </w:rPr>
                  </w:pPr>
                  <w:r>
                    <w:rPr>
                      <w:color w:val="auto"/>
                      <w:szCs w:val="21"/>
                    </w:rPr>
                    <w:t>其他</w:t>
                  </w:r>
                </w:p>
              </w:tc>
              <w:tc>
                <w:tcPr>
                  <w:tcW w:w="7104" w:type="dxa"/>
                  <w:gridSpan w:val="3"/>
                  <w:vAlign w:val="center"/>
                </w:tcPr>
                <w:p w14:paraId="1D558EDF">
                  <w:pPr>
                    <w:jc w:val="center"/>
                    <w:rPr>
                      <w:color w:val="auto"/>
                      <w:spacing w:val="16"/>
                      <w:szCs w:val="21"/>
                    </w:rPr>
                  </w:pPr>
                  <w:r>
                    <w:rPr>
                      <w:color w:val="auto"/>
                      <w:spacing w:val="16"/>
                      <w:szCs w:val="21"/>
                    </w:rPr>
                    <w:t>无</w:t>
                  </w:r>
                </w:p>
              </w:tc>
            </w:tr>
          </w:tbl>
          <w:p w14:paraId="79A156B2">
            <w:pPr>
              <w:widowControl/>
              <w:numPr>
                <w:ilvl w:val="0"/>
                <w:numId w:val="12"/>
              </w:numPr>
              <w:spacing w:line="360" w:lineRule="auto"/>
              <w:ind w:firstLine="482" w:firstLineChars="200"/>
              <w:rPr>
                <w:b/>
                <w:bCs/>
                <w:color w:val="auto"/>
                <w:kern w:val="0"/>
                <w:sz w:val="24"/>
                <w:lang w:bidi="ar"/>
              </w:rPr>
            </w:pPr>
            <w:r>
              <w:rPr>
                <w:b/>
                <w:bCs/>
                <w:color w:val="auto"/>
                <w:kern w:val="0"/>
                <w:sz w:val="24"/>
                <w:lang w:bidi="ar"/>
              </w:rPr>
              <w:t>生态环境保护措施</w:t>
            </w:r>
          </w:p>
          <w:p w14:paraId="3D87EDDD">
            <w:pPr>
              <w:spacing w:line="360" w:lineRule="auto"/>
              <w:ind w:firstLine="544" w:firstLineChars="200"/>
              <w:rPr>
                <w:color w:val="auto"/>
                <w:sz w:val="24"/>
              </w:rPr>
            </w:pPr>
            <w:r>
              <w:rPr>
                <w:color w:val="auto"/>
                <w:spacing w:val="16"/>
                <w:sz w:val="24"/>
              </w:rPr>
              <w:t>1、陆生生态保护措施</w:t>
            </w:r>
          </w:p>
          <w:p w14:paraId="22BD1339">
            <w:pPr>
              <w:spacing w:line="360" w:lineRule="auto"/>
              <w:ind w:firstLine="482"/>
              <w:rPr>
                <w:color w:val="auto"/>
                <w:sz w:val="24"/>
              </w:rPr>
            </w:pPr>
            <w:r>
              <w:rPr>
                <w:color w:val="auto"/>
                <w:spacing w:val="12"/>
                <w:sz w:val="24"/>
              </w:rPr>
              <w:t>工程占地</w:t>
            </w:r>
            <w:r>
              <w:rPr>
                <w:color w:val="auto"/>
                <w:spacing w:val="8"/>
                <w:sz w:val="24"/>
              </w:rPr>
              <w:t>会</w:t>
            </w:r>
            <w:r>
              <w:rPr>
                <w:color w:val="auto"/>
                <w:spacing w:val="6"/>
                <w:sz w:val="24"/>
              </w:rPr>
              <w:t>使评价区内部分动植物资源遭受损失，因此在施工期间应加强对</w:t>
            </w:r>
            <w:r>
              <w:rPr>
                <w:color w:val="auto"/>
                <w:spacing w:val="9"/>
                <w:sz w:val="24"/>
              </w:rPr>
              <w:t>野生动植物资源的保护。具体措施如下</w:t>
            </w:r>
            <w:r>
              <w:rPr>
                <w:color w:val="auto"/>
                <w:spacing w:val="7"/>
                <w:sz w:val="24"/>
              </w:rPr>
              <w:t>：</w:t>
            </w:r>
          </w:p>
          <w:p w14:paraId="4A9746AD">
            <w:pPr>
              <w:numPr>
                <w:ilvl w:val="0"/>
                <w:numId w:val="13"/>
              </w:numPr>
              <w:spacing w:line="360" w:lineRule="auto"/>
              <w:ind w:firstLine="499"/>
              <w:rPr>
                <w:color w:val="auto"/>
                <w:spacing w:val="9"/>
                <w:sz w:val="24"/>
              </w:rPr>
            </w:pPr>
            <w:r>
              <w:rPr>
                <w:color w:val="auto"/>
                <w:spacing w:val="9"/>
                <w:sz w:val="24"/>
              </w:rPr>
              <w:t>施工前进行陆生植物的全面调查，合理优化施工场地的布置，尽量减少</w:t>
            </w:r>
            <w:r>
              <w:rPr>
                <w:color w:val="auto"/>
                <w:spacing w:val="12"/>
                <w:sz w:val="24"/>
              </w:rPr>
              <w:t>施</w:t>
            </w:r>
            <w:r>
              <w:rPr>
                <w:color w:val="auto"/>
                <w:spacing w:val="9"/>
                <w:sz w:val="24"/>
              </w:rPr>
              <w:t>工活动范围，减少工程实施对植被的破坏程度；</w:t>
            </w:r>
          </w:p>
          <w:p w14:paraId="287F33F0">
            <w:pPr>
              <w:spacing w:line="360" w:lineRule="auto"/>
              <w:ind w:firstLine="516" w:firstLineChars="200"/>
              <w:rPr>
                <w:color w:val="auto"/>
                <w:sz w:val="24"/>
              </w:rPr>
            </w:pPr>
            <w:r>
              <w:rPr>
                <w:color w:val="auto"/>
                <w:spacing w:val="9"/>
                <w:sz w:val="24"/>
              </w:rPr>
              <w:t>（2）加强施工管理和环境保护宣传，禁止施工人员和移民乱砍滥伐；</w:t>
            </w:r>
          </w:p>
          <w:p w14:paraId="32F856E7">
            <w:pPr>
              <w:spacing w:line="360" w:lineRule="auto"/>
              <w:ind w:firstLine="480"/>
              <w:rPr>
                <w:color w:val="auto"/>
                <w:sz w:val="24"/>
              </w:rPr>
            </w:pPr>
            <w:r>
              <w:rPr>
                <w:color w:val="auto"/>
                <w:spacing w:val="10"/>
                <w:sz w:val="24"/>
              </w:rPr>
              <w:t>（3）施工所需外购建筑材料，如砖、石、沙、水泥、木材等，随用随运，</w:t>
            </w:r>
            <w:r>
              <w:rPr>
                <w:color w:val="auto"/>
                <w:spacing w:val="9"/>
                <w:sz w:val="24"/>
              </w:rPr>
              <w:t>尽</w:t>
            </w:r>
            <w:r>
              <w:rPr>
                <w:color w:val="auto"/>
                <w:spacing w:val="10"/>
                <w:sz w:val="24"/>
              </w:rPr>
              <w:t>量</w:t>
            </w:r>
            <w:r>
              <w:rPr>
                <w:color w:val="auto"/>
                <w:spacing w:val="8"/>
                <w:sz w:val="24"/>
              </w:rPr>
              <w:t>少占地、少破坏植被；</w:t>
            </w:r>
          </w:p>
          <w:p w14:paraId="7C2AB827">
            <w:pPr>
              <w:spacing w:line="360" w:lineRule="auto"/>
              <w:ind w:firstLine="473"/>
              <w:rPr>
                <w:color w:val="auto"/>
                <w:sz w:val="24"/>
              </w:rPr>
            </w:pPr>
            <w:r>
              <w:rPr>
                <w:color w:val="auto"/>
                <w:spacing w:val="15"/>
                <w:sz w:val="24"/>
              </w:rPr>
              <w:t>（4）</w:t>
            </w:r>
            <w:r>
              <w:rPr>
                <w:color w:val="auto"/>
                <w:spacing w:val="10"/>
                <w:sz w:val="24"/>
              </w:rPr>
              <w:t>及时发现和掌握动物栖息信息，工程取土、弃土应尽量避免对野生动物</w:t>
            </w:r>
            <w:r>
              <w:rPr>
                <w:color w:val="auto"/>
                <w:spacing w:val="13"/>
                <w:sz w:val="24"/>
              </w:rPr>
              <w:t>洞</w:t>
            </w:r>
            <w:r>
              <w:rPr>
                <w:color w:val="auto"/>
                <w:spacing w:val="7"/>
                <w:sz w:val="24"/>
              </w:rPr>
              <w:t>穴的扰动和破坏；</w:t>
            </w:r>
          </w:p>
          <w:p w14:paraId="0DE7A103">
            <w:pPr>
              <w:spacing w:line="360" w:lineRule="auto"/>
              <w:ind w:firstLine="481"/>
              <w:rPr>
                <w:color w:val="auto"/>
                <w:sz w:val="24"/>
              </w:rPr>
            </w:pPr>
            <w:r>
              <w:rPr>
                <w:color w:val="auto"/>
                <w:spacing w:val="10"/>
                <w:sz w:val="24"/>
              </w:rPr>
              <w:t>（5）为避免施工队伍对野生动植物的影响，禁止到动物时常出没的非施工</w:t>
            </w:r>
            <w:r>
              <w:rPr>
                <w:color w:val="auto"/>
                <w:spacing w:val="7"/>
                <w:sz w:val="24"/>
              </w:rPr>
              <w:t>区</w:t>
            </w:r>
            <w:r>
              <w:rPr>
                <w:color w:val="auto"/>
                <w:spacing w:val="12"/>
                <w:sz w:val="24"/>
              </w:rPr>
              <w:t>域</w:t>
            </w:r>
            <w:r>
              <w:rPr>
                <w:color w:val="auto"/>
                <w:spacing w:val="9"/>
                <w:sz w:val="24"/>
              </w:rPr>
              <w:t>活动，尤其要禁止在非施工区点火、狩猎和垂钓等；</w:t>
            </w:r>
          </w:p>
          <w:p w14:paraId="0A18B8D9">
            <w:pPr>
              <w:spacing w:line="360" w:lineRule="auto"/>
              <w:ind w:firstLine="480"/>
              <w:rPr>
                <w:color w:val="auto"/>
                <w:sz w:val="24"/>
              </w:rPr>
            </w:pPr>
            <w:r>
              <w:rPr>
                <w:color w:val="auto"/>
                <w:spacing w:val="10"/>
                <w:sz w:val="24"/>
              </w:rPr>
              <w:t>（6）工程完工后，及时清理施工现场，对施工迹地进行绿化，最大可能地</w:t>
            </w:r>
            <w:r>
              <w:rPr>
                <w:color w:val="auto"/>
                <w:spacing w:val="8"/>
                <w:sz w:val="24"/>
              </w:rPr>
              <w:t>恢</w:t>
            </w:r>
            <w:r>
              <w:rPr>
                <w:color w:val="auto"/>
                <w:spacing w:val="9"/>
                <w:sz w:val="24"/>
              </w:rPr>
              <w:t>复</w:t>
            </w:r>
            <w:r>
              <w:rPr>
                <w:color w:val="auto"/>
                <w:spacing w:val="7"/>
                <w:sz w:val="24"/>
              </w:rPr>
              <w:t>已被破坏的植被，植树造林的树种应尽量选择当地原生植物种类，在选用外来</w:t>
            </w:r>
            <w:r>
              <w:rPr>
                <w:color w:val="auto"/>
                <w:spacing w:val="9"/>
                <w:sz w:val="24"/>
              </w:rPr>
              <w:t>物</w:t>
            </w:r>
            <w:r>
              <w:rPr>
                <w:color w:val="auto"/>
                <w:spacing w:val="7"/>
                <w:sz w:val="24"/>
              </w:rPr>
              <w:t>种类时一定要慎重，要进行充分论证，避免外来物种的入侵对当地生态环境产</w:t>
            </w:r>
            <w:r>
              <w:rPr>
                <w:color w:val="auto"/>
                <w:spacing w:val="10"/>
                <w:sz w:val="24"/>
              </w:rPr>
              <w:t>生</w:t>
            </w:r>
            <w:r>
              <w:rPr>
                <w:color w:val="auto"/>
                <w:spacing w:val="6"/>
                <w:sz w:val="24"/>
              </w:rPr>
              <w:t>大的冲击。</w:t>
            </w:r>
          </w:p>
          <w:p w14:paraId="71781E9E">
            <w:pPr>
              <w:spacing w:line="360" w:lineRule="auto"/>
              <w:ind w:firstLine="572" w:firstLineChars="200"/>
              <w:rPr>
                <w:color w:val="auto"/>
                <w:sz w:val="24"/>
              </w:rPr>
            </w:pPr>
            <w:r>
              <w:rPr>
                <w:color w:val="auto"/>
                <w:spacing w:val="23"/>
                <w:sz w:val="24"/>
              </w:rPr>
              <w:t>2、</w:t>
            </w:r>
            <w:r>
              <w:rPr>
                <w:color w:val="auto"/>
                <w:spacing w:val="16"/>
                <w:sz w:val="24"/>
              </w:rPr>
              <w:t>水生生态保护措施</w:t>
            </w:r>
          </w:p>
          <w:p w14:paraId="283B7FAC">
            <w:pPr>
              <w:spacing w:line="360" w:lineRule="auto"/>
              <w:ind w:firstLine="548" w:firstLineChars="200"/>
              <w:rPr>
                <w:color w:val="auto"/>
                <w:spacing w:val="9"/>
                <w:sz w:val="24"/>
              </w:rPr>
            </w:pPr>
            <w:r>
              <w:rPr>
                <w:color w:val="auto"/>
                <w:spacing w:val="17"/>
                <w:sz w:val="24"/>
              </w:rPr>
              <w:t>施</w:t>
            </w:r>
            <w:r>
              <w:rPr>
                <w:color w:val="auto"/>
                <w:spacing w:val="9"/>
                <w:sz w:val="24"/>
              </w:rPr>
              <w:t>工期间应加强对治理河道水生态保护措施，具体措施如下：</w:t>
            </w:r>
          </w:p>
          <w:p w14:paraId="0D9DAF19">
            <w:pPr>
              <w:spacing w:line="360" w:lineRule="auto"/>
              <w:ind w:firstLine="516" w:firstLineChars="200"/>
              <w:rPr>
                <w:color w:val="auto"/>
                <w:sz w:val="24"/>
              </w:rPr>
            </w:pPr>
            <w:r>
              <w:rPr>
                <w:color w:val="auto"/>
                <w:spacing w:val="9"/>
                <w:sz w:val="24"/>
              </w:rPr>
              <w:t>（1）施工期间，对施工人员和管理人员普及和讲解水生态环境保护的相关知</w:t>
            </w:r>
            <w:r>
              <w:rPr>
                <w:color w:val="auto"/>
                <w:spacing w:val="18"/>
                <w:sz w:val="24"/>
              </w:rPr>
              <w:t>识</w:t>
            </w:r>
            <w:r>
              <w:rPr>
                <w:color w:val="auto"/>
                <w:spacing w:val="10"/>
                <w:sz w:val="24"/>
              </w:rPr>
              <w:t>，</w:t>
            </w:r>
            <w:r>
              <w:rPr>
                <w:color w:val="auto"/>
                <w:spacing w:val="9"/>
                <w:sz w:val="24"/>
              </w:rPr>
              <w:t>加强水生生物的保护和宣传工作，禁止施工人员在水体中进行垂钓；</w:t>
            </w:r>
          </w:p>
          <w:p w14:paraId="7552FBBD">
            <w:pPr>
              <w:spacing w:line="360" w:lineRule="auto"/>
              <w:ind w:firstLine="475"/>
              <w:rPr>
                <w:color w:val="auto"/>
                <w:sz w:val="24"/>
              </w:rPr>
            </w:pPr>
            <w:r>
              <w:rPr>
                <w:color w:val="auto"/>
                <w:spacing w:val="13"/>
                <w:sz w:val="24"/>
              </w:rPr>
              <w:t>（2）</w:t>
            </w:r>
            <w:r>
              <w:rPr>
                <w:color w:val="auto"/>
                <w:spacing w:val="10"/>
                <w:sz w:val="24"/>
              </w:rPr>
              <w:t>施工中尽量减少生产废水、生活污水的排放，进入水体的污水须达标排</w:t>
            </w:r>
            <w:r>
              <w:rPr>
                <w:color w:val="auto"/>
                <w:sz w:val="24"/>
              </w:rPr>
              <w:t>放；</w:t>
            </w:r>
          </w:p>
          <w:p w14:paraId="0B908191">
            <w:pPr>
              <w:spacing w:line="360" w:lineRule="auto"/>
              <w:ind w:firstLine="520" w:firstLineChars="200"/>
              <w:rPr>
                <w:color w:val="auto"/>
                <w:sz w:val="24"/>
              </w:rPr>
            </w:pPr>
            <w:r>
              <w:rPr>
                <w:color w:val="auto"/>
                <w:spacing w:val="10"/>
                <w:sz w:val="24"/>
              </w:rPr>
              <w:t>（3）为减轻工程对生态环境的影响，必要采取一定的生态补偿措施，在水</w:t>
            </w:r>
            <w:r>
              <w:rPr>
                <w:color w:val="auto"/>
                <w:spacing w:val="9"/>
                <w:sz w:val="24"/>
              </w:rPr>
              <w:t>域施</w:t>
            </w:r>
            <w:r>
              <w:rPr>
                <w:color w:val="auto"/>
                <w:spacing w:val="7"/>
                <w:sz w:val="24"/>
              </w:rPr>
              <w:t>工区移植优质沉水植物和移植投放螺类等底栖动物，是修复施工区域水体生态</w:t>
            </w:r>
            <w:r>
              <w:rPr>
                <w:color w:val="auto"/>
                <w:spacing w:val="16"/>
                <w:sz w:val="24"/>
              </w:rPr>
              <w:t>环</w:t>
            </w:r>
            <w:r>
              <w:rPr>
                <w:color w:val="auto"/>
                <w:spacing w:val="8"/>
                <w:sz w:val="24"/>
              </w:rPr>
              <w:t>境行之有效的生态补偿措施；</w:t>
            </w:r>
          </w:p>
          <w:p w14:paraId="41C74D8D">
            <w:pPr>
              <w:widowControl/>
              <w:spacing w:line="360" w:lineRule="auto"/>
              <w:ind w:firstLine="540" w:firstLineChars="200"/>
              <w:rPr>
                <w:color w:val="auto"/>
                <w:spacing w:val="8"/>
                <w:sz w:val="24"/>
              </w:rPr>
            </w:pPr>
            <w:r>
              <w:rPr>
                <w:color w:val="auto"/>
                <w:spacing w:val="15"/>
                <w:sz w:val="24"/>
              </w:rPr>
              <w:t>（4）</w:t>
            </w:r>
            <w:r>
              <w:rPr>
                <w:color w:val="auto"/>
                <w:spacing w:val="10"/>
                <w:sz w:val="24"/>
              </w:rPr>
              <w:t>施工结束后，及时清理施工现场，做好河道沿岸的水土保持工作，最大</w:t>
            </w:r>
            <w:r>
              <w:rPr>
                <w:color w:val="auto"/>
                <w:spacing w:val="16"/>
                <w:sz w:val="24"/>
              </w:rPr>
              <w:t>程</w:t>
            </w:r>
            <w:r>
              <w:rPr>
                <w:color w:val="auto"/>
                <w:spacing w:val="11"/>
                <w:sz w:val="24"/>
              </w:rPr>
              <w:t>度</w:t>
            </w:r>
            <w:r>
              <w:rPr>
                <w:color w:val="auto"/>
                <w:spacing w:val="8"/>
                <w:sz w:val="24"/>
              </w:rPr>
              <w:t>地恢复水生生物原有的生境。</w:t>
            </w:r>
          </w:p>
          <w:p w14:paraId="15F6E4B4">
            <w:pPr>
              <w:widowControl/>
              <w:spacing w:line="360" w:lineRule="auto"/>
              <w:ind w:firstLine="480" w:firstLineChars="200"/>
              <w:rPr>
                <w:color w:val="auto"/>
                <w:kern w:val="0"/>
                <w:sz w:val="24"/>
                <w:lang w:bidi="ar"/>
              </w:rPr>
            </w:pPr>
            <w:r>
              <w:rPr>
                <w:color w:val="auto"/>
                <w:kern w:val="0"/>
                <w:sz w:val="24"/>
                <w:lang w:bidi="ar"/>
              </w:rPr>
              <w:t>3、水土流失保护措施</w:t>
            </w:r>
          </w:p>
          <w:p w14:paraId="3BB095FF">
            <w:pPr>
              <w:widowControl/>
              <w:spacing w:line="360" w:lineRule="auto"/>
              <w:ind w:firstLine="528" w:firstLineChars="200"/>
              <w:rPr>
                <w:color w:val="auto"/>
                <w:spacing w:val="9"/>
                <w:sz w:val="24"/>
              </w:rPr>
            </w:pPr>
            <w:r>
              <w:rPr>
                <w:color w:val="auto"/>
                <w:spacing w:val="12"/>
                <w:sz w:val="24"/>
              </w:rPr>
              <w:t>（1）需合理布置施工场地，做到分期和分区挖填，减少施工占地，土方须及时回填，</w:t>
            </w:r>
            <w:r>
              <w:rPr>
                <w:color w:val="auto"/>
                <w:spacing w:val="10"/>
                <w:sz w:val="24"/>
              </w:rPr>
              <w:t>不</w:t>
            </w:r>
            <w:r>
              <w:rPr>
                <w:color w:val="auto"/>
                <w:spacing w:val="18"/>
                <w:sz w:val="24"/>
              </w:rPr>
              <w:t>得</w:t>
            </w:r>
            <w:r>
              <w:rPr>
                <w:color w:val="auto"/>
                <w:spacing w:val="11"/>
                <w:sz w:val="24"/>
              </w:rPr>
              <w:t>在</w:t>
            </w:r>
            <w:r>
              <w:rPr>
                <w:color w:val="auto"/>
                <w:spacing w:val="9"/>
                <w:sz w:val="24"/>
              </w:rPr>
              <w:t>场内长期堆存，使工程施工引起的难以避免的水土流失减至最低程度</w:t>
            </w:r>
          </w:p>
          <w:p w14:paraId="007731DB">
            <w:pPr>
              <w:widowControl/>
              <w:spacing w:line="360" w:lineRule="auto"/>
              <w:ind w:firstLine="528" w:firstLineChars="200"/>
              <w:rPr>
                <w:color w:val="auto"/>
                <w:spacing w:val="-4"/>
                <w:sz w:val="24"/>
              </w:rPr>
            </w:pPr>
            <w:r>
              <w:rPr>
                <w:color w:val="auto"/>
                <w:spacing w:val="12"/>
                <w:sz w:val="24"/>
              </w:rPr>
              <w:t>（2）为防止土</w:t>
            </w:r>
            <w:r>
              <w:rPr>
                <w:color w:val="auto"/>
                <w:spacing w:val="8"/>
                <w:sz w:val="24"/>
              </w:rPr>
              <w:t>方</w:t>
            </w:r>
            <w:r>
              <w:rPr>
                <w:color w:val="auto"/>
                <w:spacing w:val="6"/>
                <w:sz w:val="24"/>
              </w:rPr>
              <w:t>的临时堆存造成水土流失，设计采用防尘网进行遮盖，边角用重</w:t>
            </w:r>
            <w:r>
              <w:rPr>
                <w:color w:val="auto"/>
                <w:spacing w:val="-4"/>
                <w:sz w:val="24"/>
              </w:rPr>
              <w:t>物压实。</w:t>
            </w:r>
          </w:p>
          <w:p w14:paraId="77C04658">
            <w:pPr>
              <w:widowControl/>
              <w:spacing w:line="360" w:lineRule="auto"/>
              <w:ind w:firstLine="464" w:firstLineChars="200"/>
              <w:rPr>
                <w:color w:val="auto"/>
                <w:sz w:val="24"/>
              </w:rPr>
            </w:pPr>
            <w:r>
              <w:rPr>
                <w:color w:val="auto"/>
                <w:spacing w:val="-4"/>
                <w:sz w:val="24"/>
              </w:rPr>
              <w:t>（3）</w:t>
            </w:r>
            <w:r>
              <w:rPr>
                <w:color w:val="auto"/>
                <w:spacing w:val="7"/>
                <w:sz w:val="24"/>
              </w:rPr>
              <w:t>对于不能及时平整的弃土以及剥离的表土，设计采用防尘网进行遮盖、四</w:t>
            </w:r>
            <w:r>
              <w:rPr>
                <w:color w:val="auto"/>
                <w:spacing w:val="3"/>
                <w:sz w:val="24"/>
              </w:rPr>
              <w:t>周</w:t>
            </w:r>
            <w:r>
              <w:rPr>
                <w:color w:val="auto"/>
                <w:spacing w:val="5"/>
                <w:sz w:val="24"/>
              </w:rPr>
              <w:t>采用挡土袋挡护</w:t>
            </w:r>
          </w:p>
          <w:p w14:paraId="2657891F">
            <w:pPr>
              <w:widowControl/>
              <w:spacing w:line="360" w:lineRule="auto"/>
              <w:ind w:firstLine="482" w:firstLineChars="200"/>
              <w:rPr>
                <w:b/>
                <w:bCs/>
                <w:color w:val="auto"/>
                <w:sz w:val="24"/>
              </w:rPr>
            </w:pPr>
            <w:r>
              <w:rPr>
                <w:b/>
                <w:bCs/>
                <w:color w:val="auto"/>
                <w:kern w:val="0"/>
                <w:sz w:val="24"/>
                <w:lang w:bidi="ar"/>
              </w:rPr>
              <w:t>二、土壤质量保护措施</w:t>
            </w:r>
          </w:p>
          <w:p w14:paraId="07341F8A">
            <w:pPr>
              <w:widowControl/>
              <w:spacing w:line="360" w:lineRule="auto"/>
              <w:ind w:firstLine="480" w:firstLineChars="200"/>
              <w:rPr>
                <w:bCs/>
                <w:color w:val="auto"/>
                <w:spacing w:val="10"/>
                <w:szCs w:val="21"/>
              </w:rPr>
            </w:pPr>
            <w:r>
              <w:rPr>
                <w:color w:val="auto"/>
                <w:kern w:val="0"/>
                <w:sz w:val="24"/>
                <w:lang w:bidi="ar"/>
              </w:rPr>
              <w:t>对工程沿岸的基本农田采取保护措施，施工过程产生的生活废水、施工废水、固体废弃物等按要求处理，不得直接排入农田；对现场施工造成的裸露土地及时覆盖或种植速生草种，以减少土壤蚀；对沉淀池、隔油池和危废暂存间等按照相关要求进行防渗，做好防止堵塞、渗漏、溢出等防治工作，及时清掏各类池内沉淀物，及时清运；施工后应及时恢复施工活动破坏的植被，恢复剩余空地的地貌或科学绿化，补救施工活动中人为破坏植被和地貌造成的土壤侵蚀。</w:t>
            </w:r>
          </w:p>
        </w:tc>
      </w:tr>
      <w:tr w14:paraId="6F1839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382" w:type="pct"/>
            <w:tcMar>
              <w:left w:w="28" w:type="dxa"/>
              <w:right w:w="28" w:type="dxa"/>
            </w:tcMar>
            <w:vAlign w:val="center"/>
          </w:tcPr>
          <w:p w14:paraId="2F515CA5">
            <w:pPr>
              <w:adjustRightInd w:val="0"/>
              <w:snapToGrid w:val="0"/>
              <w:jc w:val="center"/>
              <w:rPr>
                <w:bCs/>
                <w:color w:val="auto"/>
                <w:spacing w:val="10"/>
                <w:szCs w:val="21"/>
              </w:rPr>
            </w:pPr>
            <w:r>
              <w:rPr>
                <w:bCs/>
                <w:color w:val="auto"/>
                <w:spacing w:val="10"/>
                <w:sz w:val="24"/>
              </w:rPr>
              <w:t>运营期生态环境保护措施</w:t>
            </w:r>
          </w:p>
        </w:tc>
        <w:tc>
          <w:tcPr>
            <w:tcW w:w="4617" w:type="pct"/>
          </w:tcPr>
          <w:p w14:paraId="5F5BFD3B">
            <w:pPr>
              <w:spacing w:line="360" w:lineRule="auto"/>
              <w:ind w:firstLine="480" w:firstLineChars="200"/>
              <w:rPr>
                <w:color w:val="auto"/>
                <w:sz w:val="24"/>
              </w:rPr>
            </w:pPr>
            <w:r>
              <w:rPr>
                <w:color w:val="auto"/>
                <w:sz w:val="24"/>
              </w:rPr>
              <w:t>1、地表水环境保护措施</w:t>
            </w:r>
          </w:p>
          <w:p w14:paraId="670EB1B9">
            <w:pPr>
              <w:spacing w:line="360" w:lineRule="auto"/>
              <w:ind w:firstLine="480" w:firstLineChars="200"/>
              <w:rPr>
                <w:color w:val="auto"/>
                <w:sz w:val="24"/>
              </w:rPr>
            </w:pPr>
            <w:r>
              <w:rPr>
                <w:color w:val="auto"/>
                <w:sz w:val="24"/>
              </w:rPr>
              <w:t>本项目运营期无废水产生。</w:t>
            </w:r>
          </w:p>
          <w:p w14:paraId="39C4F8A0">
            <w:pPr>
              <w:spacing w:line="360" w:lineRule="auto"/>
              <w:ind w:firstLine="480" w:firstLineChars="200"/>
              <w:rPr>
                <w:color w:val="auto"/>
                <w:sz w:val="24"/>
              </w:rPr>
            </w:pPr>
            <w:r>
              <w:rPr>
                <w:color w:val="auto"/>
                <w:sz w:val="24"/>
              </w:rPr>
              <w:t>2、大气环境保护措施</w:t>
            </w:r>
          </w:p>
          <w:p w14:paraId="5482D39D">
            <w:pPr>
              <w:spacing w:line="360" w:lineRule="auto"/>
              <w:ind w:firstLine="409"/>
              <w:rPr>
                <w:color w:val="auto"/>
                <w:sz w:val="24"/>
              </w:rPr>
            </w:pPr>
            <w:r>
              <w:rPr>
                <w:color w:val="auto"/>
                <w:sz w:val="24"/>
              </w:rPr>
              <w:t>本项目运营期无废气产生。</w:t>
            </w:r>
          </w:p>
          <w:p w14:paraId="39FCFE6F">
            <w:pPr>
              <w:spacing w:line="360" w:lineRule="auto"/>
              <w:ind w:firstLine="480" w:firstLineChars="200"/>
              <w:rPr>
                <w:color w:val="auto"/>
                <w:sz w:val="24"/>
              </w:rPr>
            </w:pPr>
            <w:r>
              <w:rPr>
                <w:color w:val="auto"/>
                <w:sz w:val="24"/>
              </w:rPr>
              <w:t>3、声环境保护措施</w:t>
            </w:r>
          </w:p>
          <w:p w14:paraId="39B9BE58">
            <w:pPr>
              <w:widowControl/>
              <w:spacing w:line="360" w:lineRule="auto"/>
              <w:ind w:firstLine="480" w:firstLineChars="200"/>
              <w:jc w:val="left"/>
              <w:rPr>
                <w:color w:val="auto"/>
                <w:sz w:val="24"/>
              </w:rPr>
            </w:pPr>
            <w:r>
              <w:rPr>
                <w:bCs/>
                <w:color w:val="auto"/>
                <w:sz w:val="24"/>
              </w:rPr>
              <w:t>本项目属于</w:t>
            </w:r>
            <w:r>
              <w:rPr>
                <w:rFonts w:hint="eastAsia"/>
                <w:bCs/>
                <w:color w:val="auto"/>
                <w:sz w:val="24"/>
              </w:rPr>
              <w:t>防洪排涝</w:t>
            </w:r>
            <w:r>
              <w:rPr>
                <w:bCs/>
                <w:color w:val="auto"/>
                <w:sz w:val="24"/>
              </w:rPr>
              <w:t>项目</w:t>
            </w:r>
            <w:r>
              <w:rPr>
                <w:rFonts w:hint="eastAsia"/>
                <w:color w:val="auto"/>
                <w:kern w:val="0"/>
                <w:sz w:val="24"/>
                <w:lang w:eastAsia="zh-CN" w:bidi="ar"/>
              </w:rPr>
              <w:t>及</w:t>
            </w:r>
            <w:r>
              <w:rPr>
                <w:rFonts w:hint="eastAsia"/>
                <w:color w:val="auto"/>
                <w:kern w:val="0"/>
                <w:sz w:val="24"/>
                <w:lang w:val="en-US" w:eastAsia="zh-CN" w:bidi="ar"/>
              </w:rPr>
              <w:t>城镇供排水工程</w:t>
            </w:r>
            <w:r>
              <w:rPr>
                <w:rFonts w:hint="eastAsia"/>
                <w:color w:val="auto"/>
                <w:kern w:val="0"/>
                <w:sz w:val="24"/>
                <w:lang w:eastAsia="zh-CN" w:bidi="ar"/>
              </w:rPr>
              <w:t>项目</w:t>
            </w:r>
            <w:r>
              <w:rPr>
                <w:bCs/>
                <w:color w:val="auto"/>
                <w:sz w:val="24"/>
              </w:rPr>
              <w:t>，运营期间无噪声产生。</w:t>
            </w:r>
          </w:p>
          <w:p w14:paraId="25C7FD87">
            <w:pPr>
              <w:spacing w:line="360" w:lineRule="auto"/>
              <w:ind w:firstLine="480" w:firstLineChars="200"/>
              <w:rPr>
                <w:color w:val="auto"/>
                <w:sz w:val="24"/>
              </w:rPr>
            </w:pPr>
            <w:r>
              <w:rPr>
                <w:color w:val="auto"/>
                <w:sz w:val="24"/>
              </w:rPr>
              <w:t>4、固废</w:t>
            </w:r>
          </w:p>
          <w:p w14:paraId="0455E96E">
            <w:pPr>
              <w:widowControl/>
              <w:spacing w:line="360" w:lineRule="auto"/>
              <w:ind w:firstLine="480" w:firstLineChars="200"/>
              <w:rPr>
                <w:color w:val="auto"/>
                <w:sz w:val="24"/>
              </w:rPr>
            </w:pPr>
            <w:r>
              <w:rPr>
                <w:color w:val="auto"/>
                <w:sz w:val="24"/>
              </w:rPr>
              <w:t>本项目运营期无固体废物产生。</w:t>
            </w:r>
          </w:p>
          <w:p w14:paraId="6EE8DC14">
            <w:pPr>
              <w:spacing w:line="360" w:lineRule="auto"/>
              <w:ind w:left="420" w:leftChars="200"/>
              <w:jc w:val="left"/>
              <w:rPr>
                <w:color w:val="auto"/>
                <w:sz w:val="24"/>
              </w:rPr>
            </w:pPr>
            <w:r>
              <w:rPr>
                <w:color w:val="auto"/>
                <w:sz w:val="24"/>
              </w:rPr>
              <w:t>5、运营期生态环境保护措施</w:t>
            </w:r>
          </w:p>
          <w:p w14:paraId="764FD12A">
            <w:pPr>
              <w:spacing w:line="360" w:lineRule="auto"/>
              <w:ind w:firstLine="481"/>
              <w:rPr>
                <w:color w:val="auto"/>
              </w:rPr>
            </w:pPr>
            <w:r>
              <w:rPr>
                <w:color w:val="auto"/>
                <w:spacing w:val="7"/>
                <w:sz w:val="24"/>
              </w:rPr>
              <w:t>本工程是一项河道治理工程</w:t>
            </w:r>
            <w:r>
              <w:rPr>
                <w:rFonts w:hint="eastAsia"/>
                <w:color w:val="auto"/>
                <w:kern w:val="0"/>
                <w:sz w:val="24"/>
                <w:lang w:eastAsia="zh-CN" w:bidi="ar"/>
              </w:rPr>
              <w:t>及</w:t>
            </w:r>
            <w:r>
              <w:rPr>
                <w:rFonts w:hint="eastAsia"/>
                <w:color w:val="auto"/>
                <w:kern w:val="0"/>
                <w:sz w:val="24"/>
                <w:lang w:val="en-US" w:eastAsia="zh-CN" w:bidi="ar"/>
              </w:rPr>
              <w:t>城镇供排水工程</w:t>
            </w:r>
            <w:r>
              <w:rPr>
                <w:rFonts w:hint="eastAsia"/>
                <w:color w:val="auto"/>
                <w:kern w:val="0"/>
                <w:sz w:val="24"/>
                <w:lang w:eastAsia="zh-CN" w:bidi="ar"/>
              </w:rPr>
              <w:t>项目</w:t>
            </w:r>
            <w:r>
              <w:rPr>
                <w:color w:val="auto"/>
                <w:spacing w:val="7"/>
                <w:sz w:val="24"/>
              </w:rPr>
              <w:t>，工程对环境的不利影响主要发生在施工期，</w:t>
            </w:r>
            <w:r>
              <w:rPr>
                <w:color w:val="auto"/>
                <w:spacing w:val="2"/>
                <w:sz w:val="24"/>
              </w:rPr>
              <w:t>并</w:t>
            </w:r>
            <w:r>
              <w:rPr>
                <w:color w:val="auto"/>
                <w:spacing w:val="9"/>
                <w:sz w:val="24"/>
              </w:rPr>
              <w:t>随</w:t>
            </w:r>
            <w:r>
              <w:rPr>
                <w:color w:val="auto"/>
                <w:spacing w:val="7"/>
                <w:sz w:val="24"/>
              </w:rPr>
              <w:t>着施工的结束而结束。工程运行期将提高项目区河道抵御洪涝灾害的能力，同时对</w:t>
            </w:r>
            <w:r>
              <w:rPr>
                <w:color w:val="auto"/>
                <w:spacing w:val="13"/>
                <w:sz w:val="24"/>
              </w:rPr>
              <w:t>河</w:t>
            </w:r>
            <w:r>
              <w:rPr>
                <w:color w:val="auto"/>
                <w:spacing w:val="9"/>
                <w:sz w:val="24"/>
              </w:rPr>
              <w:t>道的水文情势影响较小，对环境主要为有利影响。</w:t>
            </w:r>
          </w:p>
        </w:tc>
      </w:tr>
      <w:tr w14:paraId="442AAE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9" w:hRule="atLeast"/>
          <w:jc w:val="center"/>
        </w:trPr>
        <w:tc>
          <w:tcPr>
            <w:tcW w:w="382" w:type="pct"/>
            <w:vAlign w:val="center"/>
          </w:tcPr>
          <w:p w14:paraId="0F68D68C">
            <w:pPr>
              <w:adjustRightInd w:val="0"/>
              <w:snapToGrid w:val="0"/>
              <w:jc w:val="center"/>
              <w:rPr>
                <w:bCs/>
                <w:color w:val="auto"/>
                <w:spacing w:val="10"/>
                <w:szCs w:val="21"/>
              </w:rPr>
            </w:pPr>
            <w:r>
              <w:rPr>
                <w:bCs/>
                <w:color w:val="auto"/>
                <w:sz w:val="24"/>
              </w:rPr>
              <w:t>其他</w:t>
            </w:r>
          </w:p>
        </w:tc>
        <w:tc>
          <w:tcPr>
            <w:tcW w:w="4617" w:type="pct"/>
          </w:tcPr>
          <w:p w14:paraId="43FB7DB8">
            <w:pPr>
              <w:spacing w:before="120" w:beforeLines="50" w:line="360" w:lineRule="auto"/>
              <w:ind w:firstLine="482" w:firstLineChars="200"/>
              <w:rPr>
                <w:b/>
                <w:bCs/>
                <w:color w:val="auto"/>
                <w:sz w:val="24"/>
              </w:rPr>
            </w:pPr>
            <w:r>
              <w:rPr>
                <w:b/>
                <w:bCs/>
                <w:color w:val="auto"/>
                <w:sz w:val="24"/>
              </w:rPr>
              <w:t>一、环境管理与检测</w:t>
            </w:r>
          </w:p>
          <w:p w14:paraId="2212D2EA">
            <w:pPr>
              <w:widowControl/>
              <w:spacing w:line="360" w:lineRule="auto"/>
              <w:ind w:firstLine="482" w:firstLineChars="200"/>
              <w:rPr>
                <w:b/>
                <w:bCs/>
                <w:color w:val="auto"/>
                <w:sz w:val="24"/>
              </w:rPr>
            </w:pPr>
            <w:r>
              <w:rPr>
                <w:b/>
                <w:bCs/>
                <w:color w:val="auto"/>
                <w:kern w:val="0"/>
                <w:sz w:val="24"/>
                <w:lang w:bidi="ar"/>
              </w:rPr>
              <w:t>（一）环境管理</w:t>
            </w:r>
          </w:p>
          <w:p w14:paraId="47321108">
            <w:pPr>
              <w:widowControl/>
              <w:spacing w:line="360" w:lineRule="auto"/>
              <w:ind w:firstLine="480" w:firstLineChars="200"/>
              <w:rPr>
                <w:color w:val="auto"/>
                <w:sz w:val="24"/>
              </w:rPr>
            </w:pPr>
            <w:r>
              <w:rPr>
                <w:color w:val="auto"/>
                <w:kern w:val="0"/>
                <w:sz w:val="24"/>
                <w:lang w:bidi="ar"/>
              </w:rPr>
              <w:t>1、管理机构</w:t>
            </w:r>
          </w:p>
          <w:p w14:paraId="66C43852">
            <w:pPr>
              <w:widowControl/>
              <w:spacing w:line="360" w:lineRule="auto"/>
              <w:ind w:firstLine="480" w:firstLineChars="200"/>
              <w:rPr>
                <w:color w:val="auto"/>
                <w:sz w:val="24"/>
              </w:rPr>
            </w:pPr>
            <w:r>
              <w:rPr>
                <w:color w:val="auto"/>
                <w:kern w:val="0"/>
                <w:sz w:val="24"/>
                <w:lang w:bidi="ar"/>
              </w:rPr>
              <w:t>根据《建设项目环境保护设计规定》有关规定，结合工程建设特点，本工程不设置专门的环境管理机构，但至少需配备5名环境保护专业人员。施工期的环境管理任务由建设方和施工方共同负责，运行期的环境管理任务由建设方负责。</w:t>
            </w:r>
          </w:p>
          <w:p w14:paraId="10B18885">
            <w:pPr>
              <w:widowControl/>
              <w:spacing w:line="360" w:lineRule="auto"/>
              <w:ind w:firstLine="480" w:firstLineChars="200"/>
              <w:rPr>
                <w:color w:val="auto"/>
                <w:sz w:val="24"/>
              </w:rPr>
            </w:pPr>
            <w:r>
              <w:rPr>
                <w:color w:val="auto"/>
                <w:kern w:val="0"/>
                <w:sz w:val="24"/>
                <w:lang w:bidi="ar"/>
              </w:rPr>
              <w:t>2、管理任务</w:t>
            </w:r>
          </w:p>
          <w:p w14:paraId="05CF0AEC">
            <w:pPr>
              <w:widowControl/>
              <w:spacing w:line="360" w:lineRule="auto"/>
              <w:ind w:firstLine="480" w:firstLineChars="200"/>
              <w:rPr>
                <w:color w:val="auto"/>
                <w:sz w:val="24"/>
              </w:rPr>
            </w:pPr>
            <w:r>
              <w:rPr>
                <w:color w:val="auto"/>
                <w:kern w:val="0"/>
                <w:sz w:val="24"/>
                <w:lang w:bidi="ar"/>
              </w:rPr>
              <w:t>（1）施工期</w:t>
            </w:r>
          </w:p>
          <w:p w14:paraId="72E2A07A">
            <w:pPr>
              <w:widowControl/>
              <w:spacing w:line="360" w:lineRule="auto"/>
              <w:ind w:firstLine="480" w:firstLineChars="200"/>
              <w:rPr>
                <w:color w:val="auto"/>
                <w:sz w:val="24"/>
              </w:rPr>
            </w:pPr>
            <w:r>
              <w:rPr>
                <w:color w:val="auto"/>
                <w:kern w:val="0"/>
                <w:sz w:val="24"/>
                <w:lang w:bidi="ar"/>
              </w:rPr>
              <w:t>①贯彻执行环境保护法规和标准；</w:t>
            </w:r>
          </w:p>
          <w:p w14:paraId="7B33509E">
            <w:pPr>
              <w:widowControl/>
              <w:spacing w:line="360" w:lineRule="auto"/>
              <w:ind w:firstLine="480" w:firstLineChars="200"/>
              <w:rPr>
                <w:color w:val="auto"/>
                <w:sz w:val="24"/>
              </w:rPr>
            </w:pPr>
            <w:r>
              <w:rPr>
                <w:color w:val="auto"/>
                <w:kern w:val="0"/>
                <w:sz w:val="24"/>
                <w:lang w:bidi="ar"/>
              </w:rPr>
              <w:t>②组织制定和修改环境保护管理规章制度并监督执行；</w:t>
            </w:r>
          </w:p>
          <w:p w14:paraId="7AA8B79A">
            <w:pPr>
              <w:widowControl/>
              <w:spacing w:line="360" w:lineRule="auto"/>
              <w:ind w:firstLine="480" w:firstLineChars="200"/>
              <w:rPr>
                <w:color w:val="auto"/>
                <w:sz w:val="24"/>
              </w:rPr>
            </w:pPr>
            <w:r>
              <w:rPr>
                <w:color w:val="auto"/>
                <w:kern w:val="0"/>
                <w:sz w:val="24"/>
                <w:lang w:bidi="ar"/>
              </w:rPr>
              <w:t>③制定并组织实施环境保护规划和计划；</w:t>
            </w:r>
          </w:p>
          <w:p w14:paraId="3598990A">
            <w:pPr>
              <w:widowControl/>
              <w:spacing w:line="360" w:lineRule="auto"/>
              <w:ind w:firstLine="480" w:firstLineChars="200"/>
              <w:rPr>
                <w:color w:val="auto"/>
                <w:sz w:val="24"/>
              </w:rPr>
            </w:pPr>
            <w:r>
              <w:rPr>
                <w:color w:val="auto"/>
                <w:kern w:val="0"/>
                <w:sz w:val="24"/>
                <w:lang w:bidi="ar"/>
              </w:rPr>
              <w:t>④组织施工期环境监理与监测，定期编制施工区环境质量报告，报上级主管部门；</w:t>
            </w:r>
          </w:p>
          <w:p w14:paraId="3A33E57B">
            <w:pPr>
              <w:widowControl/>
              <w:spacing w:line="360" w:lineRule="auto"/>
              <w:ind w:firstLine="480" w:firstLineChars="200"/>
              <w:rPr>
                <w:color w:val="auto"/>
                <w:sz w:val="24"/>
              </w:rPr>
            </w:pPr>
            <w:r>
              <w:rPr>
                <w:color w:val="auto"/>
                <w:kern w:val="0"/>
                <w:sz w:val="24"/>
                <w:lang w:bidi="ar"/>
              </w:rPr>
              <w:t>⑤做好施工期生态破坏和污染事故的预防工作，对突发性事故要有应急处理措施。</w:t>
            </w:r>
          </w:p>
          <w:p w14:paraId="73F77925">
            <w:pPr>
              <w:widowControl/>
              <w:spacing w:line="360" w:lineRule="auto"/>
              <w:ind w:firstLine="480" w:firstLineChars="200"/>
              <w:rPr>
                <w:color w:val="auto"/>
                <w:sz w:val="24"/>
              </w:rPr>
            </w:pPr>
            <w:r>
              <w:rPr>
                <w:color w:val="auto"/>
                <w:kern w:val="0"/>
                <w:sz w:val="24"/>
                <w:lang w:bidi="ar"/>
              </w:rPr>
              <w:t>（2）运行期</w:t>
            </w:r>
          </w:p>
          <w:p w14:paraId="77EF7BFF">
            <w:pPr>
              <w:widowControl/>
              <w:spacing w:line="360" w:lineRule="auto"/>
              <w:ind w:firstLine="480" w:firstLineChars="200"/>
              <w:rPr>
                <w:color w:val="auto"/>
                <w:sz w:val="24"/>
              </w:rPr>
            </w:pPr>
            <w:r>
              <w:rPr>
                <w:color w:val="auto"/>
                <w:kern w:val="0"/>
                <w:sz w:val="24"/>
                <w:lang w:bidi="ar"/>
              </w:rPr>
              <w:t>①检查环境保护设施的运行；</w:t>
            </w:r>
          </w:p>
          <w:p w14:paraId="3974D3B5">
            <w:pPr>
              <w:widowControl/>
              <w:spacing w:line="360" w:lineRule="auto"/>
              <w:ind w:firstLine="480" w:firstLineChars="200"/>
              <w:rPr>
                <w:color w:val="auto"/>
                <w:sz w:val="24"/>
              </w:rPr>
            </w:pPr>
            <w:r>
              <w:rPr>
                <w:color w:val="auto"/>
                <w:kern w:val="0"/>
                <w:sz w:val="24"/>
                <w:lang w:bidi="ar"/>
              </w:rPr>
              <w:t>②做好项目区沿线环境卫生管理和水质保护工作；</w:t>
            </w:r>
          </w:p>
          <w:p w14:paraId="51EA9A26">
            <w:pPr>
              <w:widowControl/>
              <w:spacing w:line="360" w:lineRule="auto"/>
              <w:ind w:firstLine="480" w:firstLineChars="200"/>
              <w:rPr>
                <w:color w:val="auto"/>
                <w:sz w:val="24"/>
              </w:rPr>
            </w:pPr>
            <w:r>
              <w:rPr>
                <w:color w:val="auto"/>
                <w:kern w:val="0"/>
                <w:sz w:val="24"/>
                <w:lang w:bidi="ar"/>
              </w:rPr>
              <w:t>③组织实施工程区内的生物、水质、水文、泥沙等监测工作；</w:t>
            </w:r>
          </w:p>
          <w:p w14:paraId="30288404">
            <w:pPr>
              <w:widowControl/>
              <w:spacing w:line="360" w:lineRule="auto"/>
              <w:ind w:firstLine="480" w:firstLineChars="200"/>
              <w:rPr>
                <w:color w:val="auto"/>
                <w:sz w:val="24"/>
              </w:rPr>
            </w:pPr>
            <w:r>
              <w:rPr>
                <w:color w:val="auto"/>
                <w:kern w:val="0"/>
                <w:sz w:val="24"/>
                <w:lang w:bidi="ar"/>
              </w:rPr>
              <w:t>④组织环保教育，搞好环境宣传，提高工程周边群众的环保意识。</w:t>
            </w:r>
          </w:p>
          <w:p w14:paraId="1D5D499F">
            <w:pPr>
              <w:widowControl/>
              <w:spacing w:line="360" w:lineRule="auto"/>
              <w:ind w:firstLine="480" w:firstLineChars="200"/>
              <w:rPr>
                <w:color w:val="auto"/>
                <w:sz w:val="24"/>
              </w:rPr>
            </w:pPr>
            <w:r>
              <w:rPr>
                <w:color w:val="auto"/>
                <w:kern w:val="0"/>
                <w:sz w:val="24"/>
                <w:lang w:bidi="ar"/>
              </w:rPr>
              <w:t>⑤建成后需要管理部门加强对排水管网的维护管理，保证排水管网正常运行。</w:t>
            </w:r>
          </w:p>
          <w:p w14:paraId="1EDE2D22">
            <w:pPr>
              <w:widowControl/>
              <w:spacing w:line="360" w:lineRule="auto"/>
              <w:ind w:firstLine="482" w:firstLineChars="200"/>
              <w:rPr>
                <w:b/>
                <w:bCs/>
                <w:color w:val="auto"/>
                <w:sz w:val="24"/>
              </w:rPr>
            </w:pPr>
            <w:r>
              <w:rPr>
                <w:b/>
                <w:bCs/>
                <w:color w:val="auto"/>
                <w:kern w:val="0"/>
                <w:sz w:val="24"/>
                <w:lang w:bidi="ar"/>
              </w:rPr>
              <w:t>（二）环境监测</w:t>
            </w:r>
          </w:p>
          <w:p w14:paraId="4C76390F">
            <w:pPr>
              <w:widowControl/>
              <w:spacing w:line="360" w:lineRule="auto"/>
              <w:ind w:firstLine="480" w:firstLineChars="200"/>
              <w:rPr>
                <w:color w:val="auto"/>
                <w:sz w:val="24"/>
              </w:rPr>
            </w:pPr>
            <w:r>
              <w:rPr>
                <w:color w:val="auto"/>
                <w:kern w:val="0"/>
                <w:sz w:val="24"/>
                <w:lang w:bidi="ar"/>
              </w:rPr>
              <w:t>1、水环境监测</w:t>
            </w:r>
          </w:p>
          <w:p w14:paraId="592C4936">
            <w:pPr>
              <w:widowControl/>
              <w:spacing w:before="120" w:beforeLines="50" w:line="360" w:lineRule="auto"/>
              <w:ind w:firstLine="480" w:firstLineChars="200"/>
              <w:rPr>
                <w:color w:val="auto"/>
                <w:kern w:val="0"/>
                <w:sz w:val="24"/>
                <w:lang w:bidi="ar"/>
              </w:rPr>
            </w:pPr>
            <w:r>
              <w:rPr>
                <w:color w:val="auto"/>
                <w:kern w:val="0"/>
                <w:sz w:val="24"/>
                <w:lang w:bidi="ar"/>
              </w:rPr>
              <w:t>（</w:t>
            </w:r>
            <w:r>
              <w:rPr>
                <w:rFonts w:hint="eastAsia"/>
                <w:color w:val="auto"/>
                <w:kern w:val="0"/>
                <w:sz w:val="24"/>
                <w:lang w:val="en-US" w:eastAsia="zh-CN" w:bidi="ar"/>
              </w:rPr>
              <w:t>1</w:t>
            </w:r>
            <w:r>
              <w:rPr>
                <w:color w:val="auto"/>
                <w:kern w:val="0"/>
                <w:sz w:val="24"/>
                <w:lang w:bidi="ar"/>
              </w:rPr>
              <w:t>）地表水监测</w:t>
            </w:r>
          </w:p>
          <w:p w14:paraId="13017470">
            <w:pPr>
              <w:widowControl/>
              <w:jc w:val="center"/>
              <w:rPr>
                <w:color w:val="auto"/>
                <w:szCs w:val="21"/>
              </w:rPr>
            </w:pPr>
            <w:r>
              <w:rPr>
                <w:b/>
                <w:bCs/>
                <w:color w:val="auto"/>
                <w:kern w:val="0"/>
                <w:szCs w:val="21"/>
                <w:lang w:bidi="ar"/>
              </w:rPr>
              <w:t>表5-3  施工期地表水监测计划表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660"/>
              <w:gridCol w:w="5760"/>
            </w:tblGrid>
            <w:tr w14:paraId="095860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39DC9BAB">
                  <w:pPr>
                    <w:pStyle w:val="19"/>
                    <w:spacing w:after="0"/>
                    <w:ind w:left="0" w:leftChars="0" w:firstLine="0" w:firstLineChars="0"/>
                    <w:jc w:val="center"/>
                    <w:rPr>
                      <w:color w:val="auto"/>
                      <w:sz w:val="21"/>
                      <w:szCs w:val="21"/>
                      <w:lang w:bidi="ar"/>
                    </w:rPr>
                  </w:pPr>
                  <w:r>
                    <w:rPr>
                      <w:color w:val="auto"/>
                      <w:sz w:val="21"/>
                      <w:szCs w:val="21"/>
                      <w:lang w:bidi="ar"/>
                    </w:rPr>
                    <w:t>序号</w:t>
                  </w:r>
                </w:p>
              </w:tc>
              <w:tc>
                <w:tcPr>
                  <w:tcW w:w="973" w:type="pct"/>
                  <w:vAlign w:val="center"/>
                </w:tcPr>
                <w:p w14:paraId="5F4CC4B0">
                  <w:pPr>
                    <w:pStyle w:val="19"/>
                    <w:spacing w:after="0"/>
                    <w:ind w:left="0" w:leftChars="0" w:firstLine="0" w:firstLineChars="0"/>
                    <w:jc w:val="center"/>
                    <w:rPr>
                      <w:color w:val="auto"/>
                      <w:sz w:val="21"/>
                      <w:szCs w:val="21"/>
                      <w:lang w:bidi="ar"/>
                    </w:rPr>
                  </w:pPr>
                  <w:r>
                    <w:rPr>
                      <w:color w:val="auto"/>
                      <w:sz w:val="21"/>
                      <w:szCs w:val="21"/>
                      <w:lang w:bidi="ar"/>
                    </w:rPr>
                    <w:t>项目</w:t>
                  </w:r>
                </w:p>
              </w:tc>
              <w:tc>
                <w:tcPr>
                  <w:tcW w:w="3377" w:type="pct"/>
                  <w:vAlign w:val="center"/>
                </w:tcPr>
                <w:p w14:paraId="1F227E6A">
                  <w:pPr>
                    <w:pStyle w:val="19"/>
                    <w:spacing w:after="0"/>
                    <w:ind w:left="0" w:leftChars="0" w:firstLine="0" w:firstLineChars="0"/>
                    <w:jc w:val="center"/>
                    <w:rPr>
                      <w:color w:val="auto"/>
                      <w:sz w:val="21"/>
                      <w:szCs w:val="21"/>
                      <w:lang w:bidi="ar"/>
                    </w:rPr>
                  </w:pPr>
                  <w:r>
                    <w:rPr>
                      <w:color w:val="auto"/>
                      <w:sz w:val="21"/>
                      <w:szCs w:val="21"/>
                      <w:lang w:bidi="ar"/>
                    </w:rPr>
                    <w:t>内容</w:t>
                  </w:r>
                </w:p>
              </w:tc>
            </w:tr>
            <w:tr w14:paraId="65C9B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1E717CD9">
                  <w:pPr>
                    <w:pStyle w:val="19"/>
                    <w:spacing w:after="0"/>
                    <w:ind w:left="0" w:leftChars="0" w:firstLine="0" w:firstLineChars="0"/>
                    <w:jc w:val="center"/>
                    <w:rPr>
                      <w:color w:val="auto"/>
                      <w:sz w:val="21"/>
                      <w:szCs w:val="21"/>
                      <w:lang w:bidi="ar"/>
                    </w:rPr>
                  </w:pPr>
                  <w:r>
                    <w:rPr>
                      <w:color w:val="auto"/>
                      <w:sz w:val="21"/>
                      <w:szCs w:val="21"/>
                      <w:lang w:bidi="ar"/>
                    </w:rPr>
                    <w:t>1</w:t>
                  </w:r>
                </w:p>
              </w:tc>
              <w:tc>
                <w:tcPr>
                  <w:tcW w:w="973" w:type="pct"/>
                  <w:vAlign w:val="center"/>
                </w:tcPr>
                <w:p w14:paraId="02CF6581">
                  <w:pPr>
                    <w:pStyle w:val="19"/>
                    <w:spacing w:after="0"/>
                    <w:ind w:left="0" w:leftChars="0" w:firstLine="0" w:firstLineChars="0"/>
                    <w:jc w:val="center"/>
                    <w:rPr>
                      <w:color w:val="auto"/>
                      <w:sz w:val="21"/>
                      <w:szCs w:val="21"/>
                      <w:lang w:bidi="ar"/>
                    </w:rPr>
                  </w:pPr>
                  <w:r>
                    <w:rPr>
                      <w:color w:val="auto"/>
                      <w:sz w:val="21"/>
                      <w:szCs w:val="21"/>
                      <w:lang w:bidi="ar"/>
                    </w:rPr>
                    <w:t>监测点布设</w:t>
                  </w:r>
                </w:p>
              </w:tc>
              <w:tc>
                <w:tcPr>
                  <w:tcW w:w="3377" w:type="pct"/>
                  <w:vAlign w:val="center"/>
                </w:tcPr>
                <w:p w14:paraId="6975C314">
                  <w:pPr>
                    <w:pStyle w:val="19"/>
                    <w:spacing w:after="0"/>
                    <w:ind w:left="0" w:leftChars="0" w:firstLine="0" w:firstLineChars="0"/>
                    <w:jc w:val="center"/>
                    <w:rPr>
                      <w:color w:val="auto"/>
                      <w:sz w:val="21"/>
                      <w:szCs w:val="21"/>
                      <w:lang w:bidi="ar"/>
                    </w:rPr>
                  </w:pPr>
                  <w:r>
                    <w:rPr>
                      <w:rFonts w:hint="eastAsia"/>
                      <w:color w:val="auto"/>
                      <w:sz w:val="21"/>
                      <w:szCs w:val="21"/>
                      <w:lang w:bidi="ar"/>
                    </w:rPr>
                    <w:t>涝淄河、漫泗河、东猪龙河上游东西支、瓦村沟、暖水河、焕然河、三泉沟、白蛇沟、袁家河、天津路排涝沟、小旦村大高村排涝沟</w:t>
                  </w:r>
                  <w:r>
                    <w:rPr>
                      <w:color w:val="auto"/>
                      <w:sz w:val="21"/>
                      <w:szCs w:val="21"/>
                      <w:lang w:bidi="ar"/>
                    </w:rPr>
                    <w:t>各选择1个监测断面</w:t>
                  </w:r>
                </w:p>
              </w:tc>
            </w:tr>
            <w:tr w14:paraId="3C089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07C329FA">
                  <w:pPr>
                    <w:pStyle w:val="19"/>
                    <w:spacing w:after="0"/>
                    <w:ind w:left="0" w:leftChars="0" w:firstLine="0" w:firstLineChars="0"/>
                    <w:jc w:val="center"/>
                    <w:rPr>
                      <w:color w:val="auto"/>
                      <w:sz w:val="21"/>
                      <w:szCs w:val="21"/>
                      <w:lang w:bidi="ar"/>
                    </w:rPr>
                  </w:pPr>
                  <w:r>
                    <w:rPr>
                      <w:color w:val="auto"/>
                      <w:sz w:val="21"/>
                      <w:szCs w:val="21"/>
                      <w:lang w:bidi="ar"/>
                    </w:rPr>
                    <w:t>2</w:t>
                  </w:r>
                </w:p>
              </w:tc>
              <w:tc>
                <w:tcPr>
                  <w:tcW w:w="973" w:type="pct"/>
                  <w:vAlign w:val="center"/>
                </w:tcPr>
                <w:p w14:paraId="652E04F4">
                  <w:pPr>
                    <w:pStyle w:val="19"/>
                    <w:spacing w:after="0"/>
                    <w:ind w:left="0" w:leftChars="0" w:firstLine="0" w:firstLineChars="0"/>
                    <w:jc w:val="center"/>
                    <w:rPr>
                      <w:color w:val="auto"/>
                      <w:sz w:val="21"/>
                      <w:szCs w:val="21"/>
                      <w:lang w:bidi="ar"/>
                    </w:rPr>
                  </w:pPr>
                  <w:r>
                    <w:rPr>
                      <w:color w:val="auto"/>
                      <w:sz w:val="21"/>
                      <w:szCs w:val="21"/>
                      <w:lang w:bidi="ar"/>
                    </w:rPr>
                    <w:t>监测项目</w:t>
                  </w:r>
                </w:p>
              </w:tc>
              <w:tc>
                <w:tcPr>
                  <w:tcW w:w="3377" w:type="pct"/>
                  <w:vAlign w:val="center"/>
                </w:tcPr>
                <w:p w14:paraId="3180FA21">
                  <w:pPr>
                    <w:pStyle w:val="19"/>
                    <w:spacing w:after="0"/>
                    <w:ind w:left="0" w:leftChars="0" w:firstLine="0" w:firstLineChars="0"/>
                    <w:jc w:val="center"/>
                    <w:rPr>
                      <w:color w:val="auto"/>
                      <w:sz w:val="21"/>
                      <w:szCs w:val="21"/>
                      <w:lang w:bidi="ar"/>
                    </w:rPr>
                  </w:pPr>
                  <w:r>
                    <w:rPr>
                      <w:color w:val="auto"/>
                      <w:sz w:val="21"/>
                      <w:szCs w:val="21"/>
                      <w:lang w:bidi="ar"/>
                    </w:rPr>
                    <w:t>pH、水温、悬浮物、溶解氧、五日生化需氧量、高锰酸盐指数、氨氮、硝酸盐、总氮、总磷、铅、铬（六价）、氰化物、镉、石油类、挥发酚、砷、汞、粪大肠菌群共19项</w:t>
                  </w:r>
                </w:p>
              </w:tc>
            </w:tr>
            <w:tr w14:paraId="230CB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3087AC1B">
                  <w:pPr>
                    <w:pStyle w:val="19"/>
                    <w:spacing w:after="0"/>
                    <w:ind w:left="0" w:leftChars="0" w:firstLine="0" w:firstLineChars="0"/>
                    <w:jc w:val="center"/>
                    <w:rPr>
                      <w:color w:val="auto"/>
                      <w:sz w:val="21"/>
                      <w:szCs w:val="21"/>
                      <w:lang w:bidi="ar"/>
                    </w:rPr>
                  </w:pPr>
                  <w:r>
                    <w:rPr>
                      <w:color w:val="auto"/>
                      <w:sz w:val="21"/>
                      <w:szCs w:val="21"/>
                      <w:lang w:bidi="ar"/>
                    </w:rPr>
                    <w:t>3</w:t>
                  </w:r>
                </w:p>
              </w:tc>
              <w:tc>
                <w:tcPr>
                  <w:tcW w:w="973" w:type="pct"/>
                  <w:vAlign w:val="center"/>
                </w:tcPr>
                <w:p w14:paraId="5FE246D2">
                  <w:pPr>
                    <w:pStyle w:val="19"/>
                    <w:spacing w:after="0"/>
                    <w:ind w:left="0" w:leftChars="0" w:firstLine="0" w:firstLineChars="0"/>
                    <w:jc w:val="center"/>
                    <w:rPr>
                      <w:color w:val="auto"/>
                      <w:sz w:val="21"/>
                      <w:szCs w:val="21"/>
                      <w:lang w:bidi="ar"/>
                    </w:rPr>
                  </w:pPr>
                  <w:r>
                    <w:rPr>
                      <w:color w:val="auto"/>
                      <w:sz w:val="21"/>
                      <w:szCs w:val="21"/>
                      <w:lang w:bidi="ar"/>
                    </w:rPr>
                    <w:t>监测频率</w:t>
                  </w:r>
                </w:p>
              </w:tc>
              <w:tc>
                <w:tcPr>
                  <w:tcW w:w="3377" w:type="pct"/>
                  <w:vAlign w:val="center"/>
                </w:tcPr>
                <w:p w14:paraId="06C3DD47">
                  <w:pPr>
                    <w:pStyle w:val="19"/>
                    <w:spacing w:after="0"/>
                    <w:ind w:left="0" w:leftChars="0" w:firstLine="0" w:firstLineChars="0"/>
                    <w:jc w:val="center"/>
                    <w:rPr>
                      <w:color w:val="auto"/>
                      <w:sz w:val="21"/>
                      <w:szCs w:val="21"/>
                      <w:lang w:bidi="ar"/>
                    </w:rPr>
                  </w:pPr>
                  <w:r>
                    <w:rPr>
                      <w:color w:val="auto"/>
                      <w:sz w:val="21"/>
                      <w:szCs w:val="21"/>
                      <w:lang w:bidi="ar"/>
                    </w:rPr>
                    <w:t>施工高峰期和运行期各监测1次</w:t>
                  </w:r>
                </w:p>
              </w:tc>
            </w:tr>
            <w:tr w14:paraId="5C7EBA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38FCAB41">
                  <w:pPr>
                    <w:pStyle w:val="19"/>
                    <w:spacing w:after="0"/>
                    <w:ind w:left="0" w:leftChars="0" w:firstLine="0" w:firstLineChars="0"/>
                    <w:jc w:val="center"/>
                    <w:rPr>
                      <w:color w:val="auto"/>
                      <w:sz w:val="21"/>
                      <w:szCs w:val="21"/>
                      <w:lang w:bidi="ar"/>
                    </w:rPr>
                  </w:pPr>
                  <w:r>
                    <w:rPr>
                      <w:color w:val="auto"/>
                      <w:sz w:val="21"/>
                      <w:szCs w:val="21"/>
                      <w:lang w:bidi="ar"/>
                    </w:rPr>
                    <w:t>4</w:t>
                  </w:r>
                </w:p>
              </w:tc>
              <w:tc>
                <w:tcPr>
                  <w:tcW w:w="973" w:type="pct"/>
                  <w:vAlign w:val="center"/>
                </w:tcPr>
                <w:p w14:paraId="5042A31F">
                  <w:pPr>
                    <w:pStyle w:val="19"/>
                    <w:spacing w:after="0"/>
                    <w:ind w:left="0" w:leftChars="0" w:firstLine="0" w:firstLineChars="0"/>
                    <w:jc w:val="center"/>
                    <w:rPr>
                      <w:color w:val="auto"/>
                      <w:sz w:val="21"/>
                      <w:szCs w:val="21"/>
                      <w:lang w:bidi="ar"/>
                    </w:rPr>
                  </w:pPr>
                  <w:r>
                    <w:rPr>
                      <w:color w:val="auto"/>
                      <w:sz w:val="21"/>
                      <w:szCs w:val="21"/>
                      <w:lang w:bidi="ar"/>
                    </w:rPr>
                    <w:t>检测时间</w:t>
                  </w:r>
                </w:p>
              </w:tc>
              <w:tc>
                <w:tcPr>
                  <w:tcW w:w="3377" w:type="pct"/>
                  <w:vAlign w:val="center"/>
                </w:tcPr>
                <w:p w14:paraId="2778B32E">
                  <w:pPr>
                    <w:pStyle w:val="19"/>
                    <w:spacing w:after="0"/>
                    <w:ind w:left="0" w:leftChars="0" w:firstLine="0" w:firstLineChars="0"/>
                    <w:jc w:val="center"/>
                    <w:rPr>
                      <w:color w:val="auto"/>
                      <w:sz w:val="21"/>
                      <w:szCs w:val="21"/>
                      <w:lang w:bidi="ar"/>
                    </w:rPr>
                  </w:pPr>
                  <w:r>
                    <w:rPr>
                      <w:color w:val="auto"/>
                      <w:sz w:val="21"/>
                      <w:szCs w:val="21"/>
                      <w:lang w:bidi="ar"/>
                    </w:rPr>
                    <w:t>施工高峰期和运行期</w:t>
                  </w:r>
                </w:p>
              </w:tc>
            </w:tr>
            <w:tr w14:paraId="65EF7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Align w:val="center"/>
                </w:tcPr>
                <w:p w14:paraId="04B8978E">
                  <w:pPr>
                    <w:pStyle w:val="19"/>
                    <w:spacing w:after="0"/>
                    <w:ind w:left="0" w:leftChars="0" w:firstLine="0" w:firstLineChars="0"/>
                    <w:jc w:val="center"/>
                    <w:rPr>
                      <w:color w:val="auto"/>
                      <w:sz w:val="21"/>
                      <w:szCs w:val="21"/>
                      <w:lang w:bidi="ar"/>
                    </w:rPr>
                  </w:pPr>
                  <w:r>
                    <w:rPr>
                      <w:color w:val="auto"/>
                      <w:sz w:val="21"/>
                      <w:szCs w:val="21"/>
                      <w:lang w:bidi="ar"/>
                    </w:rPr>
                    <w:t>5</w:t>
                  </w:r>
                </w:p>
              </w:tc>
              <w:tc>
                <w:tcPr>
                  <w:tcW w:w="973" w:type="pct"/>
                  <w:vAlign w:val="center"/>
                </w:tcPr>
                <w:p w14:paraId="389AE233">
                  <w:pPr>
                    <w:pStyle w:val="19"/>
                    <w:spacing w:after="0"/>
                    <w:ind w:left="0" w:leftChars="0" w:firstLine="0" w:firstLineChars="0"/>
                    <w:jc w:val="center"/>
                    <w:rPr>
                      <w:color w:val="auto"/>
                      <w:sz w:val="21"/>
                      <w:szCs w:val="21"/>
                      <w:lang w:bidi="ar"/>
                    </w:rPr>
                  </w:pPr>
                  <w:r>
                    <w:rPr>
                      <w:color w:val="auto"/>
                      <w:sz w:val="21"/>
                      <w:szCs w:val="21"/>
                      <w:lang w:bidi="ar"/>
                    </w:rPr>
                    <w:t>监测方法</w:t>
                  </w:r>
                </w:p>
              </w:tc>
              <w:tc>
                <w:tcPr>
                  <w:tcW w:w="3377" w:type="pct"/>
                  <w:vAlign w:val="center"/>
                </w:tcPr>
                <w:p w14:paraId="28E4A089">
                  <w:pPr>
                    <w:pStyle w:val="19"/>
                    <w:spacing w:after="0"/>
                    <w:ind w:left="0" w:leftChars="0"/>
                    <w:rPr>
                      <w:color w:val="auto"/>
                      <w:sz w:val="21"/>
                      <w:szCs w:val="21"/>
                      <w:lang w:bidi="ar"/>
                    </w:rPr>
                  </w:pPr>
                  <w:r>
                    <w:rPr>
                      <w:color w:val="auto"/>
                      <w:sz w:val="21"/>
                      <w:szCs w:val="21"/>
                      <w:lang w:bidi="ar"/>
                    </w:rPr>
                    <w:t>水样采集按照地表水环境质量监测技术规范（HJ91.2-2022）和污水监测技术规范(HJ91.1-2019）的规定方法执行，样品分析按照《地表水环境质量标准》（GB3838-2002）和地表水环境质量监测技术规范（HJ91.2-2022）和污水监测技术规范(HJ91.1-2019）方法执行</w:t>
                  </w:r>
                </w:p>
              </w:tc>
            </w:tr>
          </w:tbl>
          <w:p w14:paraId="2DEAAAC3">
            <w:pPr>
              <w:spacing w:line="360" w:lineRule="auto"/>
              <w:ind w:firstLine="524" w:firstLineChars="200"/>
              <w:rPr>
                <w:rFonts w:ascii="Times New Roman" w:hAnsi="Times New Roman" w:eastAsia="宋体" w:cs="Times New Roman"/>
                <w:color w:val="auto"/>
                <w:spacing w:val="11"/>
                <w:sz w:val="24"/>
              </w:rPr>
            </w:pPr>
            <w:r>
              <w:rPr>
                <w:rFonts w:hint="eastAsia" w:ascii="Times New Roman" w:hAnsi="Times New Roman" w:eastAsia="宋体" w:cs="Times New Roman"/>
                <w:color w:val="auto"/>
                <w:spacing w:val="11"/>
                <w:sz w:val="24"/>
                <w:lang w:eastAsia="zh-CN"/>
              </w:rPr>
              <w:t>（</w:t>
            </w:r>
            <w:r>
              <w:rPr>
                <w:rFonts w:hint="eastAsia" w:ascii="Times New Roman" w:hAnsi="Times New Roman" w:eastAsia="宋体" w:cs="Times New Roman"/>
                <w:color w:val="auto"/>
                <w:spacing w:val="11"/>
                <w:sz w:val="24"/>
                <w:lang w:val="en-US" w:eastAsia="zh-CN"/>
              </w:rPr>
              <w:t>2</w:t>
            </w:r>
            <w:r>
              <w:rPr>
                <w:rFonts w:hint="eastAsia" w:ascii="Times New Roman" w:hAnsi="Times New Roman" w:eastAsia="宋体" w:cs="Times New Roman"/>
                <w:color w:val="auto"/>
                <w:spacing w:val="11"/>
                <w:sz w:val="24"/>
                <w:lang w:eastAsia="zh-CN"/>
              </w:rPr>
              <w:t>）</w:t>
            </w:r>
            <w:r>
              <w:rPr>
                <w:rFonts w:ascii="Times New Roman" w:hAnsi="Times New Roman" w:eastAsia="宋体" w:cs="Times New Roman"/>
                <w:color w:val="auto"/>
                <w:spacing w:val="11"/>
                <w:sz w:val="24"/>
              </w:rPr>
              <w:t>地下水监测</w:t>
            </w:r>
          </w:p>
          <w:p w14:paraId="1EA5CB8A">
            <w:pPr>
              <w:spacing w:line="360" w:lineRule="auto"/>
              <w:ind w:firstLine="524" w:firstLineChars="200"/>
              <w:rPr>
                <w:color w:val="auto"/>
                <w:sz w:val="24"/>
              </w:rPr>
            </w:pPr>
            <w:r>
              <w:rPr>
                <w:color w:val="auto"/>
                <w:spacing w:val="11"/>
                <w:sz w:val="24"/>
              </w:rPr>
              <w:t>监</w:t>
            </w:r>
            <w:r>
              <w:rPr>
                <w:color w:val="auto"/>
                <w:spacing w:val="8"/>
                <w:sz w:val="24"/>
              </w:rPr>
              <w:t>测位置：施工沿线机井。</w:t>
            </w:r>
          </w:p>
          <w:p w14:paraId="597E38A9">
            <w:pPr>
              <w:spacing w:line="360" w:lineRule="auto"/>
              <w:ind w:firstLine="512" w:firstLineChars="200"/>
              <w:rPr>
                <w:color w:val="auto"/>
                <w:sz w:val="24"/>
              </w:rPr>
            </w:pPr>
            <w:r>
              <w:rPr>
                <w:color w:val="auto"/>
                <w:spacing w:val="8"/>
                <w:sz w:val="24"/>
              </w:rPr>
              <w:t>监测项目：地下水位</w:t>
            </w:r>
            <w:r>
              <w:rPr>
                <w:color w:val="auto"/>
                <w:spacing w:val="7"/>
                <w:sz w:val="24"/>
              </w:rPr>
              <w:t>。</w:t>
            </w:r>
          </w:p>
          <w:p w14:paraId="5A5088D4">
            <w:pPr>
              <w:widowControl/>
              <w:spacing w:line="360" w:lineRule="auto"/>
              <w:ind w:firstLine="528" w:firstLineChars="200"/>
              <w:rPr>
                <w:color w:val="auto"/>
                <w:spacing w:val="2"/>
                <w:sz w:val="24"/>
              </w:rPr>
            </w:pPr>
            <w:r>
              <w:rPr>
                <w:color w:val="auto"/>
                <w:spacing w:val="12"/>
                <w:sz w:val="24"/>
              </w:rPr>
              <w:t>监</w:t>
            </w:r>
            <w:r>
              <w:rPr>
                <w:color w:val="auto"/>
                <w:spacing w:val="9"/>
                <w:sz w:val="24"/>
              </w:rPr>
              <w:t>测</w:t>
            </w:r>
            <w:r>
              <w:rPr>
                <w:color w:val="auto"/>
                <w:spacing w:val="6"/>
                <w:sz w:val="24"/>
              </w:rPr>
              <w:t>频次：</w:t>
            </w:r>
            <w:r>
              <w:rPr>
                <w:color w:val="auto"/>
                <w:spacing w:val="8"/>
                <w:sz w:val="24"/>
              </w:rPr>
              <w:t>在</w:t>
            </w:r>
            <w:r>
              <w:rPr>
                <w:rFonts w:hint="eastAsia"/>
                <w:color w:val="auto"/>
                <w:spacing w:val="8"/>
                <w:sz w:val="24"/>
              </w:rPr>
              <w:t>涝淄河、漫泗河、东猪龙河上游东西支、瓦村沟、暖水河、焕然河、三泉沟、白蛇沟、袁家河、天津路排涝沟、小旦村大高村排涝沟上游河道</w:t>
            </w:r>
            <w:r>
              <w:rPr>
                <w:color w:val="auto"/>
                <w:spacing w:val="8"/>
                <w:sz w:val="24"/>
              </w:rPr>
              <w:t>沿线200m范围内的居民区各设置一处地下水监测断面，选</w:t>
            </w:r>
            <w:r>
              <w:rPr>
                <w:color w:val="auto"/>
                <w:spacing w:val="2"/>
                <w:sz w:val="24"/>
              </w:rPr>
              <w:t>择现状机井，施工高峰期和运行期各监测一次。共计</w:t>
            </w:r>
            <w:r>
              <w:rPr>
                <w:rFonts w:hint="eastAsia"/>
                <w:color w:val="auto"/>
                <w:spacing w:val="2"/>
                <w:sz w:val="24"/>
                <w:lang w:val="en-US" w:eastAsia="zh-CN"/>
              </w:rPr>
              <w:t>13</w:t>
            </w:r>
            <w:r>
              <w:rPr>
                <w:color w:val="auto"/>
                <w:spacing w:val="2"/>
                <w:sz w:val="24"/>
              </w:rPr>
              <w:t>点/次。</w:t>
            </w:r>
          </w:p>
          <w:p w14:paraId="5E9E1A42">
            <w:pPr>
              <w:widowControl/>
              <w:spacing w:line="360" w:lineRule="auto"/>
              <w:ind w:firstLine="480" w:firstLineChars="200"/>
              <w:rPr>
                <w:color w:val="auto"/>
                <w:kern w:val="0"/>
                <w:sz w:val="24"/>
                <w:lang w:bidi="ar"/>
              </w:rPr>
            </w:pPr>
            <w:r>
              <w:rPr>
                <w:color w:val="auto"/>
                <w:kern w:val="0"/>
                <w:sz w:val="24"/>
                <w:lang w:bidi="ar"/>
              </w:rPr>
              <w:t>2、大气环境监测</w:t>
            </w:r>
          </w:p>
          <w:p w14:paraId="72624FBB">
            <w:pPr>
              <w:spacing w:line="360" w:lineRule="auto"/>
              <w:ind w:firstLine="516" w:firstLineChars="200"/>
              <w:rPr>
                <w:color w:val="auto"/>
                <w:sz w:val="24"/>
              </w:rPr>
            </w:pPr>
            <w:r>
              <w:rPr>
                <w:color w:val="auto"/>
                <w:spacing w:val="9"/>
                <w:sz w:val="24"/>
              </w:rPr>
              <w:t>监测位置：居民居住点等大气敏感点</w:t>
            </w:r>
            <w:r>
              <w:rPr>
                <w:color w:val="auto"/>
                <w:spacing w:val="5"/>
                <w:sz w:val="24"/>
              </w:rPr>
              <w:t>。</w:t>
            </w:r>
          </w:p>
          <w:p w14:paraId="4099BF81">
            <w:pPr>
              <w:spacing w:line="360" w:lineRule="auto"/>
              <w:ind w:firstLine="475"/>
              <w:rPr>
                <w:color w:val="auto"/>
                <w:sz w:val="24"/>
              </w:rPr>
            </w:pPr>
            <w:r>
              <w:rPr>
                <w:color w:val="auto"/>
                <w:spacing w:val="7"/>
                <w:sz w:val="24"/>
              </w:rPr>
              <w:t>监测项目：根据施工期产生主要污染物和空气质量的控制指标，监测项目</w:t>
            </w:r>
            <w:r>
              <w:rPr>
                <w:color w:val="auto"/>
                <w:spacing w:val="2"/>
                <w:sz w:val="24"/>
              </w:rPr>
              <w:t>确</w:t>
            </w:r>
            <w:r>
              <w:rPr>
                <w:color w:val="auto"/>
                <w:spacing w:val="7"/>
                <w:sz w:val="24"/>
              </w:rPr>
              <w:t>定为总悬浮颗粒、二氧化硫、氮氧化物，同时实测主要气象要素气温、风速和</w:t>
            </w:r>
            <w:r>
              <w:rPr>
                <w:color w:val="auto"/>
                <w:spacing w:val="3"/>
                <w:sz w:val="24"/>
              </w:rPr>
              <w:t>风</w:t>
            </w:r>
            <w:r>
              <w:rPr>
                <w:color w:val="auto"/>
                <w:spacing w:val="-4"/>
                <w:sz w:val="24"/>
              </w:rPr>
              <w:t>向</w:t>
            </w:r>
            <w:r>
              <w:rPr>
                <w:color w:val="auto"/>
                <w:spacing w:val="-2"/>
                <w:sz w:val="24"/>
              </w:rPr>
              <w:t>。</w:t>
            </w:r>
          </w:p>
          <w:p w14:paraId="65549A64">
            <w:pPr>
              <w:widowControl/>
              <w:spacing w:line="360" w:lineRule="auto"/>
              <w:ind w:firstLine="500" w:firstLineChars="200"/>
              <w:jc w:val="left"/>
              <w:rPr>
                <w:color w:val="auto"/>
                <w:sz w:val="24"/>
              </w:rPr>
            </w:pPr>
            <w:r>
              <w:rPr>
                <w:color w:val="auto"/>
                <w:spacing w:val="5"/>
                <w:sz w:val="24"/>
              </w:rPr>
              <w:t>监测频次：受影响居民点施工高峰期监测1次，部分距离较近的监测点</w:t>
            </w:r>
            <w:r>
              <w:rPr>
                <w:color w:val="auto"/>
                <w:spacing w:val="3"/>
                <w:sz w:val="24"/>
              </w:rPr>
              <w:t>合</w:t>
            </w:r>
            <w:r>
              <w:rPr>
                <w:color w:val="auto"/>
                <w:sz w:val="24"/>
              </w:rPr>
              <w:t>并</w:t>
            </w:r>
            <w:r>
              <w:rPr>
                <w:color w:val="auto"/>
                <w:spacing w:val="-10"/>
                <w:sz w:val="24"/>
              </w:rPr>
              <w:t>监测，共监测</w:t>
            </w:r>
            <w:r>
              <w:rPr>
                <w:rFonts w:hint="eastAsia"/>
                <w:color w:val="auto"/>
                <w:spacing w:val="-10"/>
                <w:sz w:val="24"/>
                <w:lang w:val="en-US" w:eastAsia="zh-CN"/>
              </w:rPr>
              <w:t>13</w:t>
            </w:r>
            <w:r>
              <w:rPr>
                <w:color w:val="auto"/>
                <w:spacing w:val="-10"/>
                <w:sz w:val="24"/>
              </w:rPr>
              <w:t>点/次</w:t>
            </w:r>
            <w:r>
              <w:rPr>
                <w:color w:val="auto"/>
                <w:spacing w:val="-8"/>
                <w:sz w:val="24"/>
              </w:rPr>
              <w:t>。</w:t>
            </w:r>
          </w:p>
          <w:p w14:paraId="79B3E90F">
            <w:pPr>
              <w:widowControl/>
              <w:spacing w:line="360" w:lineRule="auto"/>
              <w:ind w:firstLine="480" w:firstLineChars="200"/>
              <w:jc w:val="left"/>
              <w:rPr>
                <w:color w:val="auto"/>
                <w:sz w:val="24"/>
              </w:rPr>
            </w:pPr>
            <w:r>
              <w:rPr>
                <w:color w:val="auto"/>
                <w:kern w:val="0"/>
                <w:sz w:val="24"/>
                <w:lang w:bidi="ar"/>
              </w:rPr>
              <w:t>3、声环境监测</w:t>
            </w:r>
          </w:p>
          <w:p w14:paraId="0600D286">
            <w:pPr>
              <w:spacing w:line="360" w:lineRule="auto"/>
              <w:ind w:firstLine="516" w:firstLineChars="200"/>
              <w:rPr>
                <w:color w:val="auto"/>
                <w:sz w:val="24"/>
              </w:rPr>
            </w:pPr>
            <w:r>
              <w:rPr>
                <w:color w:val="auto"/>
                <w:spacing w:val="9"/>
                <w:sz w:val="24"/>
              </w:rPr>
              <w:t>监测位置：居民居住点等噪声敏感点</w:t>
            </w:r>
            <w:r>
              <w:rPr>
                <w:color w:val="auto"/>
                <w:spacing w:val="5"/>
                <w:sz w:val="24"/>
              </w:rPr>
              <w:t>。</w:t>
            </w:r>
          </w:p>
          <w:p w14:paraId="68990BB6">
            <w:pPr>
              <w:spacing w:line="360" w:lineRule="auto"/>
              <w:ind w:firstLine="544" w:firstLineChars="200"/>
              <w:rPr>
                <w:color w:val="auto"/>
                <w:sz w:val="24"/>
              </w:rPr>
            </w:pPr>
            <w:r>
              <w:rPr>
                <w:color w:val="auto"/>
                <w:spacing w:val="16"/>
                <w:sz w:val="24"/>
              </w:rPr>
              <w:t>监</w:t>
            </w:r>
            <w:r>
              <w:rPr>
                <w:color w:val="auto"/>
                <w:spacing w:val="9"/>
                <w:sz w:val="24"/>
              </w:rPr>
              <w:t>测</w:t>
            </w:r>
            <w:r>
              <w:rPr>
                <w:color w:val="auto"/>
                <w:spacing w:val="8"/>
                <w:sz w:val="24"/>
              </w:rPr>
              <w:t>项目：昼间和夜间等效声级。</w:t>
            </w:r>
          </w:p>
          <w:p w14:paraId="52632553">
            <w:pPr>
              <w:widowControl/>
              <w:spacing w:line="360" w:lineRule="auto"/>
              <w:ind w:firstLine="500" w:firstLineChars="200"/>
              <w:jc w:val="left"/>
              <w:rPr>
                <w:color w:val="auto"/>
                <w:sz w:val="24"/>
              </w:rPr>
            </w:pPr>
            <w:r>
              <w:rPr>
                <w:color w:val="auto"/>
                <w:spacing w:val="5"/>
                <w:sz w:val="24"/>
              </w:rPr>
              <w:t>监测频次：受影响居民点施工高峰期监测1次，部分距离较近的监测点</w:t>
            </w:r>
            <w:r>
              <w:rPr>
                <w:color w:val="auto"/>
                <w:spacing w:val="3"/>
                <w:sz w:val="24"/>
              </w:rPr>
              <w:t>合</w:t>
            </w:r>
            <w:r>
              <w:rPr>
                <w:color w:val="auto"/>
                <w:sz w:val="24"/>
              </w:rPr>
              <w:t>并</w:t>
            </w:r>
            <w:r>
              <w:rPr>
                <w:color w:val="auto"/>
                <w:spacing w:val="-15"/>
                <w:sz w:val="24"/>
              </w:rPr>
              <w:t>监</w:t>
            </w:r>
            <w:r>
              <w:rPr>
                <w:color w:val="auto"/>
                <w:spacing w:val="-11"/>
                <w:sz w:val="24"/>
              </w:rPr>
              <w:t>测，共计</w:t>
            </w:r>
            <w:r>
              <w:rPr>
                <w:rFonts w:hint="eastAsia"/>
                <w:color w:val="auto"/>
                <w:spacing w:val="-11"/>
                <w:sz w:val="24"/>
                <w:lang w:val="en-US" w:eastAsia="zh-CN"/>
              </w:rPr>
              <w:t>13</w:t>
            </w:r>
            <w:r>
              <w:rPr>
                <w:color w:val="auto"/>
                <w:spacing w:val="-11"/>
                <w:sz w:val="24"/>
              </w:rPr>
              <w:t>点/次。</w:t>
            </w:r>
          </w:p>
          <w:p w14:paraId="409BC3AF">
            <w:pPr>
              <w:pStyle w:val="39"/>
              <w:ind w:firstLine="482"/>
              <w:jc w:val="both"/>
              <w:rPr>
                <w:b/>
                <w:bCs/>
                <w:color w:val="auto"/>
                <w:sz w:val="24"/>
              </w:rPr>
            </w:pPr>
            <w:r>
              <w:rPr>
                <w:b/>
                <w:bCs/>
                <w:color w:val="auto"/>
                <w:sz w:val="24"/>
              </w:rPr>
              <w:t>二、水土流失</w:t>
            </w:r>
          </w:p>
          <w:p w14:paraId="32AEE4F2">
            <w:pPr>
              <w:pStyle w:val="39"/>
              <w:ind w:firstLine="480"/>
              <w:jc w:val="both"/>
              <w:rPr>
                <w:color w:val="auto"/>
                <w:sz w:val="24"/>
              </w:rPr>
            </w:pPr>
            <w:r>
              <w:rPr>
                <w:color w:val="auto"/>
                <w:sz w:val="24"/>
              </w:rPr>
              <w:t>项目建设引起的水土流失主要由主体工程、取弃土场地、工程便道、料场、拌和场、预制场等施工过程中造成。</w:t>
            </w:r>
          </w:p>
          <w:p w14:paraId="7A91DF9E">
            <w:pPr>
              <w:pStyle w:val="39"/>
              <w:ind w:firstLine="480"/>
              <w:jc w:val="both"/>
              <w:rPr>
                <w:color w:val="auto"/>
                <w:sz w:val="24"/>
              </w:rPr>
            </w:pPr>
            <w:r>
              <w:rPr>
                <w:color w:val="auto"/>
                <w:sz w:val="24"/>
              </w:rPr>
              <w:t>项目建设施工开挖的大量土体，对原有土体的扰动，破坏了沿线原有的地貌和植被，扰乱地表和地下径流系统，破坏土壤表层结构，使土壤的抗蚀、抗冲能力迅速下降，山坡失稳，土壤侵蚀加剧，导致水土流失的增加。同时工程中的废弃土石方，为水土流失提供了大量的物源。</w:t>
            </w:r>
          </w:p>
          <w:p w14:paraId="493CAA15">
            <w:pPr>
              <w:pStyle w:val="39"/>
              <w:ind w:firstLine="480"/>
              <w:jc w:val="both"/>
              <w:rPr>
                <w:color w:val="auto"/>
                <w:sz w:val="24"/>
              </w:rPr>
            </w:pPr>
            <w:r>
              <w:rPr>
                <w:color w:val="auto"/>
                <w:sz w:val="24"/>
              </w:rPr>
              <w:t>在工程施工过程中，取土场区需要剥离表层适宜农作物生长的腐殖土，破坏了原有的土石平衡，取土后开挖的坡面及对裸露面的削坡，在外力作用下，而产生坍塌、滑坡等危害，产生水土流失。项目建设施工过程中，必然产生废渣弃渣，堆积了大量的松土，在水流冲刷作用下，也会产生水土流失。</w:t>
            </w:r>
          </w:p>
          <w:p w14:paraId="3755C0DF">
            <w:pPr>
              <w:pStyle w:val="39"/>
              <w:ind w:firstLine="480"/>
              <w:jc w:val="both"/>
              <w:rPr>
                <w:color w:val="auto"/>
                <w:sz w:val="24"/>
              </w:rPr>
            </w:pPr>
            <w:r>
              <w:rPr>
                <w:color w:val="auto"/>
                <w:sz w:val="24"/>
              </w:rPr>
              <w:t>施工区内的临时施工便道对原有土地进行了清表、碾压等处理，破坏了原有植被对水土的涵养作用，而且又没有排水系统引流地表水，一遇暴雨或大风将不可避免地产生水土流失。</w:t>
            </w:r>
          </w:p>
          <w:p w14:paraId="6FD4EB4C">
            <w:pPr>
              <w:pStyle w:val="39"/>
              <w:ind w:firstLine="480"/>
              <w:jc w:val="both"/>
              <w:rPr>
                <w:color w:val="auto"/>
                <w:sz w:val="24"/>
              </w:rPr>
            </w:pPr>
            <w:r>
              <w:rPr>
                <w:color w:val="auto"/>
                <w:sz w:val="24"/>
              </w:rPr>
              <w:t>项目建设过程中需要临时堆放土、石、砂料等建筑材料，并进行混凝土拌和，预制混凝土构件，由于场地要求，需对原有地面进行处理，这样也会带来水土流失的后果。</w:t>
            </w:r>
          </w:p>
          <w:p w14:paraId="5653BCF7">
            <w:pPr>
              <w:pStyle w:val="39"/>
              <w:ind w:firstLine="480"/>
              <w:jc w:val="both"/>
              <w:rPr>
                <w:color w:val="auto"/>
                <w:sz w:val="24"/>
              </w:rPr>
            </w:pPr>
            <w:r>
              <w:rPr>
                <w:color w:val="auto"/>
                <w:sz w:val="24"/>
              </w:rPr>
              <w:t>项目建设工程破坏了原有的地貌状态和自然侵蚀状态下的水文网络系统，为产生土壤侵蚀创造了条件，施工中弃渣得不到及时的防护治理，在降雨及人为因素作用下产生大量泥沙，泥沙随着水流进入下游河道，尤其在我国中北部地区河流，容易引起沉积，对水库和河流造成一定的影响。泥土随水土流失，还会使沿线的河流、沟渠等水体的悬浮物增加，浑浊时间延长，对饮用水源将有短期的不良影响。</w:t>
            </w:r>
          </w:p>
          <w:p w14:paraId="65854165">
            <w:pPr>
              <w:pStyle w:val="39"/>
              <w:ind w:firstLine="480"/>
              <w:jc w:val="both"/>
              <w:rPr>
                <w:bCs/>
                <w:color w:val="auto"/>
                <w:spacing w:val="10"/>
                <w:szCs w:val="21"/>
              </w:rPr>
            </w:pPr>
            <w:r>
              <w:rPr>
                <w:color w:val="auto"/>
                <w:sz w:val="24"/>
              </w:rPr>
              <w:t>在项目建设中应贯彻水土保持方针，科学的作好项目建设中的水土保持工作，预防项目建设诱发的水土流失，是项目建设中的重要组成部分。建设项目在勘测设计阶段，委托具有水土保持专业资质的设计单位编制《水土保持方案大纲》和《水土保持方案》，在工程可行性研究阶段将水土保持工作作为路线比选的重要条件，根据工程水土流失的特点、危害程度和防治目标，水土保持设计采取分区分期防治。工程建设前期以水土保持措施为主，因地制宜，辅以生物措施相结合，快速有效地遏止水土流失。后期主要以植物措施为主，防治水土流失，改善生态环境。</w:t>
            </w:r>
          </w:p>
        </w:tc>
      </w:tr>
      <w:tr w14:paraId="1552A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382" w:type="pct"/>
            <w:vAlign w:val="center"/>
          </w:tcPr>
          <w:p w14:paraId="347883BD">
            <w:pPr>
              <w:adjustRightInd w:val="0"/>
              <w:snapToGrid w:val="0"/>
              <w:jc w:val="center"/>
              <w:rPr>
                <w:bCs/>
                <w:color w:val="auto"/>
                <w:spacing w:val="10"/>
                <w:szCs w:val="21"/>
              </w:rPr>
            </w:pPr>
            <w:r>
              <w:rPr>
                <w:bCs/>
                <w:color w:val="auto"/>
                <w:sz w:val="24"/>
              </w:rPr>
              <w:t>环保投资</w:t>
            </w:r>
          </w:p>
        </w:tc>
        <w:tc>
          <w:tcPr>
            <w:tcW w:w="4617" w:type="pct"/>
          </w:tcPr>
          <w:p w14:paraId="0E62BBEF">
            <w:pPr>
              <w:widowControl/>
              <w:spacing w:line="360" w:lineRule="auto"/>
              <w:ind w:firstLine="480" w:firstLineChars="200"/>
              <w:rPr>
                <w:color w:val="auto"/>
                <w:sz w:val="24"/>
              </w:rPr>
            </w:pPr>
            <w:r>
              <w:rPr>
                <w:color w:val="auto"/>
                <w:kern w:val="0"/>
                <w:sz w:val="24"/>
                <w:lang w:bidi="ar"/>
              </w:rPr>
              <w:t>本项目环境保护投资约为</w:t>
            </w:r>
            <w:r>
              <w:rPr>
                <w:rFonts w:hint="eastAsia"/>
                <w:color w:val="auto"/>
                <w:kern w:val="0"/>
                <w:sz w:val="24"/>
                <w:lang w:bidi="ar"/>
              </w:rPr>
              <w:t>591.61</w:t>
            </w:r>
            <w:r>
              <w:rPr>
                <w:color w:val="auto"/>
                <w:kern w:val="0"/>
                <w:sz w:val="24"/>
                <w:lang w:bidi="ar"/>
              </w:rPr>
              <w:t>万元，占总投资比例</w:t>
            </w:r>
            <w:r>
              <w:rPr>
                <w:rFonts w:hint="eastAsia"/>
                <w:color w:val="auto"/>
                <w:kern w:val="0"/>
                <w:sz w:val="24"/>
                <w:lang w:bidi="ar"/>
              </w:rPr>
              <w:t>1.28</w:t>
            </w:r>
            <w:r>
              <w:rPr>
                <w:color w:val="auto"/>
                <w:kern w:val="0"/>
                <w:sz w:val="24"/>
                <w:lang w:bidi="ar"/>
              </w:rPr>
              <w:t>%。本工程环境保护投资汇总见表5-4。</w:t>
            </w:r>
          </w:p>
          <w:p w14:paraId="7CD0843B">
            <w:pPr>
              <w:widowControl/>
              <w:jc w:val="center"/>
              <w:rPr>
                <w:color w:val="auto"/>
                <w:kern w:val="0"/>
                <w:szCs w:val="21"/>
                <w:lang w:bidi="ar"/>
              </w:rPr>
            </w:pPr>
            <w:r>
              <w:rPr>
                <w:b/>
                <w:bCs/>
                <w:color w:val="auto"/>
                <w:kern w:val="0"/>
                <w:szCs w:val="21"/>
                <w:lang w:bidi="ar"/>
              </w:rPr>
              <w:t>表5-4  本工程环境保护投资汇总表</w:t>
            </w:r>
          </w:p>
          <w:tbl>
            <w:tblPr>
              <w:tblStyle w:val="20"/>
              <w:tblW w:w="852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03"/>
              <w:gridCol w:w="4685"/>
              <w:gridCol w:w="3038"/>
            </w:tblGrid>
            <w:tr w14:paraId="07048C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803" w:type="dxa"/>
                  <w:vAlign w:val="center"/>
                </w:tcPr>
                <w:p w14:paraId="666DC56A">
                  <w:pPr>
                    <w:jc w:val="center"/>
                    <w:rPr>
                      <w:color w:val="auto"/>
                      <w:szCs w:val="21"/>
                    </w:rPr>
                  </w:pPr>
                  <w:r>
                    <w:rPr>
                      <w:color w:val="auto"/>
                      <w:spacing w:val="5"/>
                      <w:szCs w:val="21"/>
                    </w:rPr>
                    <w:t>序</w:t>
                  </w:r>
                  <w:r>
                    <w:rPr>
                      <w:color w:val="auto"/>
                      <w:spacing w:val="4"/>
                      <w:szCs w:val="21"/>
                    </w:rPr>
                    <w:t>号</w:t>
                  </w:r>
                </w:p>
              </w:tc>
              <w:tc>
                <w:tcPr>
                  <w:tcW w:w="4685" w:type="dxa"/>
                  <w:vAlign w:val="center"/>
                </w:tcPr>
                <w:p w14:paraId="1C3B68A0">
                  <w:pPr>
                    <w:jc w:val="center"/>
                    <w:rPr>
                      <w:color w:val="auto"/>
                      <w:szCs w:val="21"/>
                    </w:rPr>
                  </w:pPr>
                  <w:r>
                    <w:rPr>
                      <w:color w:val="auto"/>
                      <w:spacing w:val="13"/>
                      <w:szCs w:val="21"/>
                    </w:rPr>
                    <w:t>项</w:t>
                  </w:r>
                  <w:r>
                    <w:rPr>
                      <w:color w:val="auto"/>
                      <w:spacing w:val="11"/>
                      <w:szCs w:val="21"/>
                    </w:rPr>
                    <w:t>目</w:t>
                  </w:r>
                </w:p>
              </w:tc>
              <w:tc>
                <w:tcPr>
                  <w:tcW w:w="3038" w:type="dxa"/>
                  <w:vAlign w:val="center"/>
                </w:tcPr>
                <w:p w14:paraId="2E2971EE">
                  <w:pPr>
                    <w:jc w:val="center"/>
                    <w:rPr>
                      <w:color w:val="auto"/>
                      <w:szCs w:val="21"/>
                    </w:rPr>
                  </w:pPr>
                  <w:r>
                    <w:rPr>
                      <w:color w:val="auto"/>
                      <w:spacing w:val="7"/>
                      <w:position w:val="2"/>
                      <w:szCs w:val="21"/>
                    </w:rPr>
                    <w:t>费</w:t>
                  </w:r>
                  <w:r>
                    <w:rPr>
                      <w:color w:val="auto"/>
                      <w:spacing w:val="5"/>
                      <w:position w:val="2"/>
                      <w:szCs w:val="21"/>
                    </w:rPr>
                    <w:t>用（</w:t>
                  </w:r>
                  <w:r>
                    <w:rPr>
                      <w:rFonts w:hint="eastAsia"/>
                      <w:color w:val="auto"/>
                      <w:spacing w:val="5"/>
                      <w:position w:val="2"/>
                      <w:szCs w:val="21"/>
                      <w:lang w:eastAsia="zh-CN"/>
                    </w:rPr>
                    <w:t>万</w:t>
                  </w:r>
                  <w:r>
                    <w:rPr>
                      <w:color w:val="auto"/>
                      <w:spacing w:val="5"/>
                      <w:position w:val="2"/>
                      <w:szCs w:val="21"/>
                    </w:rPr>
                    <w:t>元）</w:t>
                  </w:r>
                </w:p>
              </w:tc>
            </w:tr>
            <w:tr w14:paraId="39341E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803" w:type="dxa"/>
                  <w:vAlign w:val="center"/>
                </w:tcPr>
                <w:p w14:paraId="54A05025">
                  <w:pPr>
                    <w:jc w:val="center"/>
                    <w:rPr>
                      <w:color w:val="auto"/>
                      <w:szCs w:val="21"/>
                    </w:rPr>
                  </w:pPr>
                  <w:r>
                    <w:rPr>
                      <w:color w:val="auto"/>
                      <w:szCs w:val="21"/>
                    </w:rPr>
                    <w:t>一</w:t>
                  </w:r>
                </w:p>
              </w:tc>
              <w:tc>
                <w:tcPr>
                  <w:tcW w:w="4685" w:type="dxa"/>
                  <w:vAlign w:val="center"/>
                </w:tcPr>
                <w:p w14:paraId="252F7DAD">
                  <w:pPr>
                    <w:jc w:val="center"/>
                    <w:rPr>
                      <w:color w:val="auto"/>
                      <w:szCs w:val="21"/>
                    </w:rPr>
                  </w:pPr>
                  <w:r>
                    <w:rPr>
                      <w:color w:val="auto"/>
                      <w:spacing w:val="10"/>
                      <w:szCs w:val="21"/>
                    </w:rPr>
                    <w:t>第一部分：环境监测措</w:t>
                  </w:r>
                  <w:r>
                    <w:rPr>
                      <w:color w:val="auto"/>
                      <w:spacing w:val="7"/>
                      <w:szCs w:val="21"/>
                    </w:rPr>
                    <w:t>施</w:t>
                  </w:r>
                </w:p>
              </w:tc>
              <w:tc>
                <w:tcPr>
                  <w:tcW w:w="3038" w:type="dxa"/>
                  <w:vAlign w:val="center"/>
                </w:tcPr>
                <w:p w14:paraId="29F50E58">
                  <w:pPr>
                    <w:widowControl/>
                    <w:jc w:val="center"/>
                    <w:textAlignment w:val="center"/>
                    <w:rPr>
                      <w:color w:val="auto"/>
                      <w:szCs w:val="21"/>
                    </w:rPr>
                  </w:pPr>
                  <w:r>
                    <w:rPr>
                      <w:rFonts w:hint="eastAsia"/>
                      <w:b/>
                      <w:bCs/>
                      <w:color w:val="auto"/>
                      <w:szCs w:val="21"/>
                    </w:rPr>
                    <w:t>49100</w:t>
                  </w:r>
                </w:p>
              </w:tc>
            </w:tr>
            <w:tr w14:paraId="043C0D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1F75DCB8">
                  <w:pPr>
                    <w:jc w:val="center"/>
                    <w:rPr>
                      <w:color w:val="auto"/>
                      <w:szCs w:val="21"/>
                    </w:rPr>
                  </w:pPr>
                  <w:r>
                    <w:rPr>
                      <w:color w:val="auto"/>
                      <w:szCs w:val="21"/>
                    </w:rPr>
                    <w:t>1</w:t>
                  </w:r>
                </w:p>
              </w:tc>
              <w:tc>
                <w:tcPr>
                  <w:tcW w:w="4685" w:type="dxa"/>
                  <w:vAlign w:val="center"/>
                </w:tcPr>
                <w:p w14:paraId="07A13FCF">
                  <w:pPr>
                    <w:jc w:val="center"/>
                    <w:rPr>
                      <w:color w:val="auto"/>
                      <w:szCs w:val="21"/>
                    </w:rPr>
                  </w:pPr>
                  <w:r>
                    <w:rPr>
                      <w:color w:val="auto"/>
                      <w:spacing w:val="9"/>
                      <w:szCs w:val="21"/>
                    </w:rPr>
                    <w:t>碱性废水水质监</w:t>
                  </w:r>
                  <w:r>
                    <w:rPr>
                      <w:color w:val="auto"/>
                      <w:spacing w:val="8"/>
                      <w:szCs w:val="21"/>
                    </w:rPr>
                    <w:t>测</w:t>
                  </w:r>
                </w:p>
              </w:tc>
              <w:tc>
                <w:tcPr>
                  <w:tcW w:w="3038" w:type="dxa"/>
                  <w:vAlign w:val="center"/>
                </w:tcPr>
                <w:p w14:paraId="5019AE2E">
                  <w:pPr>
                    <w:widowControl/>
                    <w:jc w:val="center"/>
                    <w:textAlignment w:val="center"/>
                    <w:rPr>
                      <w:color w:val="auto"/>
                      <w:szCs w:val="21"/>
                    </w:rPr>
                  </w:pPr>
                  <w:r>
                    <w:rPr>
                      <w:rFonts w:hint="eastAsia"/>
                      <w:color w:val="auto"/>
                      <w:kern w:val="0"/>
                      <w:szCs w:val="21"/>
                      <w:highlight w:val="none"/>
                      <w:lang w:val="en-US" w:eastAsia="zh-CN" w:bidi="ar"/>
                    </w:rPr>
                    <w:t>33</w:t>
                  </w:r>
                  <w:r>
                    <w:rPr>
                      <w:color w:val="auto"/>
                      <w:kern w:val="0"/>
                      <w:szCs w:val="21"/>
                      <w:highlight w:val="none"/>
                      <w:lang w:bidi="ar"/>
                    </w:rPr>
                    <w:t>00</w:t>
                  </w:r>
                </w:p>
              </w:tc>
            </w:tr>
            <w:tr w14:paraId="0FC752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shd w:val="clear" w:color="auto" w:fill="auto"/>
                  <w:vAlign w:val="center"/>
                </w:tcPr>
                <w:p w14:paraId="229CCE67">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4685" w:type="dxa"/>
                  <w:vAlign w:val="center"/>
                </w:tcPr>
                <w:p w14:paraId="7E35F528">
                  <w:pPr>
                    <w:jc w:val="center"/>
                    <w:rPr>
                      <w:color w:val="auto"/>
                      <w:spacing w:val="9"/>
                      <w:szCs w:val="21"/>
                    </w:rPr>
                  </w:pPr>
                  <w:r>
                    <w:rPr>
                      <w:rFonts w:hint="eastAsia"/>
                      <w:color w:val="auto"/>
                      <w:spacing w:val="9"/>
                      <w:szCs w:val="21"/>
                      <w:lang w:eastAsia="zh-CN"/>
                    </w:rPr>
                    <w:t>含油</w:t>
                  </w:r>
                  <w:r>
                    <w:rPr>
                      <w:color w:val="auto"/>
                      <w:spacing w:val="9"/>
                      <w:szCs w:val="21"/>
                    </w:rPr>
                    <w:t>废水水质监</w:t>
                  </w:r>
                  <w:r>
                    <w:rPr>
                      <w:color w:val="auto"/>
                      <w:spacing w:val="8"/>
                      <w:szCs w:val="21"/>
                    </w:rPr>
                    <w:t>测</w:t>
                  </w:r>
                </w:p>
              </w:tc>
              <w:tc>
                <w:tcPr>
                  <w:tcW w:w="3038" w:type="dxa"/>
                  <w:vAlign w:val="center"/>
                </w:tcPr>
                <w:p w14:paraId="5F621FF8">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2100</w:t>
                  </w:r>
                </w:p>
              </w:tc>
            </w:tr>
            <w:tr w14:paraId="03D387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shd w:val="clear" w:color="auto" w:fill="auto"/>
                  <w:vAlign w:val="center"/>
                </w:tcPr>
                <w:p w14:paraId="4AB6494B">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3</w:t>
                  </w:r>
                </w:p>
              </w:tc>
              <w:tc>
                <w:tcPr>
                  <w:tcW w:w="4685" w:type="dxa"/>
                  <w:vAlign w:val="center"/>
                </w:tcPr>
                <w:p w14:paraId="4E26A5E6">
                  <w:pPr>
                    <w:jc w:val="center"/>
                    <w:rPr>
                      <w:color w:val="auto"/>
                      <w:szCs w:val="21"/>
                    </w:rPr>
                  </w:pPr>
                  <w:r>
                    <w:rPr>
                      <w:color w:val="auto"/>
                      <w:spacing w:val="11"/>
                      <w:szCs w:val="21"/>
                    </w:rPr>
                    <w:t>生</w:t>
                  </w:r>
                  <w:r>
                    <w:rPr>
                      <w:color w:val="auto"/>
                      <w:spacing w:val="8"/>
                      <w:szCs w:val="21"/>
                    </w:rPr>
                    <w:t>活污水水质监测</w:t>
                  </w:r>
                </w:p>
              </w:tc>
              <w:tc>
                <w:tcPr>
                  <w:tcW w:w="3038" w:type="dxa"/>
                  <w:vAlign w:val="center"/>
                </w:tcPr>
                <w:p w14:paraId="3BB758B9">
                  <w:pPr>
                    <w:widowControl/>
                    <w:jc w:val="center"/>
                    <w:textAlignment w:val="center"/>
                    <w:rPr>
                      <w:color w:val="auto"/>
                      <w:szCs w:val="21"/>
                    </w:rPr>
                  </w:pPr>
                  <w:r>
                    <w:rPr>
                      <w:rFonts w:hint="eastAsia"/>
                      <w:color w:val="auto"/>
                      <w:kern w:val="0"/>
                      <w:szCs w:val="21"/>
                      <w:lang w:bidi="ar"/>
                    </w:rPr>
                    <w:t>59</w:t>
                  </w:r>
                  <w:r>
                    <w:rPr>
                      <w:color w:val="auto"/>
                      <w:kern w:val="0"/>
                      <w:szCs w:val="21"/>
                      <w:lang w:bidi="ar"/>
                    </w:rPr>
                    <w:t>00</w:t>
                  </w:r>
                </w:p>
              </w:tc>
            </w:tr>
            <w:tr w14:paraId="47767A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shd w:val="clear" w:color="auto" w:fill="auto"/>
                  <w:vAlign w:val="center"/>
                </w:tcPr>
                <w:p w14:paraId="650E8297">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4</w:t>
                  </w:r>
                </w:p>
              </w:tc>
              <w:tc>
                <w:tcPr>
                  <w:tcW w:w="4685" w:type="dxa"/>
                  <w:vAlign w:val="center"/>
                </w:tcPr>
                <w:p w14:paraId="78B4CBFE">
                  <w:pPr>
                    <w:jc w:val="center"/>
                    <w:rPr>
                      <w:color w:val="auto"/>
                      <w:szCs w:val="21"/>
                    </w:rPr>
                  </w:pPr>
                  <w:r>
                    <w:rPr>
                      <w:color w:val="auto"/>
                      <w:spacing w:val="10"/>
                      <w:szCs w:val="21"/>
                    </w:rPr>
                    <w:t>河</w:t>
                  </w:r>
                  <w:r>
                    <w:rPr>
                      <w:color w:val="auto"/>
                      <w:spacing w:val="8"/>
                      <w:szCs w:val="21"/>
                    </w:rPr>
                    <w:t>道水质监测</w:t>
                  </w:r>
                </w:p>
              </w:tc>
              <w:tc>
                <w:tcPr>
                  <w:tcW w:w="3038" w:type="dxa"/>
                  <w:vAlign w:val="center"/>
                </w:tcPr>
                <w:p w14:paraId="4B02DA1D">
                  <w:pPr>
                    <w:widowControl/>
                    <w:jc w:val="center"/>
                    <w:textAlignment w:val="center"/>
                    <w:rPr>
                      <w:color w:val="auto"/>
                      <w:szCs w:val="21"/>
                    </w:rPr>
                  </w:pPr>
                  <w:r>
                    <w:rPr>
                      <w:color w:val="auto"/>
                      <w:kern w:val="0"/>
                      <w:szCs w:val="21"/>
                      <w:lang w:bidi="ar"/>
                    </w:rPr>
                    <w:t>10500</w:t>
                  </w:r>
                </w:p>
              </w:tc>
            </w:tr>
            <w:tr w14:paraId="0D9995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shd w:val="clear" w:color="auto" w:fill="auto"/>
                  <w:vAlign w:val="center"/>
                </w:tcPr>
                <w:p w14:paraId="274E2202">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5</w:t>
                  </w:r>
                </w:p>
              </w:tc>
              <w:tc>
                <w:tcPr>
                  <w:tcW w:w="4685" w:type="dxa"/>
                  <w:vAlign w:val="center"/>
                </w:tcPr>
                <w:p w14:paraId="7B7B7FAA">
                  <w:pPr>
                    <w:jc w:val="center"/>
                    <w:rPr>
                      <w:color w:val="auto"/>
                      <w:szCs w:val="21"/>
                    </w:rPr>
                  </w:pPr>
                  <w:r>
                    <w:rPr>
                      <w:color w:val="auto"/>
                      <w:spacing w:val="8"/>
                      <w:szCs w:val="21"/>
                    </w:rPr>
                    <w:t>地下水监测</w:t>
                  </w:r>
                </w:p>
              </w:tc>
              <w:tc>
                <w:tcPr>
                  <w:tcW w:w="3038" w:type="dxa"/>
                  <w:vAlign w:val="center"/>
                </w:tcPr>
                <w:p w14:paraId="4BDD8DE6">
                  <w:pPr>
                    <w:widowControl/>
                    <w:jc w:val="center"/>
                    <w:textAlignment w:val="center"/>
                    <w:rPr>
                      <w:color w:val="auto"/>
                      <w:szCs w:val="21"/>
                    </w:rPr>
                  </w:pPr>
                  <w:r>
                    <w:rPr>
                      <w:rFonts w:hint="eastAsia"/>
                      <w:color w:val="auto"/>
                      <w:kern w:val="0"/>
                      <w:szCs w:val="21"/>
                      <w:lang w:bidi="ar"/>
                    </w:rPr>
                    <w:t>121</w:t>
                  </w:r>
                  <w:r>
                    <w:rPr>
                      <w:color w:val="auto"/>
                      <w:kern w:val="0"/>
                      <w:szCs w:val="21"/>
                      <w:lang w:bidi="ar"/>
                    </w:rPr>
                    <w:t>00</w:t>
                  </w:r>
                </w:p>
              </w:tc>
            </w:tr>
            <w:tr w14:paraId="32F613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shd w:val="clear" w:color="auto" w:fill="auto"/>
                  <w:vAlign w:val="center"/>
                </w:tcPr>
                <w:p w14:paraId="57FD03BD">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6</w:t>
                  </w:r>
                </w:p>
              </w:tc>
              <w:tc>
                <w:tcPr>
                  <w:tcW w:w="4685" w:type="dxa"/>
                  <w:vAlign w:val="center"/>
                </w:tcPr>
                <w:p w14:paraId="2085576F">
                  <w:pPr>
                    <w:jc w:val="center"/>
                    <w:rPr>
                      <w:color w:val="auto"/>
                      <w:szCs w:val="21"/>
                    </w:rPr>
                  </w:pPr>
                  <w:r>
                    <w:rPr>
                      <w:color w:val="auto"/>
                      <w:spacing w:val="5"/>
                      <w:szCs w:val="21"/>
                    </w:rPr>
                    <w:t>噪声监</w:t>
                  </w:r>
                  <w:r>
                    <w:rPr>
                      <w:color w:val="auto"/>
                      <w:spacing w:val="4"/>
                      <w:szCs w:val="21"/>
                    </w:rPr>
                    <w:t>测</w:t>
                  </w:r>
                </w:p>
              </w:tc>
              <w:tc>
                <w:tcPr>
                  <w:tcW w:w="3038" w:type="dxa"/>
                  <w:vAlign w:val="center"/>
                </w:tcPr>
                <w:p w14:paraId="3677F4C6">
                  <w:pPr>
                    <w:widowControl/>
                    <w:jc w:val="center"/>
                    <w:textAlignment w:val="center"/>
                    <w:rPr>
                      <w:color w:val="auto"/>
                      <w:szCs w:val="21"/>
                    </w:rPr>
                  </w:pPr>
                  <w:r>
                    <w:rPr>
                      <w:rFonts w:hint="eastAsia"/>
                      <w:color w:val="auto"/>
                      <w:kern w:val="0"/>
                      <w:szCs w:val="21"/>
                      <w:lang w:bidi="ar"/>
                    </w:rPr>
                    <w:t>3</w:t>
                  </w:r>
                  <w:r>
                    <w:rPr>
                      <w:color w:val="auto"/>
                      <w:kern w:val="0"/>
                      <w:szCs w:val="21"/>
                      <w:lang w:bidi="ar"/>
                    </w:rPr>
                    <w:t>200</w:t>
                  </w:r>
                </w:p>
              </w:tc>
            </w:tr>
            <w:tr w14:paraId="14BE48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254EE30A">
                  <w:pPr>
                    <w:jc w:val="center"/>
                    <w:rPr>
                      <w:rFonts w:hint="default" w:eastAsia="宋体"/>
                      <w:color w:val="auto"/>
                      <w:szCs w:val="21"/>
                      <w:lang w:val="en-US" w:eastAsia="zh-CN"/>
                    </w:rPr>
                  </w:pPr>
                  <w:r>
                    <w:rPr>
                      <w:rFonts w:hint="eastAsia"/>
                      <w:color w:val="auto"/>
                      <w:szCs w:val="21"/>
                      <w:lang w:val="en-US" w:eastAsia="zh-CN"/>
                    </w:rPr>
                    <w:t>7</w:t>
                  </w:r>
                </w:p>
              </w:tc>
              <w:tc>
                <w:tcPr>
                  <w:tcW w:w="4685" w:type="dxa"/>
                  <w:vAlign w:val="center"/>
                </w:tcPr>
                <w:p w14:paraId="5E68B259">
                  <w:pPr>
                    <w:jc w:val="center"/>
                    <w:rPr>
                      <w:color w:val="auto"/>
                      <w:szCs w:val="21"/>
                    </w:rPr>
                  </w:pPr>
                  <w:r>
                    <w:rPr>
                      <w:color w:val="auto"/>
                      <w:spacing w:val="8"/>
                      <w:szCs w:val="21"/>
                    </w:rPr>
                    <w:t>大气质量监</w:t>
                  </w:r>
                  <w:r>
                    <w:rPr>
                      <w:color w:val="auto"/>
                      <w:spacing w:val="7"/>
                      <w:szCs w:val="21"/>
                    </w:rPr>
                    <w:t>测</w:t>
                  </w:r>
                </w:p>
              </w:tc>
              <w:tc>
                <w:tcPr>
                  <w:tcW w:w="3038" w:type="dxa"/>
                  <w:vAlign w:val="center"/>
                </w:tcPr>
                <w:p w14:paraId="718EF79D">
                  <w:pPr>
                    <w:widowControl/>
                    <w:jc w:val="center"/>
                    <w:textAlignment w:val="center"/>
                    <w:rPr>
                      <w:color w:val="auto"/>
                      <w:szCs w:val="21"/>
                    </w:rPr>
                  </w:pPr>
                  <w:r>
                    <w:rPr>
                      <w:rFonts w:hint="eastAsia"/>
                      <w:color w:val="auto"/>
                      <w:kern w:val="0"/>
                      <w:szCs w:val="21"/>
                      <w:lang w:bidi="ar"/>
                    </w:rPr>
                    <w:t>120</w:t>
                  </w:r>
                  <w:r>
                    <w:rPr>
                      <w:color w:val="auto"/>
                      <w:kern w:val="0"/>
                      <w:szCs w:val="21"/>
                      <w:lang w:bidi="ar"/>
                    </w:rPr>
                    <w:t>00</w:t>
                  </w:r>
                </w:p>
              </w:tc>
            </w:tr>
            <w:tr w14:paraId="050546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62FCE486">
                  <w:pPr>
                    <w:jc w:val="center"/>
                    <w:rPr>
                      <w:color w:val="auto"/>
                      <w:szCs w:val="21"/>
                    </w:rPr>
                  </w:pPr>
                  <w:r>
                    <w:rPr>
                      <w:color w:val="auto"/>
                      <w:szCs w:val="21"/>
                    </w:rPr>
                    <w:t>二</w:t>
                  </w:r>
                </w:p>
              </w:tc>
              <w:tc>
                <w:tcPr>
                  <w:tcW w:w="4685" w:type="dxa"/>
                  <w:vAlign w:val="center"/>
                </w:tcPr>
                <w:p w14:paraId="1AD7DE05">
                  <w:pPr>
                    <w:jc w:val="center"/>
                    <w:rPr>
                      <w:color w:val="auto"/>
                      <w:szCs w:val="21"/>
                    </w:rPr>
                  </w:pPr>
                  <w:r>
                    <w:rPr>
                      <w:color w:val="auto"/>
                      <w:spacing w:val="10"/>
                      <w:szCs w:val="21"/>
                    </w:rPr>
                    <w:t>第二部分：环境保护临时措施</w:t>
                  </w:r>
                </w:p>
              </w:tc>
              <w:tc>
                <w:tcPr>
                  <w:tcW w:w="3038" w:type="dxa"/>
                  <w:vAlign w:val="center"/>
                </w:tcPr>
                <w:p w14:paraId="666D2A86">
                  <w:pPr>
                    <w:jc w:val="center"/>
                    <w:rPr>
                      <w:color w:val="auto"/>
                      <w:szCs w:val="21"/>
                    </w:rPr>
                  </w:pPr>
                  <w:r>
                    <w:rPr>
                      <w:rFonts w:hint="eastAsia"/>
                      <w:b/>
                      <w:bCs/>
                      <w:color w:val="auto"/>
                      <w:szCs w:val="21"/>
                    </w:rPr>
                    <w:t>4959000</w:t>
                  </w:r>
                </w:p>
              </w:tc>
            </w:tr>
            <w:tr w14:paraId="16C98F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3661EA9D">
                  <w:pPr>
                    <w:jc w:val="center"/>
                    <w:rPr>
                      <w:color w:val="auto"/>
                      <w:szCs w:val="21"/>
                    </w:rPr>
                  </w:pPr>
                  <w:r>
                    <w:rPr>
                      <w:color w:val="auto"/>
                      <w:szCs w:val="21"/>
                    </w:rPr>
                    <w:t>1</w:t>
                  </w:r>
                </w:p>
              </w:tc>
              <w:tc>
                <w:tcPr>
                  <w:tcW w:w="4685" w:type="dxa"/>
                  <w:vAlign w:val="center"/>
                </w:tcPr>
                <w:p w14:paraId="657260B3">
                  <w:pPr>
                    <w:jc w:val="center"/>
                    <w:rPr>
                      <w:color w:val="auto"/>
                      <w:szCs w:val="21"/>
                    </w:rPr>
                  </w:pPr>
                  <w:r>
                    <w:rPr>
                      <w:color w:val="auto"/>
                      <w:spacing w:val="8"/>
                      <w:szCs w:val="21"/>
                    </w:rPr>
                    <w:t>废水处理设施（</w:t>
                  </w:r>
                  <w:r>
                    <w:rPr>
                      <w:color w:val="auto"/>
                      <w:spacing w:val="6"/>
                      <w:szCs w:val="21"/>
                    </w:rPr>
                    <w:t>沉淀池、</w:t>
                  </w:r>
                  <w:r>
                    <w:rPr>
                      <w:color w:val="auto"/>
                      <w:spacing w:val="3"/>
                      <w:szCs w:val="21"/>
                    </w:rPr>
                    <w:t>隔油</w:t>
                  </w:r>
                  <w:r>
                    <w:rPr>
                      <w:color w:val="auto"/>
                      <w:spacing w:val="2"/>
                      <w:szCs w:val="21"/>
                    </w:rPr>
                    <w:t>池、</w:t>
                  </w:r>
                  <w:r>
                    <w:rPr>
                      <w:color w:val="auto"/>
                      <w:spacing w:val="8"/>
                      <w:szCs w:val="21"/>
                    </w:rPr>
                    <w:t>环</w:t>
                  </w:r>
                  <w:r>
                    <w:rPr>
                      <w:color w:val="auto"/>
                      <w:spacing w:val="7"/>
                      <w:szCs w:val="21"/>
                    </w:rPr>
                    <w:t>保厕所等</w:t>
                  </w:r>
                  <w:r>
                    <w:rPr>
                      <w:color w:val="auto"/>
                      <w:spacing w:val="8"/>
                      <w:szCs w:val="21"/>
                    </w:rPr>
                    <w:t>）</w:t>
                  </w:r>
                </w:p>
              </w:tc>
              <w:tc>
                <w:tcPr>
                  <w:tcW w:w="3038" w:type="dxa"/>
                  <w:vAlign w:val="center"/>
                </w:tcPr>
                <w:p w14:paraId="6FF4A0CB">
                  <w:pPr>
                    <w:jc w:val="center"/>
                    <w:rPr>
                      <w:color w:val="auto"/>
                      <w:szCs w:val="21"/>
                    </w:rPr>
                  </w:pPr>
                  <w:r>
                    <w:rPr>
                      <w:rFonts w:hint="eastAsia"/>
                      <w:color w:val="auto"/>
                      <w:szCs w:val="21"/>
                    </w:rPr>
                    <w:t>24</w:t>
                  </w:r>
                  <w:r>
                    <w:rPr>
                      <w:color w:val="auto"/>
                      <w:szCs w:val="21"/>
                    </w:rPr>
                    <w:t>000</w:t>
                  </w:r>
                </w:p>
              </w:tc>
            </w:tr>
            <w:tr w14:paraId="715AEB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4DA31418">
                  <w:pPr>
                    <w:jc w:val="center"/>
                    <w:rPr>
                      <w:color w:val="auto"/>
                      <w:szCs w:val="21"/>
                    </w:rPr>
                  </w:pPr>
                  <w:r>
                    <w:rPr>
                      <w:color w:val="auto"/>
                      <w:szCs w:val="21"/>
                    </w:rPr>
                    <w:t>2</w:t>
                  </w:r>
                </w:p>
              </w:tc>
              <w:tc>
                <w:tcPr>
                  <w:tcW w:w="4685" w:type="dxa"/>
                  <w:vAlign w:val="center"/>
                </w:tcPr>
                <w:p w14:paraId="0446C1E0">
                  <w:pPr>
                    <w:jc w:val="center"/>
                    <w:rPr>
                      <w:color w:val="auto"/>
                      <w:szCs w:val="21"/>
                    </w:rPr>
                  </w:pPr>
                  <w:r>
                    <w:rPr>
                      <w:color w:val="auto"/>
                      <w:spacing w:val="9"/>
                      <w:szCs w:val="21"/>
                    </w:rPr>
                    <w:t>环境空气保护（</w:t>
                  </w:r>
                  <w:r>
                    <w:rPr>
                      <w:color w:val="auto"/>
                      <w:spacing w:val="-6"/>
                      <w:szCs w:val="21"/>
                    </w:rPr>
                    <w:t>洒水车、围</w:t>
                  </w:r>
                  <w:r>
                    <w:rPr>
                      <w:color w:val="auto"/>
                      <w:spacing w:val="-4"/>
                      <w:szCs w:val="21"/>
                    </w:rPr>
                    <w:t>挡等</w:t>
                  </w:r>
                  <w:r>
                    <w:rPr>
                      <w:color w:val="auto"/>
                      <w:spacing w:val="9"/>
                      <w:szCs w:val="21"/>
                    </w:rPr>
                    <w:t>）</w:t>
                  </w:r>
                </w:p>
              </w:tc>
              <w:tc>
                <w:tcPr>
                  <w:tcW w:w="3038" w:type="dxa"/>
                  <w:vAlign w:val="center"/>
                </w:tcPr>
                <w:p w14:paraId="29886A18">
                  <w:pPr>
                    <w:widowControl/>
                    <w:jc w:val="center"/>
                    <w:textAlignment w:val="center"/>
                    <w:rPr>
                      <w:color w:val="auto"/>
                      <w:szCs w:val="21"/>
                    </w:rPr>
                  </w:pPr>
                  <w:r>
                    <w:rPr>
                      <w:rFonts w:hint="eastAsia"/>
                      <w:color w:val="auto"/>
                      <w:szCs w:val="21"/>
                    </w:rPr>
                    <w:t>20</w:t>
                  </w:r>
                  <w:r>
                    <w:rPr>
                      <w:color w:val="auto"/>
                      <w:szCs w:val="21"/>
                    </w:rPr>
                    <w:t>00000</w:t>
                  </w:r>
                </w:p>
              </w:tc>
            </w:tr>
            <w:tr w14:paraId="5EDDCD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480ED303">
                  <w:pPr>
                    <w:jc w:val="center"/>
                    <w:rPr>
                      <w:color w:val="auto"/>
                      <w:szCs w:val="21"/>
                    </w:rPr>
                  </w:pPr>
                  <w:r>
                    <w:rPr>
                      <w:color w:val="auto"/>
                      <w:szCs w:val="21"/>
                    </w:rPr>
                    <w:t>3</w:t>
                  </w:r>
                </w:p>
              </w:tc>
              <w:tc>
                <w:tcPr>
                  <w:tcW w:w="4685" w:type="dxa"/>
                  <w:vAlign w:val="center"/>
                </w:tcPr>
                <w:p w14:paraId="7BC1EB3C">
                  <w:pPr>
                    <w:jc w:val="center"/>
                    <w:rPr>
                      <w:color w:val="auto"/>
                      <w:szCs w:val="21"/>
                    </w:rPr>
                  </w:pPr>
                  <w:r>
                    <w:rPr>
                      <w:color w:val="auto"/>
                      <w:spacing w:val="6"/>
                      <w:szCs w:val="21"/>
                    </w:rPr>
                    <w:t>噪声防治</w:t>
                  </w:r>
                </w:p>
              </w:tc>
              <w:tc>
                <w:tcPr>
                  <w:tcW w:w="3038" w:type="dxa"/>
                  <w:vAlign w:val="center"/>
                </w:tcPr>
                <w:p w14:paraId="596A5222">
                  <w:pPr>
                    <w:widowControl/>
                    <w:jc w:val="center"/>
                    <w:textAlignment w:val="center"/>
                    <w:rPr>
                      <w:color w:val="auto"/>
                      <w:szCs w:val="21"/>
                    </w:rPr>
                  </w:pPr>
                  <w:r>
                    <w:rPr>
                      <w:rFonts w:hint="eastAsia"/>
                      <w:color w:val="auto"/>
                      <w:kern w:val="0"/>
                      <w:szCs w:val="21"/>
                      <w:lang w:bidi="ar"/>
                    </w:rPr>
                    <w:t>2</w:t>
                  </w:r>
                  <w:r>
                    <w:rPr>
                      <w:color w:val="auto"/>
                      <w:kern w:val="0"/>
                      <w:szCs w:val="21"/>
                      <w:lang w:bidi="ar"/>
                    </w:rPr>
                    <w:t>900000</w:t>
                  </w:r>
                </w:p>
              </w:tc>
            </w:tr>
            <w:tr w14:paraId="0278B7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7E245777">
                  <w:pPr>
                    <w:jc w:val="center"/>
                    <w:rPr>
                      <w:color w:val="auto"/>
                      <w:szCs w:val="21"/>
                    </w:rPr>
                  </w:pPr>
                  <w:r>
                    <w:rPr>
                      <w:color w:val="auto"/>
                      <w:szCs w:val="21"/>
                    </w:rPr>
                    <w:t>4</w:t>
                  </w:r>
                </w:p>
              </w:tc>
              <w:tc>
                <w:tcPr>
                  <w:tcW w:w="4685" w:type="dxa"/>
                  <w:vAlign w:val="center"/>
                </w:tcPr>
                <w:p w14:paraId="533C72FB">
                  <w:pPr>
                    <w:jc w:val="center"/>
                    <w:rPr>
                      <w:color w:val="auto"/>
                      <w:szCs w:val="21"/>
                    </w:rPr>
                  </w:pPr>
                  <w:r>
                    <w:rPr>
                      <w:color w:val="auto"/>
                      <w:spacing w:val="5"/>
                      <w:szCs w:val="21"/>
                    </w:rPr>
                    <w:t>固体废弃物</w:t>
                  </w:r>
                </w:p>
              </w:tc>
              <w:tc>
                <w:tcPr>
                  <w:tcW w:w="3038" w:type="dxa"/>
                  <w:vAlign w:val="center"/>
                </w:tcPr>
                <w:p w14:paraId="5113DFAC">
                  <w:pPr>
                    <w:widowControl/>
                    <w:jc w:val="center"/>
                    <w:textAlignment w:val="center"/>
                    <w:rPr>
                      <w:color w:val="auto"/>
                      <w:szCs w:val="21"/>
                    </w:rPr>
                  </w:pPr>
                  <w:r>
                    <w:rPr>
                      <w:rFonts w:hint="eastAsia"/>
                      <w:color w:val="auto"/>
                      <w:kern w:val="0"/>
                      <w:szCs w:val="21"/>
                      <w:lang w:bidi="ar"/>
                    </w:rPr>
                    <w:t>3</w:t>
                  </w:r>
                  <w:r>
                    <w:rPr>
                      <w:color w:val="auto"/>
                      <w:kern w:val="0"/>
                      <w:szCs w:val="21"/>
                      <w:lang w:bidi="ar"/>
                    </w:rPr>
                    <w:t>5000</w:t>
                  </w:r>
                </w:p>
              </w:tc>
            </w:tr>
            <w:tr w14:paraId="6A5C53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803" w:type="dxa"/>
                  <w:vAlign w:val="center"/>
                </w:tcPr>
                <w:p w14:paraId="6C18368D">
                  <w:pPr>
                    <w:jc w:val="center"/>
                    <w:rPr>
                      <w:color w:val="auto"/>
                      <w:szCs w:val="21"/>
                    </w:rPr>
                  </w:pPr>
                  <w:r>
                    <w:rPr>
                      <w:color w:val="auto"/>
                      <w:szCs w:val="21"/>
                    </w:rPr>
                    <w:t>三</w:t>
                  </w:r>
                </w:p>
              </w:tc>
              <w:tc>
                <w:tcPr>
                  <w:tcW w:w="4685" w:type="dxa"/>
                  <w:vAlign w:val="center"/>
                </w:tcPr>
                <w:p w14:paraId="77F1AD11">
                  <w:pPr>
                    <w:jc w:val="center"/>
                    <w:rPr>
                      <w:color w:val="auto"/>
                      <w:spacing w:val="10"/>
                      <w:szCs w:val="21"/>
                    </w:rPr>
                  </w:pPr>
                  <w:r>
                    <w:rPr>
                      <w:color w:val="auto"/>
                      <w:spacing w:val="10"/>
                      <w:szCs w:val="21"/>
                    </w:rPr>
                    <w:t>第三部分：其他费用</w:t>
                  </w:r>
                </w:p>
              </w:tc>
              <w:tc>
                <w:tcPr>
                  <w:tcW w:w="3038" w:type="dxa"/>
                  <w:vAlign w:val="center"/>
                </w:tcPr>
                <w:p w14:paraId="0D896109">
                  <w:pPr>
                    <w:jc w:val="center"/>
                    <w:rPr>
                      <w:color w:val="auto"/>
                      <w:spacing w:val="2"/>
                      <w:szCs w:val="21"/>
                    </w:rPr>
                  </w:pPr>
                  <w:r>
                    <w:rPr>
                      <w:rFonts w:hint="eastAsia"/>
                      <w:b/>
                      <w:bCs/>
                      <w:color w:val="auto"/>
                      <w:spacing w:val="2"/>
                      <w:szCs w:val="21"/>
                    </w:rPr>
                    <w:t>26</w:t>
                  </w:r>
                  <w:r>
                    <w:rPr>
                      <w:b/>
                      <w:bCs/>
                      <w:color w:val="auto"/>
                      <w:spacing w:val="2"/>
                      <w:szCs w:val="21"/>
                    </w:rPr>
                    <w:t>00000</w:t>
                  </w:r>
                </w:p>
              </w:tc>
            </w:tr>
            <w:tr w14:paraId="74689A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7" w:hRule="atLeast"/>
              </w:trPr>
              <w:tc>
                <w:tcPr>
                  <w:tcW w:w="803" w:type="dxa"/>
                  <w:vAlign w:val="center"/>
                </w:tcPr>
                <w:p w14:paraId="72FBA53E">
                  <w:pPr>
                    <w:jc w:val="center"/>
                    <w:rPr>
                      <w:color w:val="auto"/>
                      <w:position w:val="1"/>
                      <w:szCs w:val="21"/>
                    </w:rPr>
                  </w:pPr>
                </w:p>
              </w:tc>
              <w:tc>
                <w:tcPr>
                  <w:tcW w:w="4685" w:type="dxa"/>
                  <w:vAlign w:val="center"/>
                </w:tcPr>
                <w:p w14:paraId="3AFF3CA0">
                  <w:pPr>
                    <w:jc w:val="center"/>
                    <w:rPr>
                      <w:color w:val="auto"/>
                      <w:spacing w:val="9"/>
                      <w:szCs w:val="21"/>
                    </w:rPr>
                  </w:pPr>
                  <w:r>
                    <w:rPr>
                      <w:color w:val="auto"/>
                      <w:spacing w:val="13"/>
                      <w:szCs w:val="21"/>
                    </w:rPr>
                    <w:t>环</w:t>
                  </w:r>
                  <w:r>
                    <w:rPr>
                      <w:color w:val="auto"/>
                      <w:spacing w:val="9"/>
                      <w:szCs w:val="21"/>
                    </w:rPr>
                    <w:t>境保护工程投资</w:t>
                  </w:r>
                </w:p>
              </w:tc>
              <w:tc>
                <w:tcPr>
                  <w:tcW w:w="3038" w:type="dxa"/>
                  <w:vAlign w:val="center"/>
                </w:tcPr>
                <w:p w14:paraId="6CC59EC3">
                  <w:pPr>
                    <w:jc w:val="center"/>
                    <w:rPr>
                      <w:color w:val="auto"/>
                      <w:spacing w:val="2"/>
                      <w:szCs w:val="21"/>
                    </w:rPr>
                  </w:pPr>
                  <w:r>
                    <w:rPr>
                      <w:rFonts w:hint="eastAsia"/>
                      <w:color w:val="auto"/>
                      <w:spacing w:val="2"/>
                      <w:szCs w:val="21"/>
                    </w:rPr>
                    <w:t>591.61</w:t>
                  </w:r>
                </w:p>
              </w:tc>
            </w:tr>
          </w:tbl>
          <w:p w14:paraId="2DBDF632">
            <w:pPr>
              <w:adjustRightInd w:val="0"/>
              <w:snapToGrid w:val="0"/>
              <w:rPr>
                <w:bCs/>
                <w:color w:val="auto"/>
                <w:spacing w:val="10"/>
                <w:szCs w:val="21"/>
              </w:rPr>
            </w:pPr>
          </w:p>
        </w:tc>
      </w:tr>
    </w:tbl>
    <w:p w14:paraId="1FDA04B9">
      <w:pPr>
        <w:rPr>
          <w:color w:val="auto"/>
          <w:highlight w:val="yellow"/>
        </w:rPr>
        <w:sectPr>
          <w:pgSz w:w="11905" w:h="16838"/>
          <w:pgMar w:top="1417" w:right="1417" w:bottom="1417" w:left="1417" w:header="851" w:footer="1077" w:gutter="0"/>
          <w:cols w:space="720" w:num="1"/>
          <w:docGrid w:linePitch="312" w:charSpace="0"/>
        </w:sectPr>
      </w:pPr>
    </w:p>
    <w:p w14:paraId="09F3EDA6">
      <w:pPr>
        <w:pStyle w:val="17"/>
        <w:spacing w:before="120" w:beforeLines="50" w:beforeAutospacing="0" w:after="120"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六、生态环境保护措施监督检查清单</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2333"/>
        <w:gridCol w:w="2153"/>
        <w:gridCol w:w="1713"/>
        <w:gridCol w:w="1841"/>
      </w:tblGrid>
      <w:tr w14:paraId="12A12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71" w:type="pct"/>
            <w:vMerge w:val="restart"/>
            <w:tcBorders>
              <w:tl2br w:val="single" w:color="auto" w:sz="4" w:space="0"/>
            </w:tcBorders>
          </w:tcPr>
          <w:p w14:paraId="6DF0B4DF">
            <w:pPr>
              <w:pStyle w:val="17"/>
              <w:adjustRightInd w:val="0"/>
              <w:snapToGrid w:val="0"/>
              <w:spacing w:before="72" w:beforeLines="3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内容</w:t>
            </w:r>
          </w:p>
          <w:p w14:paraId="4657B85C">
            <w:pPr>
              <w:pStyle w:val="17"/>
              <w:adjustRightInd w:val="0"/>
              <w:snapToGrid w:val="0"/>
              <w:spacing w:before="0" w:beforeAutospacing="0" w:after="0" w:afterAutospacing="0" w:line="14" w:lineRule="auto"/>
              <w:outlineLvl w:val="0"/>
              <w:rPr>
                <w:rFonts w:hint="default" w:ascii="Times New Roman" w:hAnsi="Times New Roman" w:eastAsia="宋体" w:cs="Times New Roman"/>
                <w:color w:val="auto"/>
                <w:kern w:val="2"/>
                <w:sz w:val="21"/>
                <w:szCs w:val="21"/>
              </w:rPr>
            </w:pPr>
          </w:p>
          <w:p w14:paraId="2E488A3F">
            <w:pPr>
              <w:pStyle w:val="17"/>
              <w:adjustRightInd w:val="0"/>
              <w:snapToGrid w:val="0"/>
              <w:spacing w:before="0" w:beforeAutospacing="0" w:after="0" w:afterAutospacing="0"/>
              <w:outlineLvl w:val="0"/>
              <w:rPr>
                <w:rFonts w:hint="default" w:ascii="Times New Roman" w:hAnsi="Times New Roman" w:eastAsia="宋体" w:cs="Times New Roman"/>
                <w:color w:val="auto"/>
                <w:kern w:val="2"/>
                <w:sz w:val="21"/>
                <w:szCs w:val="21"/>
              </w:rPr>
            </w:pPr>
          </w:p>
          <w:p w14:paraId="2FEC7126">
            <w:pPr>
              <w:pStyle w:val="17"/>
              <w:adjustRightInd w:val="0"/>
              <w:snapToGrid w:val="0"/>
              <w:spacing w:before="0" w:beforeAutospacing="0" w:after="0" w:afterAutospacing="0"/>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要素</w:t>
            </w:r>
          </w:p>
        </w:tc>
        <w:tc>
          <w:tcPr>
            <w:tcW w:w="2415" w:type="pct"/>
            <w:gridSpan w:val="2"/>
            <w:vAlign w:val="center"/>
          </w:tcPr>
          <w:p w14:paraId="1CBD859D">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施工期</w:t>
            </w:r>
          </w:p>
        </w:tc>
        <w:tc>
          <w:tcPr>
            <w:tcW w:w="1913" w:type="pct"/>
            <w:gridSpan w:val="2"/>
            <w:vAlign w:val="center"/>
          </w:tcPr>
          <w:p w14:paraId="2DBBA477">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运营期</w:t>
            </w:r>
          </w:p>
        </w:tc>
      </w:tr>
      <w:tr w14:paraId="5A43F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671" w:type="pct"/>
            <w:vMerge w:val="continue"/>
          </w:tcPr>
          <w:p w14:paraId="4B698B52">
            <w:pPr>
              <w:pStyle w:val="17"/>
              <w:adjustRightInd w:val="0"/>
              <w:snapToGrid w:val="0"/>
              <w:spacing w:before="0" w:beforeAutospacing="0" w:after="0" w:afterAutospacing="0"/>
              <w:ind w:firstLine="840"/>
              <w:jc w:val="center"/>
              <w:outlineLvl w:val="0"/>
              <w:rPr>
                <w:rFonts w:hint="default" w:ascii="Times New Roman" w:hAnsi="Times New Roman" w:eastAsia="宋体" w:cs="Times New Roman"/>
                <w:color w:val="auto"/>
                <w:kern w:val="2"/>
                <w:sz w:val="21"/>
                <w:szCs w:val="21"/>
              </w:rPr>
            </w:pPr>
          </w:p>
        </w:tc>
        <w:tc>
          <w:tcPr>
            <w:tcW w:w="1256" w:type="pct"/>
            <w:vAlign w:val="center"/>
          </w:tcPr>
          <w:p w14:paraId="2B12A0AE">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环境保护措施</w:t>
            </w:r>
          </w:p>
        </w:tc>
        <w:tc>
          <w:tcPr>
            <w:tcW w:w="1159" w:type="pct"/>
            <w:vAlign w:val="center"/>
          </w:tcPr>
          <w:p w14:paraId="04AB0F87">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验收要求</w:t>
            </w:r>
          </w:p>
        </w:tc>
        <w:tc>
          <w:tcPr>
            <w:tcW w:w="922" w:type="pct"/>
            <w:vAlign w:val="center"/>
          </w:tcPr>
          <w:p w14:paraId="317F5921">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环境保护措施</w:t>
            </w:r>
          </w:p>
        </w:tc>
        <w:tc>
          <w:tcPr>
            <w:tcW w:w="991" w:type="pct"/>
            <w:vAlign w:val="center"/>
          </w:tcPr>
          <w:p w14:paraId="7D8B0B78">
            <w:pPr>
              <w:pStyle w:val="17"/>
              <w:adjustRightInd w:val="0"/>
              <w:snapToGrid w:val="0"/>
              <w:spacing w:before="0" w:beforeAutospacing="0" w:after="0" w:afterAutospacing="0"/>
              <w:jc w:val="center"/>
              <w:outlineLvl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验收要求</w:t>
            </w:r>
          </w:p>
        </w:tc>
      </w:tr>
      <w:tr w14:paraId="2B6E0A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7D15F48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陆生生态</w:t>
            </w:r>
          </w:p>
        </w:tc>
        <w:tc>
          <w:tcPr>
            <w:tcW w:w="1256" w:type="pct"/>
            <w:vAlign w:val="center"/>
          </w:tcPr>
          <w:p w14:paraId="4E5415D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合理规划施工，土石方应综合利用，避开雨季施工，</w:t>
            </w:r>
            <w:r>
              <w:rPr>
                <w:rFonts w:hint="default" w:ascii="Times New Roman" w:hAnsi="Times New Roman" w:eastAsia="宋体" w:cs="Times New Roman"/>
                <w:color w:val="auto"/>
                <w:spacing w:val="10"/>
                <w:sz w:val="21"/>
                <w:szCs w:val="21"/>
              </w:rPr>
              <w:t>工程完工后，及时清理施工现场，对施工迹地进行绿化，最大可能地</w:t>
            </w:r>
            <w:r>
              <w:rPr>
                <w:rFonts w:hint="default" w:ascii="Times New Roman" w:hAnsi="Times New Roman" w:eastAsia="宋体" w:cs="Times New Roman"/>
                <w:color w:val="auto"/>
                <w:spacing w:val="8"/>
                <w:sz w:val="21"/>
                <w:szCs w:val="21"/>
              </w:rPr>
              <w:t>恢</w:t>
            </w:r>
            <w:r>
              <w:rPr>
                <w:rFonts w:hint="default" w:ascii="Times New Roman" w:hAnsi="Times New Roman" w:eastAsia="宋体" w:cs="Times New Roman"/>
                <w:color w:val="auto"/>
                <w:spacing w:val="9"/>
                <w:sz w:val="21"/>
                <w:szCs w:val="21"/>
              </w:rPr>
              <w:t>复</w:t>
            </w:r>
            <w:r>
              <w:rPr>
                <w:rFonts w:hint="default" w:ascii="Times New Roman" w:hAnsi="Times New Roman" w:eastAsia="宋体" w:cs="Times New Roman"/>
                <w:color w:val="auto"/>
                <w:spacing w:val="7"/>
                <w:sz w:val="21"/>
                <w:szCs w:val="21"/>
              </w:rPr>
              <w:t>已被破坏的植被</w:t>
            </w:r>
          </w:p>
        </w:tc>
        <w:tc>
          <w:tcPr>
            <w:tcW w:w="1159" w:type="pct"/>
            <w:vAlign w:val="center"/>
          </w:tcPr>
          <w:p w14:paraId="0AD60D8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shd w:val="clear" w:color="auto" w:fill="auto"/>
            <w:vAlign w:val="center"/>
          </w:tcPr>
          <w:p w14:paraId="50D0DD23">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植被恢复，生物多样性恢复。</w:t>
            </w:r>
          </w:p>
        </w:tc>
        <w:tc>
          <w:tcPr>
            <w:tcW w:w="991" w:type="pct"/>
            <w:shd w:val="clear" w:color="auto" w:fill="auto"/>
            <w:vAlign w:val="center"/>
          </w:tcPr>
          <w:p w14:paraId="77C0684B">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达到或优于施工前水平。</w:t>
            </w:r>
          </w:p>
        </w:tc>
      </w:tr>
      <w:tr w14:paraId="7355CB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379A358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水生生态</w:t>
            </w:r>
          </w:p>
        </w:tc>
        <w:tc>
          <w:tcPr>
            <w:tcW w:w="1256" w:type="pct"/>
            <w:vAlign w:val="center"/>
          </w:tcPr>
          <w:p w14:paraId="320445A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分段施工，加强管理，避免施工过程中产生的各类污染物进入水体，避开雨季施工，</w:t>
            </w:r>
            <w:r>
              <w:rPr>
                <w:rFonts w:hint="default" w:ascii="Times New Roman" w:hAnsi="Times New Roman" w:eastAsia="宋体" w:cs="Times New Roman"/>
                <w:color w:val="auto"/>
                <w:spacing w:val="10"/>
                <w:sz w:val="21"/>
                <w:szCs w:val="21"/>
              </w:rPr>
              <w:t>在水</w:t>
            </w:r>
            <w:r>
              <w:rPr>
                <w:rFonts w:hint="default" w:ascii="Times New Roman" w:hAnsi="Times New Roman" w:eastAsia="宋体" w:cs="Times New Roman"/>
                <w:color w:val="auto"/>
                <w:spacing w:val="9"/>
                <w:sz w:val="21"/>
                <w:szCs w:val="21"/>
              </w:rPr>
              <w:t>域施</w:t>
            </w:r>
            <w:r>
              <w:rPr>
                <w:rFonts w:hint="default" w:ascii="Times New Roman" w:hAnsi="Times New Roman" w:eastAsia="宋体" w:cs="Times New Roman"/>
                <w:color w:val="auto"/>
                <w:spacing w:val="7"/>
                <w:sz w:val="21"/>
                <w:szCs w:val="21"/>
              </w:rPr>
              <w:t>工区移植优质沉水植物和移植投放螺类等底栖动物</w:t>
            </w:r>
          </w:p>
        </w:tc>
        <w:tc>
          <w:tcPr>
            <w:tcW w:w="1159" w:type="pct"/>
            <w:vAlign w:val="center"/>
          </w:tcPr>
          <w:p w14:paraId="68EFCCD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shd w:val="clear" w:color="auto" w:fill="auto"/>
            <w:vAlign w:val="center"/>
          </w:tcPr>
          <w:p w14:paraId="5292130B">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落实“河长制”制度，加强管理</w:t>
            </w:r>
          </w:p>
        </w:tc>
        <w:tc>
          <w:tcPr>
            <w:tcW w:w="991" w:type="pct"/>
            <w:shd w:val="clear" w:color="auto" w:fill="auto"/>
            <w:vAlign w:val="center"/>
          </w:tcPr>
          <w:p w14:paraId="48F17D03">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提高河道行洪能力，改善水环境</w:t>
            </w:r>
          </w:p>
        </w:tc>
      </w:tr>
      <w:tr w14:paraId="563A6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3D5EB88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256" w:type="pct"/>
            <w:vAlign w:val="center"/>
          </w:tcPr>
          <w:p w14:paraId="75DA29DF">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lang w:bidi="ar"/>
              </w:rPr>
              <w:t>混凝土养护废水设置简易沉淀池，经沉淀处理后回用于地面洒水降尘；</w:t>
            </w:r>
            <w:r>
              <w:rPr>
                <w:rFonts w:hint="default" w:ascii="Times New Roman" w:hAnsi="Times New Roman" w:eastAsia="宋体" w:cs="Times New Roman"/>
                <w:bCs/>
                <w:color w:val="auto"/>
                <w:kern w:val="0"/>
                <w:sz w:val="21"/>
                <w:szCs w:val="21"/>
                <w:highlight w:val="none"/>
                <w:lang w:bidi="ar"/>
              </w:rPr>
              <w:t>机械车辆冲洗废水</w:t>
            </w:r>
            <w:r>
              <w:rPr>
                <w:rFonts w:hint="default" w:ascii="Times New Roman" w:hAnsi="Times New Roman" w:eastAsia="宋体" w:cs="Times New Roman"/>
                <w:bCs/>
                <w:color w:val="auto"/>
                <w:kern w:val="0"/>
                <w:sz w:val="21"/>
                <w:szCs w:val="21"/>
                <w:highlight w:val="none"/>
                <w:lang w:eastAsia="zh-CN" w:bidi="ar"/>
              </w:rPr>
              <w:t>经</w:t>
            </w:r>
            <w:r>
              <w:rPr>
                <w:rFonts w:hint="eastAsia" w:cs="Times New Roman"/>
                <w:bCs/>
                <w:color w:val="auto"/>
                <w:kern w:val="0"/>
                <w:sz w:val="21"/>
                <w:szCs w:val="21"/>
                <w:highlight w:val="none"/>
                <w:lang w:eastAsia="zh-CN" w:bidi="ar"/>
              </w:rPr>
              <w:t>隔油</w:t>
            </w:r>
            <w:r>
              <w:rPr>
                <w:rFonts w:hint="default" w:ascii="Times New Roman" w:hAnsi="Times New Roman" w:eastAsia="宋体" w:cs="Times New Roman"/>
                <w:bCs/>
                <w:color w:val="auto"/>
                <w:kern w:val="0"/>
                <w:sz w:val="21"/>
                <w:szCs w:val="21"/>
                <w:highlight w:val="none"/>
                <w:lang w:eastAsia="zh-CN" w:bidi="ar"/>
              </w:rPr>
              <w:t>沉淀</w:t>
            </w:r>
            <w:r>
              <w:rPr>
                <w:rFonts w:hint="default" w:ascii="Times New Roman" w:hAnsi="Times New Roman" w:eastAsia="宋体" w:cs="Times New Roman"/>
                <w:color w:val="auto"/>
                <w:spacing w:val="7"/>
                <w:sz w:val="21"/>
                <w:szCs w:val="21"/>
                <w:highlight w:val="none"/>
              </w:rPr>
              <w:t>处理</w:t>
            </w:r>
            <w:r>
              <w:rPr>
                <w:rFonts w:hint="default" w:ascii="Times New Roman" w:hAnsi="Times New Roman" w:eastAsia="宋体" w:cs="Times New Roman"/>
                <w:color w:val="auto"/>
                <w:spacing w:val="4"/>
                <w:sz w:val="21"/>
                <w:szCs w:val="21"/>
                <w:highlight w:val="none"/>
              </w:rPr>
              <w:t>后</w:t>
            </w:r>
            <w:r>
              <w:rPr>
                <w:rFonts w:hint="eastAsia" w:ascii="Times New Roman" w:hAnsi="Times New Roman" w:eastAsia="宋体" w:cs="Times New Roman"/>
                <w:color w:val="auto"/>
                <w:spacing w:val="7"/>
                <w:szCs w:val="21"/>
                <w:highlight w:val="none"/>
                <w:lang w:eastAsia="zh-CN"/>
              </w:rPr>
              <w:t>可循环使用于施工机械及车辆清洗，多余部分作为施工场地防尘用水，不排放</w:t>
            </w:r>
            <w:r>
              <w:rPr>
                <w:rFonts w:hint="default" w:ascii="Times New Roman" w:hAnsi="Times New Roman" w:eastAsia="宋体" w:cs="Times New Roman"/>
                <w:color w:val="auto"/>
                <w:spacing w:val="-4"/>
                <w:sz w:val="21"/>
                <w:szCs w:val="21"/>
                <w:highlight w:val="none"/>
              </w:rPr>
              <w:t>；</w:t>
            </w:r>
            <w:r>
              <w:rPr>
                <w:rFonts w:hint="default" w:ascii="Times New Roman" w:hAnsi="Times New Roman" w:eastAsia="宋体" w:cs="Times New Roman"/>
                <w:color w:val="auto"/>
                <w:sz w:val="21"/>
                <w:szCs w:val="21"/>
              </w:rPr>
              <w:t>生活污水</w:t>
            </w:r>
            <w:r>
              <w:rPr>
                <w:rFonts w:hint="default" w:ascii="Times New Roman" w:hAnsi="Times New Roman" w:eastAsia="宋体" w:cs="Times New Roman"/>
                <w:bCs/>
                <w:color w:val="auto"/>
                <w:kern w:val="0"/>
                <w:sz w:val="21"/>
                <w:szCs w:val="21"/>
                <w:lang w:bidi="ar"/>
              </w:rPr>
              <w:t>定期由当地居民清运肥田。</w:t>
            </w:r>
          </w:p>
        </w:tc>
        <w:tc>
          <w:tcPr>
            <w:tcW w:w="1159" w:type="pct"/>
            <w:vAlign w:val="center"/>
          </w:tcPr>
          <w:p w14:paraId="4D85428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施工废水和生活污水经过上述合理处置后，地表水监测能够满足《地表水环境质量标准》（GB3838-2002）</w:t>
            </w:r>
            <w:r>
              <w:rPr>
                <w:rFonts w:hint="default" w:ascii="Times New Roman" w:hAnsi="Times New Roman" w:eastAsia="宋体" w:cs="Times New Roman"/>
                <w:color w:val="auto"/>
                <w:kern w:val="0"/>
                <w:sz w:val="21"/>
                <w:szCs w:val="21"/>
                <w:lang w:bidi="ar"/>
              </w:rPr>
              <w:fldChar w:fldCharType="begin"/>
            </w:r>
            <w:r>
              <w:rPr>
                <w:rFonts w:hint="default" w:ascii="Times New Roman" w:hAnsi="Times New Roman" w:eastAsia="宋体" w:cs="Times New Roman"/>
                <w:color w:val="auto"/>
                <w:kern w:val="0"/>
                <w:sz w:val="21"/>
                <w:szCs w:val="21"/>
                <w:lang w:bidi="ar"/>
              </w:rPr>
              <w:instrText xml:space="preserve"> = 4 \* ROMAN \* MERGEFORMAT </w:instrText>
            </w:r>
            <w:r>
              <w:rPr>
                <w:rFonts w:hint="default" w:ascii="Times New Roman" w:hAnsi="Times New Roman" w:eastAsia="宋体" w:cs="Times New Roman"/>
                <w:color w:val="auto"/>
                <w:kern w:val="0"/>
                <w:sz w:val="21"/>
                <w:szCs w:val="21"/>
                <w:lang w:bidi="ar"/>
              </w:rPr>
              <w:fldChar w:fldCharType="separate"/>
            </w:r>
            <w:r>
              <w:rPr>
                <w:rFonts w:hint="default" w:ascii="Times New Roman" w:hAnsi="Times New Roman" w:eastAsia="宋体" w:cs="Times New Roman"/>
                <w:color w:val="auto"/>
                <w:sz w:val="21"/>
                <w:szCs w:val="21"/>
              </w:rPr>
              <w:t>IV</w:t>
            </w:r>
            <w:r>
              <w:rPr>
                <w:rFonts w:hint="default" w:ascii="Times New Roman" w:hAnsi="Times New Roman" w:eastAsia="宋体" w:cs="Times New Roman"/>
                <w:color w:val="auto"/>
                <w:kern w:val="0"/>
                <w:sz w:val="21"/>
                <w:szCs w:val="21"/>
                <w:lang w:bidi="ar"/>
              </w:rPr>
              <w:fldChar w:fldCharType="end"/>
            </w:r>
            <w:r>
              <w:rPr>
                <w:rFonts w:hint="default" w:ascii="Times New Roman" w:hAnsi="Times New Roman" w:eastAsia="宋体" w:cs="Times New Roman"/>
                <w:color w:val="auto"/>
                <w:kern w:val="0"/>
                <w:sz w:val="21"/>
                <w:szCs w:val="21"/>
                <w:lang w:eastAsia="zh-CN" w:bidi="ar"/>
              </w:rPr>
              <w:t>和</w:t>
            </w:r>
            <w:r>
              <w:rPr>
                <w:rFonts w:hint="default" w:ascii="Times New Roman" w:hAnsi="Times New Roman" w:eastAsia="宋体" w:cs="Times New Roman"/>
                <w:color w:val="auto"/>
                <w:kern w:val="0"/>
                <w:sz w:val="21"/>
                <w:szCs w:val="21"/>
                <w:lang w:bidi="ar"/>
              </w:rPr>
              <w:t>V类水质标准</w:t>
            </w:r>
          </w:p>
        </w:tc>
        <w:tc>
          <w:tcPr>
            <w:tcW w:w="922" w:type="pct"/>
            <w:shd w:val="clear" w:color="auto" w:fill="auto"/>
            <w:vAlign w:val="center"/>
          </w:tcPr>
          <w:p w14:paraId="0C551753">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（1）根据项目水土保持方案，加强周围的植草绿化等水土保持工作，保护水源，减少泥沙和污染物的入河量。（2）定期进行水质监测</w:t>
            </w:r>
          </w:p>
        </w:tc>
        <w:tc>
          <w:tcPr>
            <w:tcW w:w="991" w:type="pct"/>
            <w:shd w:val="clear" w:color="auto" w:fill="auto"/>
            <w:vAlign w:val="center"/>
          </w:tcPr>
          <w:p w14:paraId="376C7111">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对水环境不产生明显不良影响</w:t>
            </w:r>
          </w:p>
        </w:tc>
      </w:tr>
      <w:tr w14:paraId="6854F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1AD6F81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地下水及土壤环境</w:t>
            </w:r>
          </w:p>
        </w:tc>
        <w:tc>
          <w:tcPr>
            <w:tcW w:w="1256" w:type="pct"/>
            <w:vAlign w:val="center"/>
          </w:tcPr>
          <w:p w14:paraId="43F7C80B">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lang w:val="en-US" w:eastAsia="zh-CN" w:bidi="ar"/>
              </w:rPr>
              <w:t>化粪池、</w:t>
            </w:r>
            <w:r>
              <w:rPr>
                <w:rFonts w:hint="eastAsia" w:cs="Times New Roman"/>
                <w:bCs/>
                <w:color w:val="auto"/>
                <w:kern w:val="0"/>
                <w:sz w:val="21"/>
                <w:szCs w:val="21"/>
                <w:lang w:val="en-US" w:eastAsia="zh-CN" w:bidi="ar"/>
              </w:rPr>
              <w:t>隔油池、</w:t>
            </w:r>
            <w:r>
              <w:rPr>
                <w:rFonts w:hint="default" w:ascii="Times New Roman" w:hAnsi="Times New Roman" w:eastAsia="宋体" w:cs="Times New Roman"/>
                <w:bCs/>
                <w:color w:val="auto"/>
                <w:kern w:val="0"/>
                <w:sz w:val="21"/>
                <w:szCs w:val="21"/>
                <w:lang w:val="en-US" w:eastAsia="zh-CN" w:bidi="ar"/>
              </w:rPr>
              <w:t>沉淀池</w:t>
            </w:r>
            <w:r>
              <w:rPr>
                <w:rFonts w:hint="default" w:ascii="Times New Roman" w:hAnsi="Times New Roman" w:eastAsia="宋体" w:cs="Times New Roman"/>
                <w:bCs/>
                <w:color w:val="auto"/>
                <w:kern w:val="0"/>
                <w:sz w:val="21"/>
                <w:szCs w:val="21"/>
                <w:lang w:bidi="ar"/>
              </w:rPr>
              <w:t>按照相关要求</w:t>
            </w:r>
            <w:r>
              <w:rPr>
                <w:rFonts w:hint="default" w:ascii="Times New Roman" w:hAnsi="Times New Roman" w:eastAsia="宋体" w:cs="Times New Roman"/>
                <w:bCs/>
                <w:color w:val="auto"/>
                <w:kern w:val="0"/>
                <w:sz w:val="21"/>
                <w:szCs w:val="21"/>
                <w:lang w:val="en-US" w:eastAsia="zh-CN" w:bidi="ar"/>
              </w:rPr>
              <w:t>采取严格</w:t>
            </w:r>
            <w:r>
              <w:rPr>
                <w:rFonts w:hint="default" w:ascii="Times New Roman" w:hAnsi="Times New Roman" w:eastAsia="宋体" w:cs="Times New Roman"/>
                <w:bCs/>
                <w:color w:val="auto"/>
                <w:kern w:val="0"/>
                <w:sz w:val="21"/>
                <w:szCs w:val="21"/>
                <w:lang w:bidi="ar"/>
              </w:rPr>
              <w:t>防渗</w:t>
            </w:r>
            <w:r>
              <w:rPr>
                <w:rFonts w:hint="default" w:ascii="Times New Roman" w:hAnsi="Times New Roman" w:eastAsia="宋体" w:cs="Times New Roman"/>
                <w:bCs/>
                <w:color w:val="auto"/>
                <w:kern w:val="0"/>
                <w:sz w:val="21"/>
                <w:szCs w:val="21"/>
                <w:lang w:val="en-US" w:eastAsia="zh-CN" w:bidi="ar"/>
              </w:rPr>
              <w:t>措施，工程竣工后，应尽快恢复原地貌</w:t>
            </w:r>
          </w:p>
        </w:tc>
        <w:tc>
          <w:tcPr>
            <w:tcW w:w="1159" w:type="pct"/>
            <w:shd w:val="clear" w:color="auto" w:fill="auto"/>
            <w:vAlign w:val="center"/>
          </w:tcPr>
          <w:p w14:paraId="13C2315B">
            <w:pPr>
              <w:adjustRightInd w:val="0"/>
              <w:snapToGrid w:val="0"/>
              <w:rPr>
                <w:rFonts w:hint="default" w:ascii="Times New Roman" w:hAnsi="Times New Roman" w:eastAsia="宋体" w:cs="Times New Roman"/>
                <w:bCs/>
                <w:color w:val="auto"/>
                <w:kern w:val="0"/>
                <w:sz w:val="21"/>
                <w:szCs w:val="21"/>
                <w:lang w:val="en-US" w:eastAsia="zh-CN" w:bidi="ar"/>
              </w:rPr>
            </w:pPr>
            <w:r>
              <w:rPr>
                <w:rFonts w:hint="default" w:ascii="Times New Roman" w:hAnsi="Times New Roman" w:eastAsia="宋体" w:cs="Times New Roman"/>
                <w:bCs/>
                <w:color w:val="auto"/>
                <w:kern w:val="0"/>
                <w:sz w:val="21"/>
                <w:szCs w:val="21"/>
                <w:lang w:val="en-US" w:eastAsia="zh-CN" w:bidi="ar"/>
              </w:rPr>
              <w:t>落实相关措施，周边地下水及土壤环境未造成污染</w:t>
            </w:r>
          </w:p>
        </w:tc>
        <w:tc>
          <w:tcPr>
            <w:tcW w:w="922" w:type="pct"/>
            <w:shd w:val="clear" w:color="auto" w:fill="auto"/>
            <w:vAlign w:val="center"/>
          </w:tcPr>
          <w:p w14:paraId="1BEC1DFE">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管理道路限制车速，禁止大型重型车辆在行驶，夜间禁止鸣笛</w:t>
            </w:r>
          </w:p>
        </w:tc>
        <w:tc>
          <w:tcPr>
            <w:tcW w:w="991" w:type="pct"/>
            <w:shd w:val="clear" w:color="auto" w:fill="auto"/>
            <w:vAlign w:val="center"/>
          </w:tcPr>
          <w:p w14:paraId="4C475A03">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224F48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1F68C64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256" w:type="pct"/>
            <w:vAlign w:val="center"/>
          </w:tcPr>
          <w:p w14:paraId="118B2F3E">
            <w:pPr>
              <w:widowControl/>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加强施工管理，合理安排施工时间，文明施工，</w:t>
            </w:r>
            <w:r>
              <w:rPr>
                <w:rFonts w:hint="default" w:ascii="Times New Roman" w:hAnsi="Times New Roman" w:eastAsia="宋体" w:cs="Times New Roman"/>
                <w:color w:val="auto"/>
                <w:sz w:val="21"/>
                <w:szCs w:val="21"/>
              </w:rPr>
              <w:t>采用低噪音设备，配备减震装置，避免同时施工，施工区域远离居民区</w:t>
            </w:r>
            <w:r>
              <w:rPr>
                <w:rFonts w:hint="default" w:ascii="Times New Roman" w:hAnsi="Times New Roman" w:eastAsia="宋体" w:cs="Times New Roman"/>
                <w:color w:val="auto"/>
                <w:kern w:val="0"/>
                <w:sz w:val="21"/>
                <w:szCs w:val="21"/>
                <w:lang w:bidi="ar"/>
              </w:rPr>
              <w:t>，绿化隔声，设置围挡，夜间不施工。</w:t>
            </w:r>
          </w:p>
        </w:tc>
        <w:tc>
          <w:tcPr>
            <w:tcW w:w="1159" w:type="pct"/>
            <w:vAlign w:val="center"/>
          </w:tcPr>
          <w:p w14:paraId="23A01FC3">
            <w:pPr>
              <w:widowControl/>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《建筑施工厂界噪声排放标准》（GB12523-2025）</w:t>
            </w:r>
          </w:p>
        </w:tc>
        <w:tc>
          <w:tcPr>
            <w:tcW w:w="922" w:type="pct"/>
            <w:vAlign w:val="center"/>
          </w:tcPr>
          <w:p w14:paraId="50EF453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1" w:type="pct"/>
            <w:vAlign w:val="center"/>
          </w:tcPr>
          <w:p w14:paraId="063E625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082FB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569EEB6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w:t>
            </w:r>
          </w:p>
        </w:tc>
        <w:tc>
          <w:tcPr>
            <w:tcW w:w="1256" w:type="pct"/>
            <w:vAlign w:val="center"/>
          </w:tcPr>
          <w:p w14:paraId="29B92E9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59" w:type="pct"/>
            <w:vAlign w:val="center"/>
          </w:tcPr>
          <w:p w14:paraId="403C8FAD">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shd w:val="clear" w:color="auto" w:fill="auto"/>
            <w:vAlign w:val="center"/>
          </w:tcPr>
          <w:p w14:paraId="6E60A441">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991" w:type="pct"/>
            <w:shd w:val="clear" w:color="auto" w:fill="auto"/>
            <w:vAlign w:val="center"/>
          </w:tcPr>
          <w:p w14:paraId="0C8A4B9A">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r>
      <w:tr w14:paraId="1BF35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71" w:type="pct"/>
            <w:vAlign w:val="center"/>
          </w:tcPr>
          <w:p w14:paraId="2BF0C20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256" w:type="pct"/>
            <w:vAlign w:val="center"/>
          </w:tcPr>
          <w:p w14:paraId="4E511BDA">
            <w:pPr>
              <w:widowControl/>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lang w:bidi="ar"/>
              </w:rPr>
              <w:t>适当洒水、加强管理、运输车辆篷布遮盖、设置围栏，加强施工管理、运输车辆安装尾气净化器，密闭车间，及时清理地面沉降粉尘，</w:t>
            </w:r>
            <w:r>
              <w:rPr>
                <w:rFonts w:hint="default" w:ascii="Times New Roman" w:hAnsi="Times New Roman" w:eastAsia="宋体" w:cs="Times New Roman"/>
                <w:color w:val="auto"/>
                <w:spacing w:val="-4"/>
                <w:sz w:val="21"/>
                <w:szCs w:val="21"/>
              </w:rPr>
              <w:t>缩短清淤施工时间等措施</w:t>
            </w:r>
          </w:p>
        </w:tc>
        <w:tc>
          <w:tcPr>
            <w:tcW w:w="1159" w:type="pct"/>
            <w:vAlign w:val="center"/>
          </w:tcPr>
          <w:p w14:paraId="18A65DB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《大气污染物综合排放标准》（GB16297-1996）、《恶臭污染物排放标准》（GB14554-93）</w:t>
            </w:r>
          </w:p>
        </w:tc>
        <w:tc>
          <w:tcPr>
            <w:tcW w:w="922" w:type="pct"/>
            <w:vAlign w:val="center"/>
          </w:tcPr>
          <w:p w14:paraId="41657E4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1" w:type="pct"/>
            <w:vAlign w:val="center"/>
          </w:tcPr>
          <w:p w14:paraId="6DA988D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7860C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1" w:type="pct"/>
            <w:vAlign w:val="center"/>
          </w:tcPr>
          <w:p w14:paraId="609B0FB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1256" w:type="pct"/>
            <w:vAlign w:val="center"/>
          </w:tcPr>
          <w:p w14:paraId="37B6F424">
            <w:pPr>
              <w:widowControl/>
              <w:rPr>
                <w:rFonts w:hint="default" w:ascii="Times New Roman" w:hAnsi="Times New Roman" w:eastAsia="宋体" w:cs="Times New Roman"/>
                <w:bCs/>
                <w:color w:val="auto"/>
                <w:kern w:val="0"/>
                <w:sz w:val="21"/>
                <w:szCs w:val="21"/>
                <w:lang w:bidi="ar"/>
              </w:rPr>
            </w:pPr>
            <w:r>
              <w:rPr>
                <w:rFonts w:hint="default" w:ascii="Times New Roman" w:hAnsi="Times New Roman" w:eastAsia="宋体" w:cs="Times New Roman"/>
                <w:color w:val="auto"/>
                <w:spacing w:val="-4"/>
                <w:sz w:val="21"/>
                <w:szCs w:val="21"/>
              </w:rPr>
              <w:t>建筑垃圾统一收集后，按照环卫部门的规定进行利用或者处置；项目清挖产生的土石方和淤泥</w:t>
            </w:r>
            <w:r>
              <w:rPr>
                <w:rFonts w:hint="default" w:ascii="Times New Roman" w:hAnsi="Times New Roman" w:eastAsia="宋体" w:cs="Times New Roman"/>
                <w:color w:val="auto"/>
                <w:spacing w:val="9"/>
                <w:sz w:val="21"/>
                <w:szCs w:val="21"/>
              </w:rPr>
              <w:t>按照环卫部门的规定进行利用或者处置；</w:t>
            </w:r>
            <w:r>
              <w:rPr>
                <w:rFonts w:hint="default" w:ascii="Times New Roman" w:hAnsi="Times New Roman" w:eastAsia="宋体" w:cs="Times New Roman"/>
                <w:bCs/>
                <w:color w:val="auto"/>
                <w:kern w:val="0"/>
                <w:sz w:val="21"/>
                <w:szCs w:val="21"/>
                <w:lang w:bidi="ar"/>
              </w:rPr>
              <w:t>生活垃圾集中收集委托环卫部门清运，河道垃圾统一收集后交由环卫部门清运，</w:t>
            </w:r>
            <w:r>
              <w:rPr>
                <w:rFonts w:hint="default" w:ascii="Times New Roman" w:hAnsi="Times New Roman" w:eastAsia="宋体" w:cs="Times New Roman"/>
                <w:bCs/>
                <w:color w:val="auto"/>
                <w:kern w:val="0"/>
                <w:sz w:val="21"/>
                <w:szCs w:val="21"/>
                <w:highlight w:val="none"/>
                <w:lang w:bidi="ar"/>
              </w:rPr>
              <w:t>危险废物暂存于危废暂存间内，待施工结束后委托有相应资质的单位处置。</w:t>
            </w:r>
          </w:p>
        </w:tc>
        <w:tc>
          <w:tcPr>
            <w:tcW w:w="1159" w:type="pct"/>
            <w:vAlign w:val="center"/>
          </w:tcPr>
          <w:p w14:paraId="00C0CAF2">
            <w:pPr>
              <w:widowControl/>
              <w:jc w:val="left"/>
              <w:rPr>
                <w:rFonts w:hint="default" w:ascii="Times New Roman" w:hAnsi="Times New Roman" w:eastAsia="宋体" w:cs="Times New Roman"/>
                <w:bCs/>
                <w:color w:val="auto"/>
                <w:kern w:val="0"/>
                <w:sz w:val="21"/>
                <w:szCs w:val="21"/>
                <w:lang w:bidi="ar"/>
              </w:rPr>
            </w:pPr>
            <w:r>
              <w:rPr>
                <w:rFonts w:hint="default" w:ascii="Times New Roman" w:hAnsi="Times New Roman" w:eastAsia="宋体" w:cs="Times New Roman"/>
                <w:bCs/>
                <w:color w:val="auto"/>
                <w:kern w:val="0"/>
                <w:sz w:val="21"/>
                <w:szCs w:val="21"/>
                <w:lang w:bidi="ar"/>
              </w:rPr>
              <w:t>100</w:t>
            </w:r>
            <w:r>
              <w:rPr>
                <w:rFonts w:hint="default" w:ascii="Times New Roman" w:hAnsi="Times New Roman" w:eastAsia="宋体" w:cs="Times New Roman"/>
                <w:bCs/>
                <w:color w:val="auto"/>
                <w:kern w:val="0"/>
                <w:sz w:val="21"/>
                <w:szCs w:val="21"/>
                <w:lang w:val="en-US" w:eastAsia="zh-CN" w:bidi="ar"/>
              </w:rPr>
              <w:t>%</w:t>
            </w:r>
            <w:r>
              <w:rPr>
                <w:rFonts w:hint="default" w:ascii="Times New Roman" w:hAnsi="Times New Roman" w:eastAsia="宋体" w:cs="Times New Roman"/>
                <w:bCs/>
                <w:color w:val="auto"/>
                <w:kern w:val="0"/>
                <w:sz w:val="21"/>
                <w:szCs w:val="21"/>
                <w:lang w:bidi="ar"/>
              </w:rPr>
              <w:t>合理处置，一般固体废物暂存应符合《中华人民共和国</w:t>
            </w:r>
            <w:r>
              <w:rPr>
                <w:rFonts w:hint="default" w:ascii="Times New Roman" w:hAnsi="Times New Roman" w:eastAsia="宋体" w:cs="Times New Roman"/>
                <w:bCs/>
                <w:color w:val="auto"/>
                <w:kern w:val="0"/>
                <w:sz w:val="21"/>
                <w:szCs w:val="21"/>
                <w:lang w:eastAsia="zh-CN" w:bidi="ar"/>
              </w:rPr>
              <w:t>生态环境法典</w:t>
            </w:r>
            <w:r>
              <w:rPr>
                <w:rFonts w:hint="default" w:ascii="Times New Roman" w:hAnsi="Times New Roman" w:eastAsia="宋体" w:cs="Times New Roman"/>
                <w:bCs/>
                <w:color w:val="auto"/>
                <w:kern w:val="0"/>
                <w:sz w:val="21"/>
                <w:szCs w:val="21"/>
                <w:lang w:bidi="ar"/>
              </w:rPr>
              <w:t>》相关要求，采取防扬散、防流失、防渗漏或者其他防止污染环境的措施，不得擅自倾倒、堆放、丢弃、遗撒，危险废物执行《危险废物贮存污染物控制标准》（GB18597-2023）文件要求，危险废物转移按照《危险废物转移管理办法》（2022年1月1日）执行</w:t>
            </w:r>
            <w:r>
              <w:rPr>
                <w:rFonts w:hint="default" w:ascii="Times New Roman" w:hAnsi="Times New Roman" w:eastAsia="宋体" w:cs="Times New Roman"/>
                <w:bCs/>
                <w:color w:val="auto"/>
                <w:kern w:val="0"/>
                <w:sz w:val="21"/>
                <w:szCs w:val="21"/>
                <w:lang w:val="zh-CN" w:bidi="ar"/>
              </w:rPr>
              <w:t>。</w:t>
            </w:r>
          </w:p>
        </w:tc>
        <w:tc>
          <w:tcPr>
            <w:tcW w:w="922" w:type="pct"/>
            <w:vAlign w:val="center"/>
          </w:tcPr>
          <w:p w14:paraId="7F364C6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1" w:type="pct"/>
            <w:vAlign w:val="center"/>
          </w:tcPr>
          <w:p w14:paraId="611ED95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9C06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3" w:hRule="atLeast"/>
          <w:jc w:val="center"/>
        </w:trPr>
        <w:tc>
          <w:tcPr>
            <w:tcW w:w="671" w:type="pct"/>
            <w:vAlign w:val="center"/>
          </w:tcPr>
          <w:p w14:paraId="6CAA736D">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电磁环境</w:t>
            </w:r>
          </w:p>
        </w:tc>
        <w:tc>
          <w:tcPr>
            <w:tcW w:w="1256" w:type="pct"/>
            <w:vAlign w:val="center"/>
          </w:tcPr>
          <w:p w14:paraId="621B17B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59" w:type="pct"/>
            <w:vAlign w:val="center"/>
          </w:tcPr>
          <w:p w14:paraId="44693F0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vAlign w:val="center"/>
          </w:tcPr>
          <w:p w14:paraId="14A3422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1" w:type="pct"/>
            <w:vAlign w:val="center"/>
          </w:tcPr>
          <w:p w14:paraId="562D0FB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508D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0" w:hRule="atLeast"/>
          <w:jc w:val="center"/>
        </w:trPr>
        <w:tc>
          <w:tcPr>
            <w:tcW w:w="671" w:type="pct"/>
            <w:vAlign w:val="center"/>
          </w:tcPr>
          <w:p w14:paraId="05693C8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w:t>
            </w:r>
          </w:p>
        </w:tc>
        <w:tc>
          <w:tcPr>
            <w:tcW w:w="1256" w:type="pct"/>
            <w:vAlign w:val="center"/>
          </w:tcPr>
          <w:p w14:paraId="3143A0AB">
            <w:pPr>
              <w:widowControl/>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加强施工管理，强化责任意识，提高施工人员专业素质。</w:t>
            </w:r>
          </w:p>
        </w:tc>
        <w:tc>
          <w:tcPr>
            <w:tcW w:w="1159" w:type="pct"/>
            <w:vAlign w:val="center"/>
          </w:tcPr>
          <w:p w14:paraId="0A779E9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vAlign w:val="center"/>
          </w:tcPr>
          <w:p w14:paraId="2A0C7C06">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991" w:type="pct"/>
            <w:vAlign w:val="center"/>
          </w:tcPr>
          <w:p w14:paraId="3BFEB23E">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93C1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4" w:hRule="atLeast"/>
          <w:jc w:val="center"/>
        </w:trPr>
        <w:tc>
          <w:tcPr>
            <w:tcW w:w="671" w:type="pct"/>
            <w:vAlign w:val="center"/>
          </w:tcPr>
          <w:p w14:paraId="2F9F236A">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256" w:type="pct"/>
            <w:vAlign w:val="center"/>
          </w:tcPr>
          <w:p w14:paraId="071E59F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59" w:type="pct"/>
            <w:vAlign w:val="center"/>
          </w:tcPr>
          <w:p w14:paraId="326D7AD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2" w:type="pct"/>
            <w:vAlign w:val="center"/>
          </w:tcPr>
          <w:p w14:paraId="2D0E99D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1" w:type="pct"/>
            <w:vAlign w:val="center"/>
          </w:tcPr>
          <w:p w14:paraId="242FCF9A">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CC61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3" w:hRule="atLeast"/>
          <w:jc w:val="center"/>
        </w:trPr>
        <w:tc>
          <w:tcPr>
            <w:tcW w:w="671" w:type="pct"/>
            <w:vAlign w:val="center"/>
          </w:tcPr>
          <w:p w14:paraId="7155811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lang w:bidi="ar"/>
              </w:rPr>
              <w:t>生态环境</w:t>
            </w:r>
          </w:p>
        </w:tc>
        <w:tc>
          <w:tcPr>
            <w:tcW w:w="4328" w:type="pct"/>
            <w:gridSpan w:val="4"/>
            <w:vAlign w:val="center"/>
          </w:tcPr>
          <w:p w14:paraId="78472793">
            <w:pPr>
              <w:spacing w:line="36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2"/>
                <w:sz w:val="21"/>
                <w:szCs w:val="21"/>
              </w:rPr>
              <w:t>严</w:t>
            </w:r>
            <w:r>
              <w:rPr>
                <w:rFonts w:hint="default" w:ascii="Times New Roman" w:hAnsi="Times New Roman" w:eastAsia="宋体" w:cs="Times New Roman"/>
                <w:color w:val="auto"/>
                <w:spacing w:val="8"/>
                <w:sz w:val="21"/>
                <w:szCs w:val="21"/>
              </w:rPr>
              <w:t>格按设计要求开</w:t>
            </w:r>
            <w:r>
              <w:rPr>
                <w:rFonts w:hint="default" w:ascii="Times New Roman" w:hAnsi="Times New Roman" w:eastAsia="宋体" w:cs="Times New Roman"/>
                <w:color w:val="auto"/>
                <w:spacing w:val="1"/>
                <w:sz w:val="21"/>
                <w:szCs w:val="21"/>
              </w:rPr>
              <w:t>挖，做好</w:t>
            </w:r>
            <w:r>
              <w:rPr>
                <w:rFonts w:hint="default" w:ascii="Times New Roman" w:hAnsi="Times New Roman" w:eastAsia="宋体" w:cs="Times New Roman"/>
                <w:color w:val="auto"/>
                <w:sz w:val="21"/>
                <w:szCs w:val="21"/>
              </w:rPr>
              <w:t>挖填土方的合理调配工作；工程</w:t>
            </w:r>
            <w:r>
              <w:rPr>
                <w:rFonts w:hint="default" w:ascii="Times New Roman" w:hAnsi="Times New Roman" w:eastAsia="宋体" w:cs="Times New Roman"/>
                <w:color w:val="auto"/>
                <w:spacing w:val="1"/>
                <w:sz w:val="21"/>
                <w:szCs w:val="21"/>
              </w:rPr>
              <w:t>完工</w:t>
            </w:r>
            <w:r>
              <w:rPr>
                <w:rFonts w:hint="default" w:ascii="Times New Roman" w:hAnsi="Times New Roman" w:eastAsia="宋体" w:cs="Times New Roman"/>
                <w:color w:val="auto"/>
                <w:sz w:val="21"/>
                <w:szCs w:val="21"/>
              </w:rPr>
              <w:t>后，及时清理现场，施</w:t>
            </w:r>
            <w:r>
              <w:rPr>
                <w:rFonts w:hint="default" w:ascii="Times New Roman" w:hAnsi="Times New Roman" w:eastAsia="宋体" w:cs="Times New Roman"/>
                <w:color w:val="auto"/>
                <w:spacing w:val="6"/>
                <w:sz w:val="21"/>
                <w:szCs w:val="21"/>
              </w:rPr>
              <w:t>工现场</w:t>
            </w:r>
            <w:r>
              <w:rPr>
                <w:rFonts w:hint="default" w:ascii="Times New Roman" w:hAnsi="Times New Roman" w:eastAsia="宋体" w:cs="Times New Roman"/>
                <w:color w:val="auto"/>
                <w:spacing w:val="15"/>
                <w:sz w:val="21"/>
                <w:szCs w:val="21"/>
              </w:rPr>
              <w:t>严格落实</w:t>
            </w:r>
            <w:r>
              <w:rPr>
                <w:rFonts w:hint="default" w:ascii="Times New Roman" w:hAnsi="Times New Roman" w:eastAsia="宋体" w:cs="Times New Roman"/>
                <w:color w:val="auto"/>
                <w:spacing w:val="8"/>
                <w:sz w:val="21"/>
                <w:szCs w:val="21"/>
              </w:rPr>
              <w:t>上文所述的陆生生态保护措施、水生生态环保措施、水土流失保护措施。</w:t>
            </w:r>
          </w:p>
        </w:tc>
      </w:tr>
    </w:tbl>
    <w:p w14:paraId="362D8277">
      <w:pPr>
        <w:pStyle w:val="17"/>
        <w:spacing w:before="120" w:beforeLines="50" w:beforeAutospacing="0" w:after="120" w:afterLines="50" w:afterAutospacing="0"/>
        <w:ind w:firstLine="4216" w:firstLineChars="1500"/>
        <w:jc w:val="both"/>
        <w:outlineLvl w:val="0"/>
        <w:rPr>
          <w:rFonts w:ascii="Times New Roman" w:hAnsi="Times New Roman"/>
          <w:b/>
          <w:bCs/>
          <w:snapToGrid w:val="0"/>
          <w:color w:val="auto"/>
          <w:sz w:val="28"/>
          <w:szCs w:val="28"/>
          <w:highlight w:val="yellow"/>
        </w:rPr>
        <w:sectPr>
          <w:pgSz w:w="11905" w:h="16838"/>
          <w:pgMar w:top="1417" w:right="1417" w:bottom="1417" w:left="1417" w:header="851" w:footer="1077" w:gutter="0"/>
          <w:cols w:space="720" w:num="1"/>
          <w:docGrid w:linePitch="312" w:charSpace="0"/>
        </w:sectPr>
      </w:pPr>
    </w:p>
    <w:p w14:paraId="658C6D9E">
      <w:pPr>
        <w:pStyle w:val="17"/>
        <w:spacing w:before="156" w:beforeLines="50" w:beforeAutospacing="0" w:after="156" w:afterLines="50" w:afterAutospacing="0"/>
        <w:jc w:val="center"/>
        <w:outlineLvl w:val="0"/>
        <w:rPr>
          <w:rFonts w:ascii="Times New Roman" w:hAnsi="Times New Roman"/>
          <w:b/>
          <w:bCs/>
          <w:snapToGrid w:val="0"/>
          <w:color w:val="auto"/>
          <w:sz w:val="28"/>
          <w:szCs w:val="28"/>
        </w:rPr>
      </w:pPr>
      <w:r>
        <w:rPr>
          <w:rFonts w:ascii="Times New Roman" w:hAnsi="Times New Roman"/>
          <w:b/>
          <w:bCs/>
          <w:snapToGrid w:val="0"/>
          <w:color w:val="auto"/>
          <w:sz w:val="28"/>
          <w:szCs w:val="28"/>
        </w:rPr>
        <w:t>七、结论</w:t>
      </w:r>
    </w:p>
    <w:tbl>
      <w:tblPr>
        <w:tblStyle w:val="20"/>
        <w:tblW w:w="52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347"/>
      </w:tblGrid>
      <w:tr w14:paraId="4C898F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31" w:hRule="atLeast"/>
          <w:jc w:val="center"/>
        </w:trPr>
        <w:tc>
          <w:tcPr>
            <w:tcW w:w="5000" w:type="pct"/>
          </w:tcPr>
          <w:p w14:paraId="5756428E">
            <w:pPr>
              <w:spacing w:before="156" w:beforeLines="50" w:line="360" w:lineRule="auto"/>
              <w:ind w:firstLine="482" w:firstLineChars="200"/>
              <w:rPr>
                <w:b/>
                <w:bCs/>
                <w:color w:val="auto"/>
                <w:sz w:val="24"/>
                <w:lang w:val="zh-TW"/>
              </w:rPr>
            </w:pPr>
            <w:bookmarkStart w:id="7" w:name="_Toc464297419"/>
            <w:r>
              <w:rPr>
                <w:b/>
                <w:bCs/>
                <w:color w:val="auto"/>
                <w:sz w:val="24"/>
              </w:rPr>
              <w:t>一、</w:t>
            </w:r>
            <w:r>
              <w:rPr>
                <w:b/>
                <w:bCs/>
                <w:color w:val="auto"/>
                <w:sz w:val="24"/>
                <w:lang w:val="zh-TW"/>
              </w:rPr>
              <w:t>结论</w:t>
            </w:r>
            <w:bookmarkEnd w:id="7"/>
          </w:p>
          <w:p w14:paraId="23441A9A">
            <w:pPr>
              <w:spacing w:line="360" w:lineRule="auto"/>
              <w:ind w:firstLine="480" w:firstLineChars="200"/>
              <w:rPr>
                <w:color w:val="auto"/>
                <w:sz w:val="24"/>
                <w:lang w:val="zh-TW"/>
              </w:rPr>
            </w:pPr>
            <w:r>
              <w:rPr>
                <w:color w:val="auto"/>
                <w:sz w:val="24"/>
                <w:lang w:val="zh-TW"/>
              </w:rPr>
              <w:t>本项目符合国家产业政策，工艺设计合理，项目对附近保护目标影响较小。项目所在区域内环境质量现状较好，无重大环境制约要素，采取的污染物治理技术可行，措施有效。工程实施对环境影响小，基本维持当地环境质量现状级别。本项目建设从环境保护角度而言是可行的。</w:t>
            </w:r>
          </w:p>
          <w:p w14:paraId="06BD57B2">
            <w:pPr>
              <w:spacing w:line="360" w:lineRule="auto"/>
              <w:ind w:firstLine="482" w:firstLineChars="200"/>
              <w:rPr>
                <w:b/>
                <w:bCs/>
                <w:color w:val="auto"/>
                <w:sz w:val="24"/>
                <w:lang w:val="zh-TW"/>
              </w:rPr>
            </w:pPr>
            <w:bookmarkStart w:id="8" w:name="_Toc464297420"/>
            <w:r>
              <w:rPr>
                <w:b/>
                <w:bCs/>
                <w:color w:val="auto"/>
                <w:sz w:val="24"/>
              </w:rPr>
              <w:t>二、</w:t>
            </w:r>
            <w:bookmarkEnd w:id="8"/>
            <w:r>
              <w:rPr>
                <w:b/>
                <w:bCs/>
                <w:color w:val="auto"/>
                <w:sz w:val="24"/>
              </w:rPr>
              <w:t>建议</w:t>
            </w:r>
          </w:p>
          <w:p w14:paraId="28DA01A9">
            <w:pPr>
              <w:widowControl/>
              <w:spacing w:line="360" w:lineRule="auto"/>
              <w:ind w:firstLine="480" w:firstLineChars="200"/>
              <w:rPr>
                <w:color w:val="auto"/>
                <w:sz w:val="24"/>
              </w:rPr>
            </w:pPr>
            <w:r>
              <w:rPr>
                <w:color w:val="auto"/>
                <w:kern w:val="0"/>
                <w:sz w:val="24"/>
                <w:lang w:bidi="ar"/>
              </w:rPr>
              <w:t>1、严格落实本报告表中提出的环保治理措施和环境管理建议，确保治理措施的正常运行及污染物达标排放。项目环保设施与主体工程应同时设计，同时施工、同时投产。</w:t>
            </w:r>
          </w:p>
          <w:p w14:paraId="4E7E7A80">
            <w:pPr>
              <w:widowControl/>
              <w:spacing w:line="360" w:lineRule="auto"/>
              <w:ind w:firstLine="480" w:firstLineChars="200"/>
              <w:rPr>
                <w:color w:val="auto"/>
                <w:sz w:val="24"/>
              </w:rPr>
            </w:pPr>
            <w:r>
              <w:rPr>
                <w:color w:val="auto"/>
                <w:kern w:val="0"/>
                <w:sz w:val="24"/>
                <w:lang w:bidi="ar"/>
              </w:rPr>
              <w:t>2、加强绿化，达到有关绿化规定标准要求，单位在绿化布局、树种选择时，应考虑适当的乔、灌、草比例，并在此基础上合理选择绿化类型，以美化环境，降低污染。</w:t>
            </w:r>
          </w:p>
          <w:p w14:paraId="652E4CA0">
            <w:pPr>
              <w:widowControl/>
              <w:spacing w:line="360" w:lineRule="auto"/>
              <w:ind w:firstLine="480" w:firstLineChars="200"/>
              <w:rPr>
                <w:color w:val="auto"/>
                <w:sz w:val="24"/>
              </w:rPr>
            </w:pPr>
            <w:r>
              <w:rPr>
                <w:color w:val="auto"/>
                <w:kern w:val="0"/>
                <w:sz w:val="24"/>
                <w:lang w:bidi="ar"/>
              </w:rPr>
              <w:t>3、民用建筑工程环境污染控制应遵守国家安全卫生和环境保护的有关规定，在工程设计和施工中应选用低毒性、低污染、节能环保的建筑材料和装修材料。</w:t>
            </w:r>
          </w:p>
          <w:p w14:paraId="3C3E84F2">
            <w:pPr>
              <w:widowControl/>
              <w:spacing w:line="360" w:lineRule="auto"/>
              <w:ind w:firstLine="480" w:firstLineChars="200"/>
              <w:rPr>
                <w:color w:val="auto"/>
                <w:sz w:val="24"/>
              </w:rPr>
            </w:pPr>
            <w:r>
              <w:rPr>
                <w:color w:val="auto"/>
                <w:kern w:val="0"/>
                <w:sz w:val="24"/>
                <w:lang w:bidi="ar"/>
              </w:rPr>
              <w:t>4、对固废应进行分类收集，做到固体废物100</w:t>
            </w:r>
            <w:r>
              <w:rPr>
                <w:rFonts w:hint="eastAsia"/>
                <w:color w:val="auto"/>
                <w:kern w:val="0"/>
                <w:sz w:val="24"/>
                <w:lang w:bidi="ar"/>
              </w:rPr>
              <w:t>%</w:t>
            </w:r>
            <w:r>
              <w:rPr>
                <w:color w:val="auto"/>
                <w:kern w:val="0"/>
                <w:sz w:val="24"/>
                <w:lang w:bidi="ar"/>
              </w:rPr>
              <w:t>委托处置。</w:t>
            </w:r>
          </w:p>
          <w:p w14:paraId="457F0431">
            <w:pPr>
              <w:widowControl/>
              <w:spacing w:line="360" w:lineRule="auto"/>
              <w:ind w:firstLine="480" w:firstLineChars="200"/>
              <w:rPr>
                <w:color w:val="auto"/>
                <w:kern w:val="0"/>
                <w:sz w:val="24"/>
                <w:lang w:bidi="ar"/>
              </w:rPr>
            </w:pPr>
            <w:r>
              <w:rPr>
                <w:color w:val="auto"/>
                <w:kern w:val="0"/>
                <w:sz w:val="24"/>
                <w:lang w:bidi="ar"/>
              </w:rPr>
              <w:t>5、对于拟建项目的维护管理，应严格按照环境保护的要求，做好记录加强培训。</w:t>
            </w:r>
          </w:p>
          <w:p w14:paraId="34D0A232">
            <w:pPr>
              <w:widowControl/>
              <w:spacing w:line="360" w:lineRule="auto"/>
              <w:ind w:firstLine="480" w:firstLineChars="200"/>
              <w:rPr>
                <w:color w:val="auto"/>
                <w:kern w:val="0"/>
                <w:sz w:val="24"/>
                <w:lang w:bidi="ar"/>
              </w:rPr>
            </w:pPr>
          </w:p>
          <w:p w14:paraId="42EB1C33">
            <w:pPr>
              <w:widowControl/>
              <w:spacing w:line="360" w:lineRule="auto"/>
              <w:ind w:firstLine="480" w:firstLineChars="200"/>
              <w:rPr>
                <w:color w:val="auto"/>
                <w:kern w:val="0"/>
                <w:sz w:val="24"/>
                <w:lang w:bidi="ar"/>
              </w:rPr>
            </w:pPr>
          </w:p>
          <w:p w14:paraId="50A5A7AB">
            <w:pPr>
              <w:widowControl/>
              <w:spacing w:line="360" w:lineRule="auto"/>
              <w:ind w:firstLine="480" w:firstLineChars="200"/>
              <w:rPr>
                <w:color w:val="auto"/>
                <w:kern w:val="0"/>
                <w:sz w:val="24"/>
                <w:lang w:bidi="ar"/>
              </w:rPr>
            </w:pPr>
          </w:p>
          <w:p w14:paraId="7E1E2E79">
            <w:pPr>
              <w:widowControl/>
              <w:spacing w:line="360" w:lineRule="auto"/>
              <w:ind w:firstLine="480" w:firstLineChars="200"/>
              <w:rPr>
                <w:color w:val="auto"/>
                <w:kern w:val="0"/>
                <w:sz w:val="24"/>
                <w:lang w:bidi="ar"/>
              </w:rPr>
            </w:pPr>
          </w:p>
          <w:p w14:paraId="66E9D29D">
            <w:pPr>
              <w:widowControl/>
              <w:spacing w:line="360" w:lineRule="auto"/>
              <w:ind w:firstLine="480" w:firstLineChars="200"/>
              <w:rPr>
                <w:color w:val="auto"/>
                <w:kern w:val="0"/>
                <w:sz w:val="24"/>
                <w:lang w:bidi="ar"/>
              </w:rPr>
            </w:pPr>
          </w:p>
          <w:p w14:paraId="3341B836">
            <w:pPr>
              <w:widowControl/>
              <w:spacing w:line="360" w:lineRule="auto"/>
              <w:ind w:firstLine="480" w:firstLineChars="200"/>
              <w:rPr>
                <w:color w:val="auto"/>
                <w:kern w:val="0"/>
                <w:sz w:val="24"/>
                <w:lang w:bidi="ar"/>
              </w:rPr>
            </w:pPr>
          </w:p>
          <w:p w14:paraId="7B44CE06">
            <w:pPr>
              <w:widowControl/>
              <w:spacing w:line="360" w:lineRule="auto"/>
              <w:ind w:firstLine="480" w:firstLineChars="200"/>
              <w:rPr>
                <w:color w:val="auto"/>
                <w:kern w:val="0"/>
                <w:sz w:val="24"/>
                <w:lang w:bidi="ar"/>
              </w:rPr>
            </w:pPr>
          </w:p>
          <w:p w14:paraId="19A0B74A">
            <w:pPr>
              <w:widowControl/>
              <w:spacing w:line="360" w:lineRule="auto"/>
              <w:rPr>
                <w:color w:val="auto"/>
              </w:rPr>
            </w:pPr>
          </w:p>
          <w:p w14:paraId="45A45624">
            <w:pPr>
              <w:spacing w:line="360" w:lineRule="auto"/>
              <w:ind w:firstLine="420" w:firstLineChars="200"/>
              <w:rPr>
                <w:color w:val="auto"/>
                <w:szCs w:val="21"/>
              </w:rPr>
            </w:pPr>
          </w:p>
        </w:tc>
      </w:tr>
    </w:tbl>
    <w:p w14:paraId="5444959E">
      <w:pPr>
        <w:rPr>
          <w:color w:val="auto"/>
          <w:highlight w:val="yellow"/>
        </w:rPr>
        <w:sectPr>
          <w:headerReference r:id="rId5" w:type="default"/>
          <w:pgSz w:w="11906" w:h="16838"/>
          <w:pgMar w:top="1134" w:right="1134" w:bottom="1134" w:left="1134" w:header="851" w:footer="992" w:gutter="0"/>
          <w:cols w:space="425" w:num="1"/>
          <w:docGrid w:type="lines" w:linePitch="312" w:charSpace="0"/>
        </w:sectPr>
      </w:pPr>
    </w:p>
    <w:p w14:paraId="4C65D1D8">
      <w:pPr>
        <w:pStyle w:val="17"/>
        <w:spacing w:before="120" w:beforeLines="50" w:beforeAutospacing="0" w:after="120" w:afterLines="50" w:afterAutospacing="0"/>
        <w:jc w:val="left"/>
        <w:outlineLvl w:val="0"/>
        <w:rPr>
          <w:rFonts w:hint="eastAsia" w:ascii="Times New Roman" w:hAnsi="Times New Roman" w:eastAsia="宋体" w:cs="Times New Roman"/>
          <w:b w:val="0"/>
          <w:bCs w:val="0"/>
          <w:snapToGrid w:val="0"/>
          <w:color w:val="000000"/>
          <w:sz w:val="24"/>
          <w:szCs w:val="24"/>
          <w:lang w:eastAsia="zh-CN"/>
        </w:rPr>
        <w:sectPr>
          <w:footerReference r:id="rId6" w:type="default"/>
          <w:pgSz w:w="11906" w:h="16838"/>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cs="Times New Roman"/>
          <w:b w:val="0"/>
          <w:bCs w:val="0"/>
          <w:snapToGrid w:val="0"/>
          <w:color w:val="000000"/>
          <w:sz w:val="24"/>
          <w:szCs w:val="24"/>
          <w:lang w:eastAsia="zh-CN"/>
        </w:rPr>
        <w:drawing>
          <wp:inline distT="0" distB="0" distL="114300" distR="114300">
            <wp:extent cx="5729605" cy="8100060"/>
            <wp:effectExtent l="0" t="0" r="4445" b="15240"/>
            <wp:docPr id="26" name="图片 26" descr="20260209121627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60209121627_页面_5"/>
                    <pic:cNvPicPr>
                      <a:picLocks noChangeAspect="1"/>
                    </pic:cNvPicPr>
                  </pic:nvPicPr>
                  <pic:blipFill>
                    <a:blip r:embed="rId36"/>
                    <a:stretch>
                      <a:fillRect/>
                    </a:stretch>
                  </pic:blipFill>
                  <pic:spPr>
                    <a:xfrm>
                      <a:off x="0" y="0"/>
                      <a:ext cx="5729605" cy="8100060"/>
                    </a:xfrm>
                    <a:prstGeom prst="rect">
                      <a:avLst/>
                    </a:prstGeom>
                  </pic:spPr>
                </pic:pic>
              </a:graphicData>
            </a:graphic>
          </wp:inline>
        </w:drawing>
      </w:r>
      <w:r>
        <w:rPr>
          <w:rFonts w:hint="eastAsia" w:ascii="Times New Roman" w:hAnsi="Times New Roman" w:eastAsia="宋体" w:cs="Times New Roman"/>
          <w:b w:val="0"/>
          <w:bCs w:val="0"/>
          <w:snapToGrid w:val="0"/>
          <w:color w:val="000000"/>
          <w:sz w:val="24"/>
          <w:szCs w:val="24"/>
          <w:lang w:eastAsia="zh-CN"/>
        </w:rPr>
        <w:drawing>
          <wp:inline distT="0" distB="0" distL="114300" distR="114300">
            <wp:extent cx="5729605" cy="8100060"/>
            <wp:effectExtent l="0" t="0" r="4445" b="15240"/>
            <wp:docPr id="27" name="图片 27" descr="20260209121627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60209121627_页面_6"/>
                    <pic:cNvPicPr>
                      <a:picLocks noChangeAspect="1"/>
                    </pic:cNvPicPr>
                  </pic:nvPicPr>
                  <pic:blipFill>
                    <a:blip r:embed="rId37"/>
                    <a:stretch>
                      <a:fillRect/>
                    </a:stretch>
                  </pic:blipFill>
                  <pic:spPr>
                    <a:xfrm>
                      <a:off x="0" y="0"/>
                      <a:ext cx="5729605" cy="8100060"/>
                    </a:xfrm>
                    <a:prstGeom prst="rect">
                      <a:avLst/>
                    </a:prstGeom>
                  </pic:spPr>
                </pic:pic>
              </a:graphicData>
            </a:graphic>
          </wp:inline>
        </w:drawing>
      </w:r>
      <w:r>
        <w:rPr>
          <w:rFonts w:hint="eastAsia" w:ascii="Times New Roman" w:hAnsi="Times New Roman" w:eastAsia="宋体" w:cs="Times New Roman"/>
          <w:b w:val="0"/>
          <w:bCs w:val="0"/>
          <w:snapToGrid w:val="0"/>
          <w:color w:val="000000"/>
          <w:sz w:val="24"/>
          <w:szCs w:val="24"/>
          <w:lang w:eastAsia="zh-CN"/>
        </w:rPr>
        <w:drawing>
          <wp:inline distT="0" distB="0" distL="114300" distR="114300">
            <wp:extent cx="5729605" cy="8100060"/>
            <wp:effectExtent l="0" t="0" r="4445" b="15240"/>
            <wp:docPr id="28" name="图片 28" descr="20260209121627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60209121627_页面_7"/>
                    <pic:cNvPicPr>
                      <a:picLocks noChangeAspect="1"/>
                    </pic:cNvPicPr>
                  </pic:nvPicPr>
                  <pic:blipFill>
                    <a:blip r:embed="rId38"/>
                    <a:stretch>
                      <a:fillRect/>
                    </a:stretch>
                  </pic:blipFill>
                  <pic:spPr>
                    <a:xfrm>
                      <a:off x="0" y="0"/>
                      <a:ext cx="5729605" cy="8100060"/>
                    </a:xfrm>
                    <a:prstGeom prst="rect">
                      <a:avLst/>
                    </a:prstGeom>
                  </pic:spPr>
                </pic:pic>
              </a:graphicData>
            </a:graphic>
          </wp:inline>
        </w:drawing>
      </w:r>
    </w:p>
    <w:p w14:paraId="2B992D18">
      <w:pPr>
        <w:pStyle w:val="17"/>
        <w:spacing w:before="120" w:beforeLines="50" w:beforeAutospacing="0" w:after="120" w:afterLines="50" w:afterAutospacing="0"/>
        <w:ind w:firstLine="480" w:firstLineChars="200"/>
        <w:jc w:val="left"/>
        <w:outlineLvl w:val="0"/>
        <w:rPr>
          <w:rFonts w:hint="default" w:ascii="Times New Roman" w:hAnsi="Times New Roman" w:eastAsia="宋体" w:cs="Times New Roman"/>
          <w:b w:val="0"/>
          <w:bCs w:val="0"/>
          <w:snapToGrid w:val="0"/>
          <w:color w:val="000000"/>
          <w:sz w:val="24"/>
          <w:szCs w:val="24"/>
          <w:lang w:val="en-US" w:eastAsia="zh-CN"/>
        </w:rPr>
      </w:pPr>
      <w:r>
        <w:rPr>
          <w:rFonts w:hint="default" w:ascii="Times New Roman" w:hAnsi="Times New Roman" w:eastAsia="宋体" w:cs="Times New Roman"/>
          <w:b w:val="0"/>
          <w:bCs w:val="0"/>
          <w:snapToGrid w:val="0"/>
          <w:color w:val="000000"/>
          <w:sz w:val="24"/>
          <w:szCs w:val="24"/>
        </w:rPr>
        <w:t>附件</w:t>
      </w:r>
      <w:r>
        <w:rPr>
          <w:rFonts w:hint="default" w:ascii="Times New Roman" w:hAnsi="Times New Roman" w:eastAsia="宋体" w:cs="Times New Roman"/>
          <w:b w:val="0"/>
          <w:bCs w:val="0"/>
          <w:snapToGrid w:val="0"/>
          <w:color w:val="000000"/>
          <w:sz w:val="24"/>
          <w:szCs w:val="24"/>
          <w:lang w:val="en-US" w:eastAsia="zh-CN"/>
        </w:rPr>
        <w:t>4 营业执照</w:t>
      </w:r>
    </w:p>
    <w:p w14:paraId="691BC81C">
      <w:pPr>
        <w:widowControl w:val="0"/>
        <w:spacing w:after="120" w:line="360" w:lineRule="auto"/>
        <w:ind w:left="0" w:leftChars="0" w:firstLine="0" w:firstLineChars="0"/>
        <w:jc w:val="center"/>
        <w:rPr>
          <w:rFonts w:hint="default" w:ascii="Times New Roman" w:hAnsi="Times New Roman" w:eastAsia="宋体" w:cs="Times New Roman"/>
          <w:kern w:val="0"/>
          <w:sz w:val="24"/>
          <w:szCs w:val="20"/>
          <w:lang w:val="en-US" w:eastAsia="zh-CN" w:bidi="ar-SA"/>
        </w:rPr>
      </w:pPr>
      <w:r>
        <w:rPr>
          <w:rFonts w:hint="default" w:ascii="Times New Roman" w:hAnsi="Times New Roman" w:eastAsia="宋体" w:cs="Times New Roman"/>
          <w:kern w:val="0"/>
          <w:sz w:val="24"/>
          <w:szCs w:val="20"/>
          <w:lang w:val="en-US" w:eastAsia="zh-CN" w:bidi="ar-SA"/>
        </w:rPr>
        <w:drawing>
          <wp:inline distT="0" distB="0" distL="114300" distR="114300">
            <wp:extent cx="5054600" cy="6743700"/>
            <wp:effectExtent l="0" t="0" r="0" b="12700"/>
            <wp:docPr id="29" name="图片 29" descr="8e0da0b3e098d2f11b2174c0b0016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8e0da0b3e098d2f11b2174c0b00168a"/>
                    <pic:cNvPicPr>
                      <a:picLocks noChangeAspect="1"/>
                    </pic:cNvPicPr>
                  </pic:nvPicPr>
                  <pic:blipFill>
                    <a:blip r:embed="rId39"/>
                    <a:stretch>
                      <a:fillRect/>
                    </a:stretch>
                  </pic:blipFill>
                  <pic:spPr>
                    <a:xfrm rot="5400000">
                      <a:off x="0" y="0"/>
                      <a:ext cx="5054600" cy="6743700"/>
                    </a:xfrm>
                    <a:prstGeom prst="rect">
                      <a:avLst/>
                    </a:prstGeom>
                  </pic:spPr>
                </pic:pic>
              </a:graphicData>
            </a:graphic>
          </wp:inline>
        </w:drawing>
      </w:r>
    </w:p>
    <w:p w14:paraId="1D1D752C">
      <w:pPr>
        <w:ind w:left="0" w:leftChars="0" w:firstLine="0" w:firstLineChars="0"/>
        <w:jc w:val="center"/>
        <w:rPr>
          <w:rFonts w:hint="default" w:ascii="Times New Roman" w:hAnsi="Times New Roman" w:eastAsia="宋体" w:cs="Times New Roman"/>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F479F04">
      <w:pPr>
        <w:pStyle w:val="17"/>
        <w:spacing w:before="120" w:beforeLines="50" w:beforeAutospacing="0" w:after="120" w:afterLines="50" w:afterAutospacing="0"/>
        <w:jc w:val="left"/>
        <w:outlineLvl w:val="0"/>
        <w:rPr>
          <w:rFonts w:hint="default" w:ascii="Times New Roman" w:hAnsi="Times New Roman" w:eastAsia="宋体" w:cs="Times New Roman"/>
          <w:b w:val="0"/>
          <w:bCs w:val="0"/>
          <w:snapToGrid w:val="0"/>
          <w:color w:val="000000"/>
          <w:sz w:val="24"/>
          <w:szCs w:val="24"/>
          <w:lang w:val="en-US" w:eastAsia="zh-CN"/>
        </w:rPr>
      </w:pPr>
      <w:r>
        <w:rPr>
          <w:rFonts w:hint="default" w:ascii="Times New Roman" w:hAnsi="Times New Roman" w:eastAsia="宋体" w:cs="Times New Roman"/>
          <w:b w:val="0"/>
          <w:bCs w:val="0"/>
          <w:snapToGrid w:val="0"/>
          <w:color w:val="000000"/>
          <w:sz w:val="24"/>
          <w:szCs w:val="24"/>
          <w:lang w:val="en-US" w:eastAsia="zh-CN"/>
        </w:rPr>
        <w:t xml:space="preserve">附件5 </w:t>
      </w:r>
      <w:r>
        <w:rPr>
          <w:rFonts w:hint="eastAsia" w:ascii="Times New Roman" w:hAnsi="Times New Roman" w:cs="Times New Roman"/>
          <w:b w:val="0"/>
          <w:bCs w:val="0"/>
          <w:snapToGrid w:val="0"/>
          <w:color w:val="000000"/>
          <w:sz w:val="24"/>
          <w:szCs w:val="24"/>
          <w:lang w:val="en-US" w:eastAsia="zh-CN"/>
        </w:rPr>
        <w:t>项目</w:t>
      </w:r>
      <w:r>
        <w:rPr>
          <w:rFonts w:hint="default" w:ascii="Times New Roman" w:hAnsi="Times New Roman" w:eastAsia="宋体" w:cs="Times New Roman"/>
          <w:b w:val="0"/>
          <w:bCs w:val="0"/>
          <w:snapToGrid w:val="0"/>
          <w:color w:val="000000"/>
          <w:sz w:val="24"/>
          <w:szCs w:val="24"/>
          <w:lang w:val="en-US" w:eastAsia="zh-CN"/>
        </w:rPr>
        <w:t>备案证明</w:t>
      </w:r>
    </w:p>
    <w:p w14:paraId="1DFB094E">
      <w:pPr>
        <w:pStyle w:val="2"/>
        <w:ind w:left="0" w:leftChars="0" w:firstLine="0" w:firstLineChars="0"/>
        <w:rPr>
          <w:rFonts w:hint="default"/>
          <w:lang w:val="en-US" w:eastAsia="zh-CN"/>
        </w:rPr>
      </w:pPr>
      <w:r>
        <w:drawing>
          <wp:inline distT="0" distB="0" distL="114300" distR="114300">
            <wp:extent cx="5271135" cy="8154035"/>
            <wp:effectExtent l="0" t="0" r="5715" b="184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40"/>
                    <a:stretch>
                      <a:fillRect/>
                    </a:stretch>
                  </pic:blipFill>
                  <pic:spPr>
                    <a:xfrm>
                      <a:off x="0" y="0"/>
                      <a:ext cx="5271135" cy="8154035"/>
                    </a:xfrm>
                    <a:prstGeom prst="rect">
                      <a:avLst/>
                    </a:prstGeom>
                    <a:noFill/>
                    <a:ln>
                      <a:noFill/>
                    </a:ln>
                  </pic:spPr>
                </pic:pic>
              </a:graphicData>
            </a:graphic>
          </wp:inline>
        </w:drawing>
      </w:r>
    </w:p>
    <w:p w14:paraId="66837032">
      <w:pPr>
        <w:rPr>
          <w:rFonts w:hint="default" w:ascii="Times New Roman" w:hAnsi="Times New Roman" w:eastAsia="宋体" w:cs="Times New Roma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drawing>
          <wp:inline distT="0" distB="0" distL="114300" distR="114300">
            <wp:extent cx="5266690" cy="8390255"/>
            <wp:effectExtent l="0" t="0" r="10160" b="1079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41"/>
                    <a:stretch>
                      <a:fillRect/>
                    </a:stretch>
                  </pic:blipFill>
                  <pic:spPr>
                    <a:xfrm>
                      <a:off x="0" y="0"/>
                      <a:ext cx="5266690" cy="8390255"/>
                    </a:xfrm>
                    <a:prstGeom prst="rect">
                      <a:avLst/>
                    </a:prstGeom>
                    <a:noFill/>
                    <a:ln>
                      <a:noFill/>
                    </a:ln>
                  </pic:spPr>
                </pic:pic>
              </a:graphicData>
            </a:graphic>
          </wp:inline>
        </w:drawing>
      </w:r>
    </w:p>
    <w:p w14:paraId="716429E1">
      <w:pPr>
        <w:pStyle w:val="17"/>
        <w:spacing w:before="120" w:beforeLines="50" w:beforeAutospacing="0" w:after="120" w:afterLines="50" w:afterAutospacing="0"/>
        <w:jc w:val="left"/>
        <w:outlineLvl w:val="0"/>
        <w:rPr>
          <w:rFonts w:hint="eastAsia"/>
          <w:color w:val="auto"/>
          <w:sz w:val="24"/>
          <w:szCs w:val="24"/>
          <w:highlight w:val="none"/>
          <w:lang w:val="en-US" w:eastAsia="zh-CN"/>
        </w:rPr>
      </w:pPr>
      <w:r>
        <w:rPr>
          <w:rFonts w:hint="default" w:ascii="Times New Roman" w:hAnsi="Times New Roman" w:eastAsia="宋体" w:cs="Times New Roman"/>
          <w:b w:val="0"/>
          <w:bCs w:val="0"/>
          <w:snapToGrid w:val="0"/>
          <w:color w:val="000000"/>
          <w:sz w:val="24"/>
          <w:szCs w:val="24"/>
          <w:highlight w:val="none"/>
          <w:lang w:val="en-US" w:eastAsia="zh-CN"/>
        </w:rPr>
        <w:t>附件</w:t>
      </w:r>
      <w:r>
        <w:rPr>
          <w:rFonts w:hint="eastAsia" w:ascii="Times New Roman" w:hAnsi="Times New Roman" w:eastAsia="宋体" w:cs="Times New Roman"/>
          <w:b w:val="0"/>
          <w:bCs w:val="0"/>
          <w:snapToGrid w:val="0"/>
          <w:color w:val="000000"/>
          <w:sz w:val="24"/>
          <w:szCs w:val="24"/>
          <w:highlight w:val="none"/>
          <w:lang w:val="en-US" w:eastAsia="zh-CN"/>
        </w:rPr>
        <w:t xml:space="preserve">6 </w:t>
      </w:r>
      <w:r>
        <w:rPr>
          <w:rFonts w:hint="eastAsia"/>
          <w:color w:val="auto"/>
          <w:sz w:val="24"/>
          <w:szCs w:val="24"/>
          <w:highlight w:val="none"/>
          <w:lang w:val="en-US" w:eastAsia="zh-CN"/>
        </w:rPr>
        <w:t>河道淤泥检测报告</w:t>
      </w:r>
    </w:p>
    <w:p w14:paraId="4A694D03">
      <w:pPr>
        <w:jc w:val="center"/>
        <w:rPr>
          <w:rFonts w:hint="default" w:ascii="Times New Roman" w:hAnsi="Times New Roman" w:eastAsia="宋体" w:cs="Times New Roman"/>
        </w:rPr>
      </w:pPr>
      <w:r>
        <w:drawing>
          <wp:inline distT="0" distB="0" distL="114300" distR="114300">
            <wp:extent cx="5980430" cy="8387715"/>
            <wp:effectExtent l="0" t="0" r="1270" b="1333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42"/>
                    <a:stretch>
                      <a:fillRect/>
                    </a:stretch>
                  </pic:blipFill>
                  <pic:spPr>
                    <a:xfrm>
                      <a:off x="0" y="0"/>
                      <a:ext cx="5980430" cy="8387715"/>
                    </a:xfrm>
                    <a:prstGeom prst="rect">
                      <a:avLst/>
                    </a:prstGeom>
                    <a:noFill/>
                    <a:ln>
                      <a:noFill/>
                    </a:ln>
                  </pic:spPr>
                </pic:pic>
              </a:graphicData>
            </a:graphic>
          </wp:inline>
        </w:drawing>
      </w:r>
    </w:p>
    <w:p w14:paraId="31AF1AA3">
      <w:pPr>
        <w:jc w:val="center"/>
        <w:rPr>
          <w:rFonts w:hint="default" w:ascii="Times New Roman" w:hAnsi="Times New Roman" w:eastAsia="宋体" w:cs="Times New Roman"/>
        </w:rPr>
      </w:pPr>
      <w:r>
        <w:drawing>
          <wp:inline distT="0" distB="0" distL="114300" distR="114300">
            <wp:extent cx="6066790" cy="8806815"/>
            <wp:effectExtent l="0" t="0" r="10160" b="1333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43">
                      <a:lum bright="-6000"/>
                    </a:blip>
                    <a:stretch>
                      <a:fillRect/>
                    </a:stretch>
                  </pic:blipFill>
                  <pic:spPr>
                    <a:xfrm>
                      <a:off x="0" y="0"/>
                      <a:ext cx="6066790" cy="8806815"/>
                    </a:xfrm>
                    <a:prstGeom prst="rect">
                      <a:avLst/>
                    </a:prstGeom>
                    <a:noFill/>
                    <a:ln>
                      <a:noFill/>
                    </a:ln>
                  </pic:spPr>
                </pic:pic>
              </a:graphicData>
            </a:graphic>
          </wp:inline>
        </w:drawing>
      </w:r>
    </w:p>
    <w:p w14:paraId="7C17652B">
      <w:pPr>
        <w:jc w:val="center"/>
      </w:pPr>
      <w:r>
        <w:drawing>
          <wp:inline distT="0" distB="0" distL="114300" distR="114300">
            <wp:extent cx="6047740" cy="8304530"/>
            <wp:effectExtent l="0" t="0" r="10160" b="127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44">
                      <a:lum bright="-6000"/>
                    </a:blip>
                    <a:stretch>
                      <a:fillRect/>
                    </a:stretch>
                  </pic:blipFill>
                  <pic:spPr>
                    <a:xfrm>
                      <a:off x="0" y="0"/>
                      <a:ext cx="6047740" cy="8304530"/>
                    </a:xfrm>
                    <a:prstGeom prst="rect">
                      <a:avLst/>
                    </a:prstGeom>
                    <a:noFill/>
                    <a:ln>
                      <a:noFill/>
                    </a:ln>
                  </pic:spPr>
                </pic:pic>
              </a:graphicData>
            </a:graphic>
          </wp:inline>
        </w:drawing>
      </w:r>
    </w:p>
    <w:p w14:paraId="54E5A53A">
      <w:pPr>
        <w:pStyle w:val="2"/>
        <w:ind w:left="0" w:leftChars="0" w:firstLine="0" w:firstLineChars="0"/>
        <w:jc w:val="center"/>
      </w:pPr>
      <w:r>
        <w:drawing>
          <wp:inline distT="0" distB="0" distL="114300" distR="114300">
            <wp:extent cx="6047740" cy="8098155"/>
            <wp:effectExtent l="0" t="0" r="10160" b="17145"/>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45">
                      <a:lum contrast="-6000"/>
                    </a:blip>
                    <a:stretch>
                      <a:fillRect/>
                    </a:stretch>
                  </pic:blipFill>
                  <pic:spPr>
                    <a:xfrm>
                      <a:off x="0" y="0"/>
                      <a:ext cx="6047740" cy="8098155"/>
                    </a:xfrm>
                    <a:prstGeom prst="rect">
                      <a:avLst/>
                    </a:prstGeom>
                    <a:noFill/>
                    <a:ln>
                      <a:noFill/>
                    </a:ln>
                  </pic:spPr>
                </pic:pic>
              </a:graphicData>
            </a:graphic>
          </wp:inline>
        </w:drawing>
      </w:r>
    </w:p>
    <w:p w14:paraId="2BC3DF99">
      <w:pPr>
        <w:pStyle w:val="2"/>
        <w:ind w:left="0" w:leftChars="0" w:firstLine="0" w:firstLineChars="0"/>
        <w:jc w:val="center"/>
      </w:pPr>
      <w:r>
        <w:drawing>
          <wp:inline distT="0" distB="0" distL="114300" distR="114300">
            <wp:extent cx="6047740" cy="8107045"/>
            <wp:effectExtent l="0" t="0" r="10160" b="825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46">
                      <a:lum bright="-6000" contrast="6000"/>
                    </a:blip>
                    <a:stretch>
                      <a:fillRect/>
                    </a:stretch>
                  </pic:blipFill>
                  <pic:spPr>
                    <a:xfrm>
                      <a:off x="0" y="0"/>
                      <a:ext cx="6047740" cy="8107045"/>
                    </a:xfrm>
                    <a:prstGeom prst="rect">
                      <a:avLst/>
                    </a:prstGeom>
                    <a:noFill/>
                    <a:ln>
                      <a:noFill/>
                    </a:ln>
                  </pic:spPr>
                </pic:pic>
              </a:graphicData>
            </a:graphic>
          </wp:inline>
        </w:drawing>
      </w:r>
    </w:p>
    <w:p w14:paraId="3BB845B7">
      <w:pPr>
        <w:pStyle w:val="2"/>
        <w:ind w:left="0" w:leftChars="0" w:firstLine="0" w:firstLineChars="0"/>
        <w:jc w:val="center"/>
        <w:rPr>
          <w:rFonts w:hint="default"/>
        </w:rPr>
      </w:pPr>
      <w:r>
        <w:drawing>
          <wp:inline distT="0" distB="0" distL="114300" distR="114300">
            <wp:extent cx="6047740" cy="8249285"/>
            <wp:effectExtent l="0" t="0" r="10160" b="18415"/>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pic:cNvPicPr>
                      <a:picLocks noChangeAspect="1"/>
                    </pic:cNvPicPr>
                  </pic:nvPicPr>
                  <pic:blipFill>
                    <a:blip r:embed="rId47"/>
                    <a:stretch>
                      <a:fillRect/>
                    </a:stretch>
                  </pic:blipFill>
                  <pic:spPr>
                    <a:xfrm>
                      <a:off x="0" y="0"/>
                      <a:ext cx="6047740" cy="8249285"/>
                    </a:xfrm>
                    <a:prstGeom prst="rect">
                      <a:avLst/>
                    </a:prstGeom>
                    <a:noFill/>
                    <a:ln>
                      <a:noFill/>
                    </a:ln>
                  </pic:spPr>
                </pic:pic>
              </a:graphicData>
            </a:graphic>
          </wp:inline>
        </w:drawing>
      </w:r>
    </w:p>
    <w:p w14:paraId="61490570">
      <w:pPr>
        <w:jc w:val="center"/>
        <w:rPr>
          <w:rFonts w:hint="default" w:ascii="Times New Roman" w:hAnsi="Times New Roman" w:eastAsia="宋体" w:cs="Times New Roman"/>
        </w:rPr>
        <w:sectPr>
          <w:pgSz w:w="11906" w:h="16838"/>
          <w:pgMar w:top="1440" w:right="1406" w:bottom="1440" w:left="1406" w:header="851" w:footer="992" w:gutter="0"/>
          <w:pgBorders>
            <w:top w:val="none" w:sz="0" w:space="0"/>
            <w:left w:val="none" w:sz="0" w:space="0"/>
            <w:bottom w:val="none" w:sz="0" w:space="0"/>
            <w:right w:val="none" w:sz="0" w:space="0"/>
          </w:pgBorders>
          <w:cols w:space="425" w:num="1"/>
          <w:docGrid w:type="lines" w:linePitch="312" w:charSpace="0"/>
        </w:sectPr>
      </w:pPr>
    </w:p>
    <w:p w14:paraId="4A9281D2">
      <w:pPr>
        <w:pStyle w:val="17"/>
        <w:spacing w:before="120" w:beforeLines="50" w:beforeAutospacing="0" w:after="120" w:afterLines="50" w:afterAutospacing="0"/>
        <w:jc w:val="left"/>
        <w:outlineLvl w:val="0"/>
        <w:rPr>
          <w:rFonts w:hint="default" w:ascii="Times New Roman" w:hAnsi="Times New Roman" w:eastAsia="宋体" w:cs="Times New Roman"/>
          <w:b w:val="0"/>
          <w:bCs w:val="0"/>
          <w:snapToGrid w:val="0"/>
          <w:color w:val="000000"/>
          <w:sz w:val="24"/>
          <w:szCs w:val="24"/>
          <w:highlight w:val="none"/>
          <w:lang w:val="en-US" w:eastAsia="zh-CN"/>
        </w:rPr>
      </w:pPr>
      <w:r>
        <w:rPr>
          <w:rFonts w:hint="eastAsia" w:ascii="Times New Roman" w:hAnsi="Times New Roman" w:eastAsia="宋体" w:cs="Times New Roman"/>
          <w:lang w:eastAsia="zh-CN"/>
        </w:rPr>
        <w:drawing>
          <wp:inline distT="0" distB="0" distL="114300" distR="114300">
            <wp:extent cx="5769610" cy="8160385"/>
            <wp:effectExtent l="0" t="0" r="2540" b="12065"/>
            <wp:docPr id="32" name="图片 32" descr="202512218淄博经济开发区管理委员会建设局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512218淄博经济开发区管理委员会建设局_页面_1"/>
                    <pic:cNvPicPr>
                      <a:picLocks noChangeAspect="1"/>
                    </pic:cNvPicPr>
                  </pic:nvPicPr>
                  <pic:blipFill>
                    <a:blip r:embed="rId48"/>
                    <a:stretch>
                      <a:fillRect/>
                    </a:stretch>
                  </pic:blipFill>
                  <pic:spPr>
                    <a:xfrm>
                      <a:off x="0" y="0"/>
                      <a:ext cx="5769610" cy="8160385"/>
                    </a:xfrm>
                    <a:prstGeom prst="rect">
                      <a:avLst/>
                    </a:prstGeom>
                  </pic:spPr>
                </pic:pic>
              </a:graphicData>
            </a:graphic>
          </wp:inline>
        </w:drawing>
      </w:r>
      <w:r>
        <w:rPr>
          <w:rFonts w:hint="eastAsia" w:ascii="Times New Roman" w:hAnsi="Times New Roman" w:eastAsia="宋体" w:cs="Times New Roman"/>
          <w:lang w:eastAsia="zh-CN"/>
        </w:rPr>
        <w:drawing>
          <wp:inline distT="0" distB="0" distL="114300" distR="114300">
            <wp:extent cx="5770880" cy="8160385"/>
            <wp:effectExtent l="0" t="0" r="1270" b="12065"/>
            <wp:docPr id="33" name="图片 33" descr="202512218淄博经济开发区管理委员会建设局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12218淄博经济开发区管理委员会建设局_页面_3"/>
                    <pic:cNvPicPr>
                      <a:picLocks noChangeAspect="1"/>
                    </pic:cNvPicPr>
                  </pic:nvPicPr>
                  <pic:blipFill>
                    <a:blip r:embed="rId49"/>
                    <a:stretch>
                      <a:fillRect/>
                    </a:stretch>
                  </pic:blipFill>
                  <pic:spPr>
                    <a:xfrm>
                      <a:off x="0" y="0"/>
                      <a:ext cx="5770880" cy="8160385"/>
                    </a:xfrm>
                    <a:prstGeom prst="rect">
                      <a:avLst/>
                    </a:prstGeom>
                  </pic:spPr>
                </pic:pic>
              </a:graphicData>
            </a:graphic>
          </wp:inline>
        </w:drawing>
      </w:r>
      <w:r>
        <w:rPr>
          <w:rFonts w:hint="eastAsia" w:ascii="Times New Roman" w:hAnsi="Times New Roman" w:eastAsia="宋体" w:cs="Times New Roman"/>
          <w:lang w:eastAsia="zh-CN"/>
        </w:rPr>
        <w:drawing>
          <wp:inline distT="0" distB="0" distL="114300" distR="114300">
            <wp:extent cx="5770880" cy="8160385"/>
            <wp:effectExtent l="0" t="0" r="1270" b="12065"/>
            <wp:docPr id="36" name="图片 36" descr="202512218淄博经济开发区管理委员会建设局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512218淄博经济开发区管理委员会建设局_页面_4"/>
                    <pic:cNvPicPr>
                      <a:picLocks noChangeAspect="1"/>
                    </pic:cNvPicPr>
                  </pic:nvPicPr>
                  <pic:blipFill>
                    <a:blip r:embed="rId50"/>
                    <a:stretch>
                      <a:fillRect/>
                    </a:stretch>
                  </pic:blipFill>
                  <pic:spPr>
                    <a:xfrm>
                      <a:off x="0" y="0"/>
                      <a:ext cx="5770880" cy="8160385"/>
                    </a:xfrm>
                    <a:prstGeom prst="rect">
                      <a:avLst/>
                    </a:prstGeom>
                  </pic:spPr>
                </pic:pic>
              </a:graphicData>
            </a:graphic>
          </wp:inline>
        </w:drawing>
      </w:r>
    </w:p>
    <w:p w14:paraId="70134B4F">
      <w:pPr>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770880" cy="8160385"/>
            <wp:effectExtent l="0" t="0" r="1270" b="12065"/>
            <wp:docPr id="37" name="图片 37" descr="202512218淄博经济开发区管理委员会建设局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12218淄博经济开发区管理委员会建设局_页面_5"/>
                    <pic:cNvPicPr>
                      <a:picLocks noChangeAspect="1"/>
                    </pic:cNvPicPr>
                  </pic:nvPicPr>
                  <pic:blipFill>
                    <a:blip r:embed="rId51"/>
                    <a:stretch>
                      <a:fillRect/>
                    </a:stretch>
                  </pic:blipFill>
                  <pic:spPr>
                    <a:xfrm>
                      <a:off x="0" y="0"/>
                      <a:ext cx="5770880" cy="8160385"/>
                    </a:xfrm>
                    <a:prstGeom prst="rect">
                      <a:avLst/>
                    </a:prstGeom>
                  </pic:spPr>
                </pic:pic>
              </a:graphicData>
            </a:graphic>
          </wp:inline>
        </w:drawing>
      </w:r>
      <w:r>
        <w:rPr>
          <w:rFonts w:hint="eastAsia" w:ascii="Times New Roman" w:hAnsi="Times New Roman" w:eastAsia="宋体" w:cs="Times New Roman"/>
          <w:lang w:eastAsia="zh-CN"/>
        </w:rPr>
        <w:drawing>
          <wp:inline distT="0" distB="0" distL="114300" distR="114300">
            <wp:extent cx="5770880" cy="8160385"/>
            <wp:effectExtent l="0" t="0" r="1270" b="12065"/>
            <wp:docPr id="38" name="图片 38" descr="202512218淄博经济开发区管理委员会建设局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12218淄博经济开发区管理委员会建设局_页面_6"/>
                    <pic:cNvPicPr>
                      <a:picLocks noChangeAspect="1"/>
                    </pic:cNvPicPr>
                  </pic:nvPicPr>
                  <pic:blipFill>
                    <a:blip r:embed="rId52"/>
                    <a:stretch>
                      <a:fillRect/>
                    </a:stretch>
                  </pic:blipFill>
                  <pic:spPr>
                    <a:xfrm>
                      <a:off x="0" y="0"/>
                      <a:ext cx="5770880" cy="8160385"/>
                    </a:xfrm>
                    <a:prstGeom prst="rect">
                      <a:avLst/>
                    </a:prstGeom>
                  </pic:spPr>
                </pic:pic>
              </a:graphicData>
            </a:graphic>
          </wp:inline>
        </w:drawing>
      </w:r>
      <w:r>
        <w:rPr>
          <w:rFonts w:hint="eastAsia" w:ascii="Times New Roman" w:hAnsi="Times New Roman" w:eastAsia="宋体" w:cs="Times New Roman"/>
          <w:lang w:eastAsia="zh-CN"/>
        </w:rPr>
        <w:drawing>
          <wp:inline distT="0" distB="0" distL="114300" distR="114300">
            <wp:extent cx="5770245" cy="8157845"/>
            <wp:effectExtent l="0" t="0" r="1905" b="14605"/>
            <wp:docPr id="39" name="图片 39" descr="202512218淄博经济开发区管理委员会建设局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512218淄博经济开发区管理委员会建设局_页面_2"/>
                    <pic:cNvPicPr>
                      <a:picLocks noChangeAspect="1"/>
                    </pic:cNvPicPr>
                  </pic:nvPicPr>
                  <pic:blipFill>
                    <a:blip r:embed="rId53"/>
                    <a:stretch>
                      <a:fillRect/>
                    </a:stretch>
                  </pic:blipFill>
                  <pic:spPr>
                    <a:xfrm>
                      <a:off x="0" y="0"/>
                      <a:ext cx="5770245" cy="8157845"/>
                    </a:xfrm>
                    <a:prstGeom prst="rect">
                      <a:avLst/>
                    </a:prstGeom>
                  </pic:spPr>
                </pic:pic>
              </a:graphicData>
            </a:graphic>
          </wp:inline>
        </w:drawing>
      </w:r>
      <w:r>
        <w:drawing>
          <wp:inline distT="0" distB="0" distL="114300" distR="114300">
            <wp:extent cx="5753100" cy="8201025"/>
            <wp:effectExtent l="0" t="0" r="0" b="952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4"/>
                    <a:stretch>
                      <a:fillRect/>
                    </a:stretch>
                  </pic:blipFill>
                  <pic:spPr>
                    <a:xfrm>
                      <a:off x="0" y="0"/>
                      <a:ext cx="5753100" cy="8201025"/>
                    </a:xfrm>
                    <a:prstGeom prst="rect">
                      <a:avLst/>
                    </a:prstGeom>
                    <a:noFill/>
                    <a:ln>
                      <a:noFill/>
                    </a:ln>
                  </pic:spPr>
                </pic:pic>
              </a:graphicData>
            </a:graphic>
          </wp:inline>
        </w:drawing>
      </w:r>
      <w:r>
        <w:drawing>
          <wp:inline distT="0" distB="0" distL="114300" distR="114300">
            <wp:extent cx="6115050" cy="8210550"/>
            <wp:effectExtent l="0" t="0" r="0" b="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55"/>
                    <a:stretch>
                      <a:fillRect/>
                    </a:stretch>
                  </pic:blipFill>
                  <pic:spPr>
                    <a:xfrm>
                      <a:off x="0" y="0"/>
                      <a:ext cx="6115050" cy="8210550"/>
                    </a:xfrm>
                    <a:prstGeom prst="rect">
                      <a:avLst/>
                    </a:prstGeom>
                    <a:noFill/>
                    <a:ln>
                      <a:noFill/>
                    </a:ln>
                  </pic:spPr>
                </pic:pic>
              </a:graphicData>
            </a:graphic>
          </wp:inline>
        </w:drawing>
      </w:r>
    </w:p>
    <w:p w14:paraId="610DD5C2">
      <w:pPr>
        <w:jc w:val="center"/>
        <w:rPr>
          <w:rFonts w:hint="default" w:ascii="Times New Roman" w:hAnsi="Times New Roman" w:eastAsia="宋体" w:cs="Times New Roman"/>
        </w:rPr>
      </w:pPr>
      <w:r>
        <w:drawing>
          <wp:inline distT="0" distB="0" distL="114300" distR="114300">
            <wp:extent cx="5867400" cy="8305800"/>
            <wp:effectExtent l="0" t="0" r="0" b="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56"/>
                    <a:stretch>
                      <a:fillRect/>
                    </a:stretch>
                  </pic:blipFill>
                  <pic:spPr>
                    <a:xfrm>
                      <a:off x="0" y="0"/>
                      <a:ext cx="5867400" cy="8305800"/>
                    </a:xfrm>
                    <a:prstGeom prst="rect">
                      <a:avLst/>
                    </a:prstGeom>
                    <a:noFill/>
                    <a:ln>
                      <a:noFill/>
                    </a:ln>
                  </pic:spPr>
                </pic:pic>
              </a:graphicData>
            </a:graphic>
          </wp:inline>
        </w:drawing>
      </w:r>
    </w:p>
    <w:p w14:paraId="31C52553">
      <w:pPr>
        <w:pStyle w:val="2"/>
        <w:ind w:left="0" w:leftChars="0" w:firstLine="0" w:firstLineChars="0"/>
        <w:jc w:val="both"/>
        <w:rPr>
          <w:rFonts w:hint="default"/>
        </w:rPr>
      </w:pPr>
      <w:r>
        <w:drawing>
          <wp:inline distT="0" distB="0" distL="114300" distR="114300">
            <wp:extent cx="6029325" cy="8096250"/>
            <wp:effectExtent l="0" t="0" r="9525" b="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57"/>
                    <a:stretch>
                      <a:fillRect/>
                    </a:stretch>
                  </pic:blipFill>
                  <pic:spPr>
                    <a:xfrm>
                      <a:off x="0" y="0"/>
                      <a:ext cx="6029325" cy="8096250"/>
                    </a:xfrm>
                    <a:prstGeom prst="rect">
                      <a:avLst/>
                    </a:prstGeom>
                    <a:noFill/>
                    <a:ln>
                      <a:noFill/>
                    </a:ln>
                  </pic:spPr>
                </pic:pic>
              </a:graphicData>
            </a:graphic>
          </wp:inline>
        </w:drawing>
      </w:r>
      <w:r>
        <w:drawing>
          <wp:inline distT="0" distB="0" distL="114300" distR="114300">
            <wp:extent cx="5876925" cy="7962900"/>
            <wp:effectExtent l="0" t="0" r="9525" b="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58"/>
                    <a:stretch>
                      <a:fillRect/>
                    </a:stretch>
                  </pic:blipFill>
                  <pic:spPr>
                    <a:xfrm>
                      <a:off x="0" y="0"/>
                      <a:ext cx="5876925" cy="7962900"/>
                    </a:xfrm>
                    <a:prstGeom prst="rect">
                      <a:avLst/>
                    </a:prstGeom>
                    <a:noFill/>
                    <a:ln>
                      <a:noFill/>
                    </a:ln>
                  </pic:spPr>
                </pic:pic>
              </a:graphicData>
            </a:graphic>
          </wp:inline>
        </w:drawing>
      </w:r>
      <w:r>
        <w:drawing>
          <wp:inline distT="0" distB="0" distL="114300" distR="114300">
            <wp:extent cx="6120130" cy="8449310"/>
            <wp:effectExtent l="0" t="0" r="13970" b="889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9"/>
                    <a:stretch>
                      <a:fillRect/>
                    </a:stretch>
                  </pic:blipFill>
                  <pic:spPr>
                    <a:xfrm>
                      <a:off x="0" y="0"/>
                      <a:ext cx="6120130" cy="8449310"/>
                    </a:xfrm>
                    <a:prstGeom prst="rect">
                      <a:avLst/>
                    </a:prstGeom>
                    <a:noFill/>
                    <a:ln>
                      <a:noFill/>
                    </a:ln>
                  </pic:spPr>
                </pic:pic>
              </a:graphicData>
            </a:graphic>
          </wp:inline>
        </w:drawing>
      </w:r>
    </w:p>
    <w:p w14:paraId="5B83BA1C">
      <w:pPr>
        <w:rPr>
          <w:rFonts w:hint="eastAsia" w:eastAsiaTheme="minorEastAsia"/>
          <w:lang w:eastAsia="zh-CN"/>
        </w:rPr>
      </w:pPr>
    </w:p>
    <w:p w14:paraId="265F27A1">
      <w:pPr>
        <w:pStyle w:val="19"/>
        <w:ind w:left="0" w:leftChars="0" w:firstLine="0" w:firstLineChars="0"/>
        <w:sectPr>
          <w:pgSz w:w="11906" w:h="16838"/>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165EAE57">
      <w:pPr>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auto"/>
          <w:sz w:val="24"/>
          <w:szCs w:val="24"/>
          <w:lang w:eastAsia="zh-CN"/>
        </w:rPr>
        <w:t>附图</w:t>
      </w:r>
      <w:r>
        <w:rPr>
          <w:rFonts w:hint="default"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1a</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eastAsia="zh-CN"/>
        </w:rPr>
        <w:t>涝淄河</w:t>
      </w:r>
      <w:r>
        <w:rPr>
          <w:rFonts w:hint="eastAsia" w:cs="Times New Roman"/>
          <w:b/>
          <w:bCs/>
          <w:color w:val="auto"/>
          <w:sz w:val="24"/>
          <w:szCs w:val="24"/>
          <w:lang w:eastAsia="zh-CN"/>
        </w:rPr>
        <w:t>、大高村排涝沟</w:t>
      </w:r>
      <w:r>
        <w:rPr>
          <w:rFonts w:hint="default" w:ascii="Times New Roman" w:hAnsi="Times New Roman" w:eastAsia="宋体" w:cs="Times New Roman"/>
          <w:b/>
          <w:bCs/>
          <w:color w:val="auto"/>
          <w:sz w:val="24"/>
          <w:szCs w:val="24"/>
          <w:lang w:eastAsia="zh-CN"/>
        </w:rPr>
        <w:t>治理工程地理位置和敏感目标点图</w:t>
      </w:r>
    </w:p>
    <w:p w14:paraId="1ED8B98D">
      <w:pPr>
        <w:jc w:val="left"/>
      </w:pPr>
      <w:r>
        <w:rPr>
          <w:sz w:val="21"/>
        </w:rPr>
        <mc:AlternateContent>
          <mc:Choice Requires="wps">
            <w:drawing>
              <wp:anchor distT="0" distB="0" distL="114300" distR="114300" simplePos="0" relativeHeight="251893760" behindDoc="0" locked="0" layoutInCell="1" allowOverlap="1">
                <wp:simplePos x="0" y="0"/>
                <wp:positionH relativeFrom="column">
                  <wp:posOffset>154940</wp:posOffset>
                </wp:positionH>
                <wp:positionV relativeFrom="paragraph">
                  <wp:posOffset>6496685</wp:posOffset>
                </wp:positionV>
                <wp:extent cx="137160" cy="147955"/>
                <wp:effectExtent l="6350" t="6350" r="8890" b="17145"/>
                <wp:wrapNone/>
                <wp:docPr id="188" name="椭圆 188"/>
                <wp:cNvGraphicFramePr/>
                <a:graphic xmlns:a="http://schemas.openxmlformats.org/drawingml/2006/main">
                  <a:graphicData uri="http://schemas.microsoft.com/office/word/2010/wordprocessingShape">
                    <wps:wsp>
                      <wps:cNvSpPr/>
                      <wps:spPr>
                        <a:xfrm>
                          <a:off x="875030" y="744601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2pt;margin-top:511.55pt;height:11.65pt;width:10.8pt;z-index:251893760;v-text-anchor:middle;mso-width-relative:page;mso-height-relative:page;" filled="f" stroked="t" coordsize="21600,21600" o:gfxdata="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QhoyU1QAAAAsBAAAPAAAAAAAAAAEAIAAAACIAAABkcnMv&#10;ZG93bnJldi54bWxQSwECFAAUAAAACACHTuJAcUavtngCAADcBAAADgAAAAAAAAABACAAAAAkAQAA&#10;ZHJzL2Uyb0RvYy54bWxQSwUGAAAAAAYABgBZAQAADgY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892736" behindDoc="0" locked="0" layoutInCell="1" allowOverlap="1">
                <wp:simplePos x="0" y="0"/>
                <wp:positionH relativeFrom="column">
                  <wp:posOffset>91440</wp:posOffset>
                </wp:positionH>
                <wp:positionV relativeFrom="paragraph">
                  <wp:posOffset>6305550</wp:posOffset>
                </wp:positionV>
                <wp:extent cx="212090" cy="85090"/>
                <wp:effectExtent l="13970" t="13970" r="21590" b="15240"/>
                <wp:wrapNone/>
                <wp:docPr id="186" name="矩形 186"/>
                <wp:cNvGraphicFramePr/>
                <a:graphic xmlns:a="http://schemas.openxmlformats.org/drawingml/2006/main">
                  <a:graphicData uri="http://schemas.microsoft.com/office/word/2010/wordprocessingShape">
                    <wps:wsp>
                      <wps:cNvSpPr/>
                      <wps:spPr>
                        <a:xfrm>
                          <a:off x="811530" y="7223760"/>
                          <a:ext cx="212090" cy="8509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pt;margin-top:496.5pt;height:6.7pt;width:16.7pt;z-index:251892736;v-text-anchor:middle;mso-width-relative:page;mso-height-relative:page;" filled="f" stroked="t" coordsize="21600,21600" o:gfxdata="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j/m10tQAAAAKAQAADwAAAAAAAAABACAAAAAiAAAAZHJzL2Rvd25y&#10;ZXYueG1sUEsBAhQAFAAAAAgAh07iQKxnEBh0AgAA2AQAAA4AAAAAAAAAAQAgAAAAIwEAAGRycy9l&#10;Mm9Eb2MueG1sUEsFBgAAAAAGAAYAWQEAAAk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891712" behindDoc="0" locked="0" layoutInCell="1" allowOverlap="1">
                <wp:simplePos x="0" y="0"/>
                <wp:positionH relativeFrom="column">
                  <wp:posOffset>123190</wp:posOffset>
                </wp:positionH>
                <wp:positionV relativeFrom="paragraph">
                  <wp:posOffset>6168390</wp:posOffset>
                </wp:positionV>
                <wp:extent cx="201295" cy="0"/>
                <wp:effectExtent l="0" t="9525" r="8255" b="9525"/>
                <wp:wrapNone/>
                <wp:docPr id="185" name="直接连接符 185"/>
                <wp:cNvGraphicFramePr/>
                <a:graphic xmlns:a="http://schemas.openxmlformats.org/drawingml/2006/main">
                  <a:graphicData uri="http://schemas.microsoft.com/office/word/2010/wordprocessingShape">
                    <wps:wsp>
                      <wps:cNvCnPr/>
                      <wps:spPr>
                        <a:xfrm>
                          <a:off x="843280" y="7086600"/>
                          <a:ext cx="201295" cy="0"/>
                        </a:xfrm>
                        <a:prstGeom prst="line">
                          <a:avLst/>
                        </a:prstGeom>
                        <a:ln w="19050">
                          <a:solidFill>
                            <a:schemeClr val="accent4"/>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7pt;margin-top:485.7pt;height:0pt;width:15.85pt;z-index:251891712;mso-width-relative:page;mso-height-relative:page;" filled="f" stroked="t" coordsize="21600,21600" o:gfxdata="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vMW2dcAAAAJAQAADwAAAAAAAAABACAAAAAiAAAAZHJzL2Rvd25yZXYueG1sUEsBAhQA&#10;FAAAAAgAh07iQIJzCx7zAQAAwAMAAA4AAAAAAAAAAQAgAAAAJgEAAGRycy9lMm9Eb2MueG1sUEsF&#10;BgAAAAAGAAYAWQEAAIsFAAAAAA==&#10;">
                <v:fill on="f" focussize="0,0"/>
                <v:stroke weight="1.5pt" color="#FFC000 [3207]" miterlimit="8" joinstyle="miter"/>
                <v:imagedata o:title=""/>
                <o:lock v:ext="edit" aspectratio="f"/>
              </v:line>
            </w:pict>
          </mc:Fallback>
        </mc:AlternateContent>
      </w:r>
      <w:r>
        <w:rPr>
          <w:sz w:val="21"/>
        </w:rPr>
        <mc:AlternateContent>
          <mc:Choice Requires="wps">
            <w:drawing>
              <wp:anchor distT="0" distB="0" distL="114300" distR="114300" simplePos="0" relativeHeight="251890688" behindDoc="0" locked="0" layoutInCell="1" allowOverlap="1">
                <wp:simplePos x="0" y="0"/>
                <wp:positionH relativeFrom="column">
                  <wp:posOffset>-13970</wp:posOffset>
                </wp:positionH>
                <wp:positionV relativeFrom="paragraph">
                  <wp:posOffset>5617210</wp:posOffset>
                </wp:positionV>
                <wp:extent cx="1270635" cy="1101090"/>
                <wp:effectExtent l="5080" t="4445" r="19685" b="18415"/>
                <wp:wrapNone/>
                <wp:docPr id="184" name="文本框 184"/>
                <wp:cNvGraphicFramePr/>
                <a:graphic xmlns:a="http://schemas.openxmlformats.org/drawingml/2006/main">
                  <a:graphicData uri="http://schemas.microsoft.com/office/word/2010/wordprocessingShape">
                    <wps:wsp>
                      <wps:cNvSpPr txBox="1"/>
                      <wps:spPr>
                        <a:xfrm>
                          <a:off x="928370" y="608076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06C453">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C08F742">
                            <w:pPr>
                              <w:pStyle w:val="2"/>
                              <w:rPr>
                                <w:rFonts w:hint="eastAsia"/>
                                <w:lang w:eastAsia="zh-CN"/>
                              </w:rPr>
                            </w:pPr>
                          </w:p>
                          <w:p w14:paraId="055380D5">
                            <w:pPr>
                              <w:pStyle w:val="2"/>
                              <w:rPr>
                                <w:rFonts w:hint="eastAsia"/>
                                <w:lang w:eastAsia="zh-CN"/>
                              </w:rPr>
                            </w:pPr>
                            <w:r>
                              <w:rPr>
                                <w:rFonts w:hint="eastAsia"/>
                                <w:lang w:eastAsia="zh-CN"/>
                              </w:rPr>
                              <w:t>河流</w:t>
                            </w:r>
                          </w:p>
                          <w:p w14:paraId="5FCFF77A">
                            <w:pPr>
                              <w:pStyle w:val="2"/>
                              <w:rPr>
                                <w:rFonts w:hint="eastAsia"/>
                                <w:lang w:eastAsia="zh-CN"/>
                              </w:rPr>
                            </w:pPr>
                            <w:r>
                              <w:rPr>
                                <w:rFonts w:hint="eastAsia"/>
                                <w:lang w:eastAsia="zh-CN"/>
                              </w:rPr>
                              <w:t>敏感目标</w:t>
                            </w:r>
                          </w:p>
                          <w:p w14:paraId="3BE0A370">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442.3pt;height:86.7pt;width:100.05pt;z-index:251890688;mso-width-relative:page;mso-height-relative:page;" fillcolor="#FFFFFF [3201]" filled="t" stroked="t" coordsize="21600,21600" o:gfxdata="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QXMftgAAAALAQAADwAAAAAAAAABACAAAAAiAAAAZHJzL2Rvd25yZXYueG1sUEsB&#10;AhQAFAAAAAgAh07iQIrHH/1nAgAAxwQAAA4AAAAAAAAAAQAgAAAAJwEAAGRycy9lMm9Eb2MueG1s&#10;UEsFBgAAAAAGAAYAWQEAAAAGAAAAAA==&#10;">
                <v:fill on="t" focussize="0,0"/>
                <v:stroke weight="0.5pt" color="#000000 [3204]" joinstyle="round"/>
                <v:imagedata o:title=""/>
                <o:lock v:ext="edit" aspectratio="f"/>
                <v:textbox>
                  <w:txbxContent>
                    <w:p w14:paraId="7F06C453">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C08F742">
                      <w:pPr>
                        <w:pStyle w:val="2"/>
                        <w:rPr>
                          <w:rFonts w:hint="eastAsia"/>
                          <w:lang w:eastAsia="zh-CN"/>
                        </w:rPr>
                      </w:pPr>
                    </w:p>
                    <w:p w14:paraId="055380D5">
                      <w:pPr>
                        <w:pStyle w:val="2"/>
                        <w:rPr>
                          <w:rFonts w:hint="eastAsia"/>
                          <w:lang w:eastAsia="zh-CN"/>
                        </w:rPr>
                      </w:pPr>
                      <w:r>
                        <w:rPr>
                          <w:rFonts w:hint="eastAsia"/>
                          <w:lang w:eastAsia="zh-CN"/>
                        </w:rPr>
                        <w:t>河流</w:t>
                      </w:r>
                    </w:p>
                    <w:p w14:paraId="5FCFF77A">
                      <w:pPr>
                        <w:pStyle w:val="2"/>
                        <w:rPr>
                          <w:rFonts w:hint="eastAsia"/>
                          <w:lang w:eastAsia="zh-CN"/>
                        </w:rPr>
                      </w:pPr>
                      <w:r>
                        <w:rPr>
                          <w:rFonts w:hint="eastAsia"/>
                          <w:lang w:eastAsia="zh-CN"/>
                        </w:rPr>
                        <w:t>敏感目标</w:t>
                      </w:r>
                    </w:p>
                    <w:p w14:paraId="3BE0A370">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29920" behindDoc="0" locked="0" layoutInCell="1" allowOverlap="1">
                <wp:simplePos x="0" y="0"/>
                <wp:positionH relativeFrom="column">
                  <wp:posOffset>4048125</wp:posOffset>
                </wp:positionH>
                <wp:positionV relativeFrom="paragraph">
                  <wp:posOffset>3983990</wp:posOffset>
                </wp:positionV>
                <wp:extent cx="1119505" cy="290830"/>
                <wp:effectExtent l="0" t="0" r="0" b="0"/>
                <wp:wrapNone/>
                <wp:docPr id="52" name="文本框 52"/>
                <wp:cNvGraphicFramePr/>
                <a:graphic xmlns:a="http://schemas.openxmlformats.org/drawingml/2006/main">
                  <a:graphicData uri="http://schemas.microsoft.com/office/word/2010/wordprocessingShape">
                    <wps:wsp>
                      <wps:cNvSpPr txBox="1"/>
                      <wps:spPr>
                        <a:xfrm rot="840000">
                          <a:off x="0" y="0"/>
                          <a:ext cx="1119505"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F54229">
                            <w:pPr>
                              <w:rPr>
                                <w:rFonts w:hint="eastAsia" w:eastAsia="宋体"/>
                                <w:b/>
                                <w:bCs/>
                                <w:color w:val="FFFF00"/>
                                <w:sz w:val="24"/>
                                <w:szCs w:val="24"/>
                                <w:lang w:eastAsia="zh-CN"/>
                              </w:rPr>
                            </w:pPr>
                            <w:r>
                              <w:rPr>
                                <w:rFonts w:hint="eastAsia"/>
                                <w:b/>
                                <w:bCs/>
                                <w:color w:val="FFFF00"/>
                                <w:sz w:val="24"/>
                                <w:szCs w:val="24"/>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75pt;margin-top:313.7pt;height:22.9pt;width:88.15pt;rotation:917504f;z-index:251729920;mso-width-relative:page;mso-height-relative:page;" filled="f" stroked="f" coordsize="21600,21600" o:gfxdata="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KI/wLXAAAACwEAAA8AAAAAAAAAAQAgAAAA&#10;IgAAAGRycy9kb3ducmV2LnhtbFBLAQIUABQAAAAIAIdO4kCu/fBRRQIAAHUEAAAOAAAAAAAAAAEA&#10;IAAAACYBAABkcnMvZTJvRG9jLnhtbFBLBQYAAAAABgAGAFkBAADdBQAAAAA=&#10;">
                <v:fill on="f" focussize="0,0"/>
                <v:stroke on="f" weight="0.5pt"/>
                <v:imagedata o:title=""/>
                <o:lock v:ext="edit" aspectratio="f"/>
                <v:textbox>
                  <w:txbxContent>
                    <w:p w14:paraId="57F54229">
                      <w:pPr>
                        <w:rPr>
                          <w:rFonts w:hint="eastAsia" w:eastAsia="宋体"/>
                          <w:b/>
                          <w:bCs/>
                          <w:color w:val="FFFF00"/>
                          <w:sz w:val="24"/>
                          <w:szCs w:val="24"/>
                          <w:lang w:eastAsia="zh-CN"/>
                        </w:rPr>
                      </w:pPr>
                      <w:r>
                        <w:rPr>
                          <w:rFonts w:hint="eastAsia"/>
                          <w:b/>
                          <w:bCs/>
                          <w:color w:val="FFFF00"/>
                          <w:sz w:val="24"/>
                          <w:szCs w:val="24"/>
                          <w:lang w:eastAsia="zh-CN"/>
                        </w:rPr>
                        <w:t>大高村排涝沟</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1488" behindDoc="0" locked="0" layoutInCell="1" allowOverlap="1">
                <wp:simplePos x="0" y="0"/>
                <wp:positionH relativeFrom="column">
                  <wp:posOffset>2357755</wp:posOffset>
                </wp:positionH>
                <wp:positionV relativeFrom="paragraph">
                  <wp:posOffset>4036060</wp:posOffset>
                </wp:positionV>
                <wp:extent cx="728345" cy="290830"/>
                <wp:effectExtent l="0" t="0" r="0" b="0"/>
                <wp:wrapNone/>
                <wp:docPr id="98" name="文本框 98"/>
                <wp:cNvGraphicFramePr/>
                <a:graphic xmlns:a="http://schemas.openxmlformats.org/drawingml/2006/main">
                  <a:graphicData uri="http://schemas.microsoft.com/office/word/2010/wordprocessingShape">
                    <wps:wsp>
                      <wps:cNvSpPr txBox="1"/>
                      <wps:spPr>
                        <a:xfrm rot="840000">
                          <a:off x="0" y="0"/>
                          <a:ext cx="728345"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809455">
                            <w:pPr>
                              <w:rPr>
                                <w:rFonts w:hint="eastAsia" w:eastAsia="宋体"/>
                                <w:b/>
                                <w:bCs/>
                                <w:color w:val="FFFF00"/>
                                <w:sz w:val="24"/>
                                <w:szCs w:val="24"/>
                                <w:lang w:eastAsia="zh-CN"/>
                              </w:rPr>
                            </w:pPr>
                            <w:r>
                              <w:rPr>
                                <w:rFonts w:hint="eastAsia"/>
                                <w:b/>
                                <w:bCs/>
                                <w:color w:val="FFFF00"/>
                                <w:sz w:val="24"/>
                                <w:szCs w:val="24"/>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65pt;margin-top:317.8pt;height:22.9pt;width:57.35pt;rotation:917504f;z-index:251711488;mso-width-relative:page;mso-height-relative:page;" filled="f" stroked="f" coordsize="21600,21600" o:gfxdata="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CnP2LXAAAACwEAAA8AAAAAAAAAAQAgAAAA&#10;IgAAAGRycy9kb3ducmV2LnhtbFBLAQIUABQAAAAIAIdO4kAFDNOoRQIAAHQEAAAOAAAAAAAAAAEA&#10;IAAAACYBAABkcnMvZTJvRG9jLnhtbFBLBQYAAAAABgAGAFkBAADdBQAAAAA=&#10;">
                <v:fill on="f" focussize="0,0"/>
                <v:stroke on="f" weight="0.5pt"/>
                <v:imagedata o:title=""/>
                <o:lock v:ext="edit" aspectratio="f"/>
                <v:textbox>
                  <w:txbxContent>
                    <w:p w14:paraId="5E809455">
                      <w:pPr>
                        <w:rPr>
                          <w:rFonts w:hint="eastAsia" w:eastAsia="宋体"/>
                          <w:b/>
                          <w:bCs/>
                          <w:color w:val="FFFF00"/>
                          <w:sz w:val="24"/>
                          <w:szCs w:val="24"/>
                          <w:lang w:eastAsia="zh-CN"/>
                        </w:rPr>
                      </w:pPr>
                      <w:r>
                        <w:rPr>
                          <w:rFonts w:hint="eastAsia"/>
                          <w:b/>
                          <w:bCs/>
                          <w:color w:val="FFFF00"/>
                          <w:sz w:val="24"/>
                          <w:szCs w:val="24"/>
                          <w:lang w:eastAsia="zh-CN"/>
                        </w:rPr>
                        <w:t>涝淄河</w:t>
                      </w:r>
                    </w:p>
                  </w:txbxContent>
                </v:textbox>
              </v:shape>
            </w:pict>
          </mc:Fallback>
        </mc:AlternateContent>
      </w:r>
      <w:r>
        <w:rPr>
          <w:rFonts w:hint="default" w:ascii="Times New Roman" w:hAnsi="Times New Roman" w:eastAsia="宋体" w:cs="Times New Roman"/>
        </w:rPr>
        <w:drawing>
          <wp:anchor distT="0" distB="0" distL="114300" distR="114300" simplePos="0" relativeHeight="251730944" behindDoc="0" locked="0" layoutInCell="1" allowOverlap="1">
            <wp:simplePos x="0" y="0"/>
            <wp:positionH relativeFrom="page">
              <wp:posOffset>5440045</wp:posOffset>
            </wp:positionH>
            <wp:positionV relativeFrom="paragraph">
              <wp:posOffset>57785</wp:posOffset>
            </wp:positionV>
            <wp:extent cx="894715" cy="901700"/>
            <wp:effectExtent l="0" t="0" r="635" b="12700"/>
            <wp:wrapNone/>
            <wp:docPr id="10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drawing>
          <wp:inline distT="0" distB="0" distL="114300" distR="114300">
            <wp:extent cx="5991225" cy="6638925"/>
            <wp:effectExtent l="0" t="0" r="9525" b="9525"/>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61"/>
                    <a:stretch>
                      <a:fillRect/>
                    </a:stretch>
                  </pic:blipFill>
                  <pic:spPr>
                    <a:xfrm>
                      <a:off x="0" y="0"/>
                      <a:ext cx="5991225" cy="6638925"/>
                    </a:xfrm>
                    <a:prstGeom prst="rect">
                      <a:avLst/>
                    </a:prstGeom>
                    <a:noFill/>
                    <a:ln>
                      <a:noFill/>
                    </a:ln>
                  </pic:spPr>
                </pic:pic>
              </a:graphicData>
            </a:graphic>
          </wp:inline>
        </w:drawing>
      </w:r>
    </w:p>
    <w:p w14:paraId="566C86DC">
      <w:pPr>
        <w:jc w:val="left"/>
        <w:sectPr>
          <w:pgSz w:w="11906" w:h="16838"/>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6A94E04E">
      <w:pPr>
        <w:jc w:val="left"/>
        <w:rPr>
          <w:rFonts w:hint="default" w:ascii="Times New Roman" w:hAnsi="Times New Roman" w:eastAsia="宋体" w:cs="Times New Roman"/>
          <w:sz w:val="24"/>
          <w:szCs w:val="24"/>
        </w:rPr>
      </w:pPr>
      <w:r>
        <w:rPr>
          <w:rFonts w:hint="default" w:ascii="Times New Roman" w:hAnsi="Times New Roman" w:eastAsia="宋体" w:cs="Times New Roman"/>
          <w:b/>
          <w:bCs/>
          <w:color w:val="auto"/>
          <w:sz w:val="24"/>
          <w:szCs w:val="24"/>
          <w:lang w:eastAsia="zh-CN"/>
        </w:rPr>
        <w:t>附图</w:t>
      </w:r>
      <w:r>
        <w:rPr>
          <w:rFonts w:hint="default"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1b</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eastAsia="zh-CN"/>
        </w:rPr>
        <w:t>涝淄河治理工程</w:t>
      </w:r>
      <w:r>
        <w:rPr>
          <w:rFonts w:hint="eastAsia" w:cs="Times New Roman"/>
          <w:b/>
          <w:bCs/>
          <w:color w:val="auto"/>
          <w:sz w:val="24"/>
          <w:szCs w:val="24"/>
          <w:lang w:eastAsia="zh-CN"/>
        </w:rPr>
        <w:t>局部</w:t>
      </w:r>
      <w:r>
        <w:rPr>
          <w:rFonts w:hint="default" w:ascii="Times New Roman" w:hAnsi="Times New Roman" w:eastAsia="宋体" w:cs="Times New Roman"/>
          <w:b/>
          <w:bCs/>
          <w:color w:val="auto"/>
          <w:sz w:val="24"/>
          <w:szCs w:val="24"/>
          <w:lang w:eastAsia="zh-CN"/>
        </w:rPr>
        <w:t>敏感目标点图</w:t>
      </w:r>
    </w:p>
    <w:p w14:paraId="7127C6F1">
      <w:pPr>
        <w:jc w:val="center"/>
      </w:pPr>
      <w:r>
        <w:rPr>
          <w:sz w:val="21"/>
        </w:rPr>
        <mc:AlternateContent>
          <mc:Choice Requires="wps">
            <w:drawing>
              <wp:anchor distT="0" distB="0" distL="114300" distR="114300" simplePos="0" relativeHeight="251896832" behindDoc="0" locked="0" layoutInCell="1" allowOverlap="1">
                <wp:simplePos x="0" y="0"/>
                <wp:positionH relativeFrom="column">
                  <wp:posOffset>1033145</wp:posOffset>
                </wp:positionH>
                <wp:positionV relativeFrom="paragraph">
                  <wp:posOffset>5478780</wp:posOffset>
                </wp:positionV>
                <wp:extent cx="243205" cy="95250"/>
                <wp:effectExtent l="13970" t="13970" r="28575" b="24130"/>
                <wp:wrapNone/>
                <wp:docPr id="192" name="矩形 192"/>
                <wp:cNvGraphicFramePr/>
                <a:graphic xmlns:a="http://schemas.openxmlformats.org/drawingml/2006/main">
                  <a:graphicData uri="http://schemas.microsoft.com/office/word/2010/wordprocessingShape">
                    <wps:wsp>
                      <wps:cNvSpPr/>
                      <wps:spPr>
                        <a:xfrm>
                          <a:off x="1753235" y="639699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35pt;margin-top:431.4pt;height:7.5pt;width:19.15pt;z-index:251896832;v-text-anchor:middle;mso-width-relative:page;mso-height-relative:page;" filled="f" stroked="t" coordsize="21600,21600" o:gfxdata="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sexAXVAAAACwEAAA8AAAAAAAAAAQAgAAAAIgAAAGRycy9k&#10;b3ducmV2LnhtbFBLAQIUABQAAAAIAIdO4kB95EWFdwIAANkEAAAOAAAAAAAAAAEAIAAAACQBAABk&#10;cnMvZTJvRG9jLnhtbFBLBQYAAAAABgAGAFkBAAANBg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895808" behindDoc="0" locked="0" layoutInCell="1" allowOverlap="1">
                <wp:simplePos x="0" y="0"/>
                <wp:positionH relativeFrom="column">
                  <wp:posOffset>1043940</wp:posOffset>
                </wp:positionH>
                <wp:positionV relativeFrom="paragraph">
                  <wp:posOffset>5299075</wp:posOffset>
                </wp:positionV>
                <wp:extent cx="243205" cy="0"/>
                <wp:effectExtent l="0" t="13970" r="4445" b="24130"/>
                <wp:wrapNone/>
                <wp:docPr id="191" name="直接连接符 191"/>
                <wp:cNvGraphicFramePr/>
                <a:graphic xmlns:a="http://schemas.openxmlformats.org/drawingml/2006/main">
                  <a:graphicData uri="http://schemas.microsoft.com/office/word/2010/wordprocessingShape">
                    <wps:wsp>
                      <wps:cNvCnPr/>
                      <wps:spPr>
                        <a:xfrm>
                          <a:off x="1764030" y="6217285"/>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2.2pt;margin-top:417.25pt;height:0pt;width:19.15pt;z-index:251895808;mso-width-relative:page;mso-height-relative:page;" filled="f" stroked="t" coordsize="21600,21600" o:gfxdata="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IHf7dgAAAALAQAADwAAAAAAAAABACAAAAAiAAAAZHJzL2Rvd25yZXYueG1s&#10;UEsBAhQAFAAAAAgAh07iQKKSqDf4AQAAwQMAAA4AAAAAAAAAAQAgAAAAJwEAAGRycy9lMm9Eb2Mu&#10;eG1sUEsFBgAAAAAGAAYAWQEAAJEFA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894784" behindDoc="0" locked="0" layoutInCell="1" allowOverlap="1">
                <wp:simplePos x="0" y="0"/>
                <wp:positionH relativeFrom="column">
                  <wp:posOffset>928370</wp:posOffset>
                </wp:positionH>
                <wp:positionV relativeFrom="paragraph">
                  <wp:posOffset>4770755</wp:posOffset>
                </wp:positionV>
                <wp:extent cx="1270635" cy="1101090"/>
                <wp:effectExtent l="5080" t="4445" r="19685" b="18415"/>
                <wp:wrapNone/>
                <wp:docPr id="189" name="文本框 189"/>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54026A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64DE5F0D">
                            <w:pPr>
                              <w:pStyle w:val="2"/>
                              <w:rPr>
                                <w:rFonts w:hint="eastAsia"/>
                                <w:lang w:eastAsia="zh-CN"/>
                              </w:rPr>
                            </w:pPr>
                          </w:p>
                          <w:p w14:paraId="69AA34D1">
                            <w:pPr>
                              <w:pStyle w:val="2"/>
                              <w:rPr>
                                <w:rFonts w:hint="eastAsia"/>
                                <w:lang w:eastAsia="zh-CN"/>
                              </w:rPr>
                            </w:pPr>
                            <w:r>
                              <w:rPr>
                                <w:rFonts w:hint="eastAsia"/>
                                <w:lang w:eastAsia="zh-CN"/>
                              </w:rPr>
                              <w:t>河流</w:t>
                            </w:r>
                          </w:p>
                          <w:p w14:paraId="16C1F635">
                            <w:pPr>
                              <w:pStyle w:val="2"/>
                              <w:rPr>
                                <w:rFonts w:hint="default"/>
                                <w:lang w:val="en-US" w:eastAsia="zh-CN"/>
                              </w:rPr>
                            </w:pPr>
                            <w:r>
                              <w:rPr>
                                <w:rFonts w:hint="eastAsia"/>
                                <w:lang w:eastAsia="zh-CN"/>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1pt;margin-top:375.65pt;height:86.7pt;width:100.05pt;z-index:251894784;mso-width-relative:page;mso-height-relative:page;" fillcolor="#FFFFFF [3201]" filled="t" stroked="t" coordsize="21600,21600" o:gfxdata="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Jyc+fX&#10;AAAACwEAAA8AAAAAAAAAAQAgAAAAIgAAAGRycy9kb3ducmV2LnhtbFBLAQIUABQAAAAIAIdO4kC5&#10;w1beWgIAALwEAAAOAAAAAAAAAAEAIAAAACYBAABkcnMvZTJvRG9jLnhtbFBLBQYAAAAABgAGAFkB&#10;AADyBQAAAAA=&#10;">
                <v:fill on="t" focussize="0,0"/>
                <v:stroke weight="0.5pt" color="#000000 [3204]" joinstyle="round"/>
                <v:imagedata o:title=""/>
                <o:lock v:ext="edit" aspectratio="f"/>
                <v:textbox>
                  <w:txbxContent>
                    <w:p w14:paraId="754026A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64DE5F0D">
                      <w:pPr>
                        <w:pStyle w:val="2"/>
                        <w:rPr>
                          <w:rFonts w:hint="eastAsia"/>
                          <w:lang w:eastAsia="zh-CN"/>
                        </w:rPr>
                      </w:pPr>
                    </w:p>
                    <w:p w14:paraId="69AA34D1">
                      <w:pPr>
                        <w:pStyle w:val="2"/>
                        <w:rPr>
                          <w:rFonts w:hint="eastAsia"/>
                          <w:lang w:eastAsia="zh-CN"/>
                        </w:rPr>
                      </w:pPr>
                      <w:r>
                        <w:rPr>
                          <w:rFonts w:hint="eastAsia"/>
                          <w:lang w:eastAsia="zh-CN"/>
                        </w:rPr>
                        <w:t>河流</w:t>
                      </w:r>
                    </w:p>
                    <w:p w14:paraId="16C1F635">
                      <w:pPr>
                        <w:pStyle w:val="2"/>
                        <w:rPr>
                          <w:rFonts w:hint="default"/>
                          <w:lang w:val="en-US" w:eastAsia="zh-CN"/>
                        </w:rPr>
                      </w:pPr>
                      <w:r>
                        <w:rPr>
                          <w:rFonts w:hint="eastAsia"/>
                          <w:lang w:eastAsia="zh-CN"/>
                        </w:rPr>
                        <w:t>敏感目标</w:t>
                      </w:r>
                    </w:p>
                  </w:txbxContent>
                </v:textbox>
              </v:shape>
            </w:pict>
          </mc:Fallback>
        </mc:AlternateContent>
      </w:r>
      <w:r>
        <w:rPr>
          <w:rFonts w:hint="default" w:ascii="Times New Roman" w:hAnsi="Times New Roman" w:eastAsia="宋体" w:cs="Times New Roman"/>
        </w:rPr>
        <w:drawing>
          <wp:anchor distT="0" distB="0" distL="114300" distR="114300" simplePos="0" relativeHeight="251731968" behindDoc="0" locked="0" layoutInCell="1" allowOverlap="1">
            <wp:simplePos x="0" y="0"/>
            <wp:positionH relativeFrom="page">
              <wp:posOffset>8140700</wp:posOffset>
            </wp:positionH>
            <wp:positionV relativeFrom="paragraph">
              <wp:posOffset>81915</wp:posOffset>
            </wp:positionV>
            <wp:extent cx="894715" cy="901700"/>
            <wp:effectExtent l="0" t="0" r="635" b="12700"/>
            <wp:wrapNone/>
            <wp:docPr id="5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sz w:val="21"/>
        </w:rPr>
        <mc:AlternateContent>
          <mc:Choice Requires="wps">
            <w:drawing>
              <wp:anchor distT="0" distB="0" distL="114300" distR="114300" simplePos="0" relativeHeight="251732992" behindDoc="0" locked="0" layoutInCell="1" allowOverlap="1">
                <wp:simplePos x="0" y="0"/>
                <wp:positionH relativeFrom="column">
                  <wp:posOffset>4920615</wp:posOffset>
                </wp:positionH>
                <wp:positionV relativeFrom="paragraph">
                  <wp:posOffset>3547745</wp:posOffset>
                </wp:positionV>
                <wp:extent cx="728345" cy="290830"/>
                <wp:effectExtent l="0" t="0" r="0" b="0"/>
                <wp:wrapNone/>
                <wp:docPr id="54" name="文本框 54"/>
                <wp:cNvGraphicFramePr/>
                <a:graphic xmlns:a="http://schemas.openxmlformats.org/drawingml/2006/main">
                  <a:graphicData uri="http://schemas.microsoft.com/office/word/2010/wordprocessingShape">
                    <wps:wsp>
                      <wps:cNvSpPr txBox="1"/>
                      <wps:spPr>
                        <a:xfrm rot="840000">
                          <a:off x="0" y="0"/>
                          <a:ext cx="728345"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D59C58">
                            <w:pPr>
                              <w:rPr>
                                <w:rFonts w:hint="eastAsia" w:eastAsia="宋体"/>
                                <w:b/>
                                <w:bCs/>
                                <w:color w:val="FFFF00"/>
                                <w:sz w:val="24"/>
                                <w:szCs w:val="24"/>
                                <w:lang w:eastAsia="zh-CN"/>
                              </w:rPr>
                            </w:pPr>
                            <w:r>
                              <w:rPr>
                                <w:rFonts w:hint="eastAsia"/>
                                <w:b/>
                                <w:bCs/>
                                <w:color w:val="FFFF00"/>
                                <w:sz w:val="24"/>
                                <w:szCs w:val="24"/>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7.45pt;margin-top:279.35pt;height:22.9pt;width:57.35pt;rotation:917504f;z-index:251732992;mso-width-relative:page;mso-height-relative:page;" filled="f" stroked="f" coordsize="21600,21600" o:gfxdata="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DKc+nXAAAACwEAAA8AAAAAAAAAAQAgAAAA&#10;IgAAAGRycy9kb3ducmV2LnhtbFBLAQIUABQAAAAIAIdO4kDVMxwxRQIAAHQEAAAOAAAAAAAAAAEA&#10;IAAAACYBAABkcnMvZTJvRG9jLnhtbFBLBQYAAAAABgAGAFkBAADdBQAAAAA=&#10;">
                <v:fill on="f" focussize="0,0"/>
                <v:stroke on="f" weight="0.5pt"/>
                <v:imagedata o:title=""/>
                <o:lock v:ext="edit" aspectratio="f"/>
                <v:textbox>
                  <w:txbxContent>
                    <w:p w14:paraId="1CD59C58">
                      <w:pPr>
                        <w:rPr>
                          <w:rFonts w:hint="eastAsia" w:eastAsia="宋体"/>
                          <w:b/>
                          <w:bCs/>
                          <w:color w:val="FFFF00"/>
                          <w:sz w:val="24"/>
                          <w:szCs w:val="24"/>
                          <w:lang w:eastAsia="zh-CN"/>
                        </w:rPr>
                      </w:pPr>
                      <w:r>
                        <w:rPr>
                          <w:rFonts w:hint="eastAsia"/>
                          <w:b/>
                          <w:bCs/>
                          <w:color w:val="FFFF00"/>
                          <w:sz w:val="24"/>
                          <w:szCs w:val="24"/>
                          <w:lang w:eastAsia="zh-CN"/>
                        </w:rPr>
                        <w:t>涝淄河</w:t>
                      </w:r>
                    </w:p>
                  </w:txbxContent>
                </v:textbox>
              </v:shape>
            </w:pict>
          </mc:Fallback>
        </mc:AlternateContent>
      </w:r>
      <w:r>
        <w:drawing>
          <wp:inline distT="0" distB="0" distL="114300" distR="114300">
            <wp:extent cx="7373620" cy="5788025"/>
            <wp:effectExtent l="0" t="0" r="17780" b="317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62"/>
                    <a:stretch>
                      <a:fillRect/>
                    </a:stretch>
                  </pic:blipFill>
                  <pic:spPr>
                    <a:xfrm>
                      <a:off x="0" y="0"/>
                      <a:ext cx="7373620" cy="5788025"/>
                    </a:xfrm>
                    <a:prstGeom prst="rect">
                      <a:avLst/>
                    </a:prstGeom>
                    <a:noFill/>
                    <a:ln>
                      <a:noFill/>
                    </a:ln>
                  </pic:spPr>
                </pic:pic>
              </a:graphicData>
            </a:graphic>
          </wp:inline>
        </w:drawing>
      </w:r>
    </w:p>
    <w:p w14:paraId="59580C87">
      <w:pPr>
        <w:jc w:val="left"/>
        <w:rPr>
          <w:rFonts w:hint="default" w:ascii="Times New Roman" w:hAnsi="Times New Roman" w:eastAsia="宋体" w:cs="Times New Roman"/>
          <w:b/>
          <w:bCs/>
          <w:color w:val="auto"/>
          <w:sz w:val="24"/>
          <w:szCs w:val="24"/>
          <w:lang w:eastAsia="zh-CN"/>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7BEEF9BA">
      <w:pPr>
        <w:jc w:val="left"/>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附图</w:t>
      </w:r>
      <w:r>
        <w:rPr>
          <w:rFonts w:hint="default"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w:t>
      </w:r>
      <w:r>
        <w:rPr>
          <w:rFonts w:hint="eastAsia" w:cs="Times New Roman"/>
          <w:b/>
          <w:bCs/>
          <w:color w:val="auto"/>
          <w:sz w:val="24"/>
          <w:szCs w:val="24"/>
          <w:lang w:val="en-US" w:eastAsia="zh-CN"/>
        </w:rPr>
        <w:t>漫泗</w:t>
      </w:r>
      <w:r>
        <w:rPr>
          <w:rFonts w:hint="default" w:ascii="Times New Roman" w:hAnsi="Times New Roman" w:eastAsia="宋体" w:cs="Times New Roman"/>
          <w:b/>
          <w:bCs/>
          <w:color w:val="auto"/>
          <w:sz w:val="24"/>
          <w:szCs w:val="24"/>
          <w:lang w:eastAsia="zh-CN"/>
        </w:rPr>
        <w:t>河</w:t>
      </w:r>
      <w:r>
        <w:rPr>
          <w:rFonts w:hint="eastAsia" w:cs="Times New Roman"/>
          <w:b/>
          <w:bCs/>
          <w:color w:val="auto"/>
          <w:sz w:val="24"/>
          <w:szCs w:val="24"/>
          <w:lang w:eastAsia="zh-CN"/>
        </w:rPr>
        <w:t>、小旦村排涝沟</w:t>
      </w:r>
      <w:r>
        <w:rPr>
          <w:rFonts w:hint="default" w:ascii="Times New Roman" w:hAnsi="Times New Roman" w:eastAsia="宋体" w:cs="Times New Roman"/>
          <w:b/>
          <w:bCs/>
          <w:color w:val="auto"/>
          <w:sz w:val="24"/>
          <w:szCs w:val="24"/>
          <w:lang w:eastAsia="zh-CN"/>
        </w:rPr>
        <w:t>治理工程地理位置和敏感目标点图</w:t>
      </w:r>
    </w:p>
    <w:p w14:paraId="68F33CA3">
      <w:pPr>
        <w:pStyle w:val="2"/>
        <w:ind w:left="0" w:leftChars="0" w:firstLine="0" w:firstLineChars="0"/>
        <w:rPr>
          <w:rFonts w:hint="default"/>
        </w:rPr>
      </w:pPr>
      <w:r>
        <w:rPr>
          <w:sz w:val="21"/>
        </w:rPr>
        <mc:AlternateContent>
          <mc:Choice Requires="wps">
            <w:drawing>
              <wp:anchor distT="0" distB="0" distL="114300" distR="114300" simplePos="0" relativeHeight="251899904" behindDoc="0" locked="0" layoutInCell="1" allowOverlap="1">
                <wp:simplePos x="0" y="0"/>
                <wp:positionH relativeFrom="column">
                  <wp:posOffset>91440</wp:posOffset>
                </wp:positionH>
                <wp:positionV relativeFrom="paragraph">
                  <wp:posOffset>5955030</wp:posOffset>
                </wp:positionV>
                <wp:extent cx="243205" cy="95250"/>
                <wp:effectExtent l="13970" t="13970" r="28575" b="24130"/>
                <wp:wrapNone/>
                <wp:docPr id="196" name="矩形 196"/>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pt;margin-top:468.9pt;height:7.5pt;width:19.15pt;z-index:251899904;v-text-anchor:middle;mso-width-relative:page;mso-height-relative:page;" filled="f" stroked="t" coordsize="21600,21600" o:gfxdata="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DLvWdUAAAAJAQAADwAAAAAAAAABACAAAAAiAAAAZHJzL2Rvd25yZXYueG1sUEsB&#10;AhQAFAAAAAgAh07iQIwRYcFqAgAAzQQAAA4AAAAAAAAAAQAgAAAAJAEAAGRycy9lMm9Eb2MueG1s&#10;UEsFBgAAAAAGAAYAWQEAAAA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898880" behindDoc="0" locked="0" layoutInCell="1" allowOverlap="1">
                <wp:simplePos x="0" y="0"/>
                <wp:positionH relativeFrom="column">
                  <wp:posOffset>81280</wp:posOffset>
                </wp:positionH>
                <wp:positionV relativeFrom="paragraph">
                  <wp:posOffset>5786120</wp:posOffset>
                </wp:positionV>
                <wp:extent cx="243205" cy="0"/>
                <wp:effectExtent l="0" t="13970" r="4445" b="24130"/>
                <wp:wrapNone/>
                <wp:docPr id="195" name="直接连接符 195"/>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4pt;margin-top:455.6pt;height:0pt;width:19.15pt;z-index:251898880;mso-width-relative:page;mso-height-relative:page;" filled="f" stroked="t" coordsize="21600,21600" o:gfxdata="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3qztUA&#10;AAAJAQAADwAAAAAAAAABACAAAAAiAAAAZHJzL2Rvd25yZXYueG1sUEsBAhQAFAAAAAgAh07iQLhe&#10;O7npAQAAtQMAAA4AAAAAAAAAAQAgAAAAJAEAAGRycy9lMm9Eb2MueG1sUEsFBgAAAAAGAAYAWQEA&#10;AH8FA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897856" behindDoc="0" locked="0" layoutInCell="1" allowOverlap="1">
                <wp:simplePos x="0" y="0"/>
                <wp:positionH relativeFrom="column">
                  <wp:posOffset>-13970</wp:posOffset>
                </wp:positionH>
                <wp:positionV relativeFrom="paragraph">
                  <wp:posOffset>5236210</wp:posOffset>
                </wp:positionV>
                <wp:extent cx="1270635" cy="1101090"/>
                <wp:effectExtent l="5080" t="4445" r="19685" b="18415"/>
                <wp:wrapNone/>
                <wp:docPr id="194" name="文本框 194"/>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6BA382">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2213240E">
                            <w:pPr>
                              <w:pStyle w:val="2"/>
                              <w:rPr>
                                <w:rFonts w:hint="eastAsia"/>
                                <w:lang w:eastAsia="zh-CN"/>
                              </w:rPr>
                            </w:pPr>
                          </w:p>
                          <w:p w14:paraId="05328AFA">
                            <w:pPr>
                              <w:pStyle w:val="2"/>
                              <w:rPr>
                                <w:rFonts w:hint="eastAsia"/>
                                <w:lang w:eastAsia="zh-CN"/>
                              </w:rPr>
                            </w:pPr>
                            <w:r>
                              <w:rPr>
                                <w:rFonts w:hint="eastAsia"/>
                                <w:lang w:eastAsia="zh-CN"/>
                              </w:rPr>
                              <w:t>河流</w:t>
                            </w:r>
                          </w:p>
                          <w:p w14:paraId="34BA1CFA">
                            <w:pPr>
                              <w:pStyle w:val="2"/>
                              <w:rPr>
                                <w:rFonts w:hint="eastAsia"/>
                                <w:lang w:eastAsia="zh-CN"/>
                              </w:rPr>
                            </w:pPr>
                            <w:r>
                              <w:rPr>
                                <w:rFonts w:hint="eastAsia"/>
                                <w:lang w:eastAsia="zh-CN"/>
                              </w:rPr>
                              <w:t>敏感目标</w:t>
                            </w:r>
                          </w:p>
                          <w:p w14:paraId="48A0E468">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412.3pt;height:86.7pt;width:100.05pt;z-index:251897856;mso-width-relative:page;mso-height-relative:page;" fillcolor="#FFFFFF [3201]" filled="t" stroked="t" coordsize="21600,21600" o:gfxdata="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Oanq3X&#10;AAAACgEAAA8AAAAAAAAAAQAgAAAAIgAAAGRycy9kb3ducmV2LnhtbFBLAQIUABQAAAAIAIdO4kA1&#10;B43sWgIAALwEAAAOAAAAAAAAAAEAIAAAACYBAABkcnMvZTJvRG9jLnhtbFBLBQYAAAAABgAGAFkB&#10;AADyBQAAAAA=&#10;">
                <v:fill on="t" focussize="0,0"/>
                <v:stroke weight="0.5pt" color="#000000 [3204]" joinstyle="round"/>
                <v:imagedata o:title=""/>
                <o:lock v:ext="edit" aspectratio="f"/>
                <v:textbox>
                  <w:txbxContent>
                    <w:p w14:paraId="6D6BA382">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2213240E">
                      <w:pPr>
                        <w:pStyle w:val="2"/>
                        <w:rPr>
                          <w:rFonts w:hint="eastAsia"/>
                          <w:lang w:eastAsia="zh-CN"/>
                        </w:rPr>
                      </w:pPr>
                    </w:p>
                    <w:p w14:paraId="05328AFA">
                      <w:pPr>
                        <w:pStyle w:val="2"/>
                        <w:rPr>
                          <w:rFonts w:hint="eastAsia"/>
                          <w:lang w:eastAsia="zh-CN"/>
                        </w:rPr>
                      </w:pPr>
                      <w:r>
                        <w:rPr>
                          <w:rFonts w:hint="eastAsia"/>
                          <w:lang w:eastAsia="zh-CN"/>
                        </w:rPr>
                        <w:t>河流</w:t>
                      </w:r>
                    </w:p>
                    <w:p w14:paraId="34BA1CFA">
                      <w:pPr>
                        <w:pStyle w:val="2"/>
                        <w:rPr>
                          <w:rFonts w:hint="eastAsia"/>
                          <w:lang w:eastAsia="zh-CN"/>
                        </w:rPr>
                      </w:pPr>
                      <w:r>
                        <w:rPr>
                          <w:rFonts w:hint="eastAsia"/>
                          <w:lang w:eastAsia="zh-CN"/>
                        </w:rPr>
                        <w:t>敏感目标</w:t>
                      </w:r>
                    </w:p>
                    <w:p w14:paraId="48A0E468">
                      <w:pPr>
                        <w:pStyle w:val="2"/>
                        <w:rPr>
                          <w:rFonts w:hint="default"/>
                          <w:lang w:val="en-US" w:eastAsia="zh-CN"/>
                        </w:rPr>
                      </w:pPr>
                    </w:p>
                  </w:txbxContent>
                </v:textbox>
              </v:shape>
            </w:pict>
          </mc:Fallback>
        </mc:AlternateContent>
      </w:r>
      <w:r>
        <w:rPr>
          <w:rFonts w:hint="default" w:ascii="Times New Roman" w:hAnsi="Times New Roman" w:eastAsia="宋体" w:cs="Times New Roman"/>
        </w:rPr>
        <w:drawing>
          <wp:anchor distT="0" distB="0" distL="114300" distR="114300" simplePos="0" relativeHeight="251843584" behindDoc="0" locked="0" layoutInCell="1" allowOverlap="1">
            <wp:simplePos x="0" y="0"/>
            <wp:positionH relativeFrom="page">
              <wp:posOffset>5934710</wp:posOffset>
            </wp:positionH>
            <wp:positionV relativeFrom="paragraph">
              <wp:posOffset>15875</wp:posOffset>
            </wp:positionV>
            <wp:extent cx="894715" cy="901700"/>
            <wp:effectExtent l="0" t="0" r="635" b="12700"/>
            <wp:wrapNone/>
            <wp:docPr id="5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sz w:val="21"/>
        </w:rPr>
        <mc:AlternateContent>
          <mc:Choice Requires="wps">
            <w:drawing>
              <wp:anchor distT="0" distB="0" distL="114300" distR="114300" simplePos="0" relativeHeight="251747328" behindDoc="0" locked="0" layoutInCell="1" allowOverlap="1">
                <wp:simplePos x="0" y="0"/>
                <wp:positionH relativeFrom="column">
                  <wp:posOffset>1982470</wp:posOffset>
                </wp:positionH>
                <wp:positionV relativeFrom="paragraph">
                  <wp:posOffset>3215005</wp:posOffset>
                </wp:positionV>
                <wp:extent cx="1166495" cy="29083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166495"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90A8BE">
                            <w:pPr>
                              <w:rPr>
                                <w:rFonts w:hint="eastAsia" w:eastAsia="宋体"/>
                                <w:b/>
                                <w:bCs/>
                                <w:color w:val="FFFF00"/>
                                <w:sz w:val="24"/>
                                <w:szCs w:val="24"/>
                                <w:lang w:eastAsia="zh-CN"/>
                              </w:rPr>
                            </w:pPr>
                            <w:r>
                              <w:rPr>
                                <w:rFonts w:hint="eastAsia"/>
                                <w:b/>
                                <w:bCs/>
                                <w:color w:val="FFFF00"/>
                                <w:sz w:val="24"/>
                                <w:szCs w:val="24"/>
                                <w:lang w:eastAsia="zh-CN"/>
                              </w:rPr>
                              <w:t>小旦村排涝沟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1pt;margin-top:253.15pt;height:22.9pt;width:91.85pt;z-index:251747328;mso-width-relative:page;mso-height-relative:page;" filled="f" stroked="f" coordsize="21600,21600" o:gfxdata="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pWB5HcAAAACwEAAA8AAAAAAAAAAQAgAAAAIgAA&#10;AGRycy9kb3ducmV2LnhtbFBLAQIUABQAAAAIAIdO4kDACRklPQIAAGgEAAAOAAAAAAAAAAEAIAAA&#10;ACsBAABkcnMvZTJvRG9jLnhtbFBLBQYAAAAABgAGAFkBAADaBQAAAAA=&#10;">
                <v:fill on="f" focussize="0,0"/>
                <v:stroke on="f" weight="0.5pt"/>
                <v:imagedata o:title=""/>
                <o:lock v:ext="edit" aspectratio="f"/>
                <v:textbox>
                  <w:txbxContent>
                    <w:p w14:paraId="4890A8BE">
                      <w:pPr>
                        <w:rPr>
                          <w:rFonts w:hint="eastAsia" w:eastAsia="宋体"/>
                          <w:b/>
                          <w:bCs/>
                          <w:color w:val="FFFF00"/>
                          <w:sz w:val="24"/>
                          <w:szCs w:val="24"/>
                          <w:lang w:eastAsia="zh-CN"/>
                        </w:rPr>
                      </w:pPr>
                      <w:r>
                        <w:rPr>
                          <w:rFonts w:hint="eastAsia"/>
                          <w:b/>
                          <w:bCs/>
                          <w:color w:val="FFFF00"/>
                          <w:sz w:val="24"/>
                          <w:szCs w:val="24"/>
                          <w:lang w:eastAsia="zh-CN"/>
                        </w:rPr>
                        <w:t>小旦村排涝沟</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46304" behindDoc="0" locked="0" layoutInCell="1" allowOverlap="1">
                <wp:simplePos x="0" y="0"/>
                <wp:positionH relativeFrom="column">
                  <wp:posOffset>2708275</wp:posOffset>
                </wp:positionH>
                <wp:positionV relativeFrom="paragraph">
                  <wp:posOffset>2442210</wp:posOffset>
                </wp:positionV>
                <wp:extent cx="728345" cy="290830"/>
                <wp:effectExtent l="0" t="0" r="0" b="0"/>
                <wp:wrapNone/>
                <wp:docPr id="57" name="文本框 57"/>
                <wp:cNvGraphicFramePr/>
                <a:graphic xmlns:a="http://schemas.openxmlformats.org/drawingml/2006/main">
                  <a:graphicData uri="http://schemas.microsoft.com/office/word/2010/wordprocessingShape">
                    <wps:wsp>
                      <wps:cNvSpPr txBox="1"/>
                      <wps:spPr>
                        <a:xfrm rot="840000">
                          <a:off x="0" y="0"/>
                          <a:ext cx="728345" cy="290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4884C2">
                            <w:pPr>
                              <w:rPr>
                                <w:rFonts w:hint="eastAsia" w:eastAsia="宋体"/>
                                <w:b/>
                                <w:bCs/>
                                <w:color w:val="FFFF00"/>
                                <w:sz w:val="24"/>
                                <w:szCs w:val="24"/>
                                <w:lang w:eastAsia="zh-CN"/>
                              </w:rPr>
                            </w:pPr>
                            <w:r>
                              <w:rPr>
                                <w:rFonts w:hint="eastAsia"/>
                                <w:b/>
                                <w:bCs/>
                                <w:color w:val="FFFF00"/>
                                <w:sz w:val="24"/>
                                <w:szCs w:val="24"/>
                                <w:lang w:eastAsia="zh-CN"/>
                              </w:rPr>
                              <w:t>漫泗河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25pt;margin-top:192.3pt;height:22.9pt;width:57.35pt;rotation:917504f;z-index:251746304;mso-width-relative:page;mso-height-relative:page;" filled="f" stroked="f" coordsize="21600,21600" o:gfxdata="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jHMLbXAAAACwEAAA8AAAAAAAAAAQAgAAAA&#10;IgAAAGRycy9kb3ducmV2LnhtbFBLAQIUABQAAAAIAIdO4kC/64O6RQIAAHQEAAAOAAAAAAAAAAEA&#10;IAAAACYBAABkcnMvZTJvRG9jLnhtbFBLBQYAAAAABgAGAFkBAADdBQAAAAA=&#10;">
                <v:fill on="f" focussize="0,0"/>
                <v:stroke on="f" weight="0.5pt"/>
                <v:imagedata o:title=""/>
                <o:lock v:ext="edit" aspectratio="f"/>
                <v:textbox>
                  <w:txbxContent>
                    <w:p w14:paraId="2E4884C2">
                      <w:pPr>
                        <w:rPr>
                          <w:rFonts w:hint="eastAsia" w:eastAsia="宋体"/>
                          <w:b/>
                          <w:bCs/>
                          <w:color w:val="FFFF00"/>
                          <w:sz w:val="24"/>
                          <w:szCs w:val="24"/>
                          <w:lang w:eastAsia="zh-CN"/>
                        </w:rPr>
                      </w:pPr>
                      <w:r>
                        <w:rPr>
                          <w:rFonts w:hint="eastAsia"/>
                          <w:b/>
                          <w:bCs/>
                          <w:color w:val="FFFF00"/>
                          <w:sz w:val="24"/>
                          <w:szCs w:val="24"/>
                          <w:lang w:eastAsia="zh-CN"/>
                        </w:rPr>
                        <w:t>漫泗河</w:t>
                      </w:r>
                    </w:p>
                  </w:txbxContent>
                </v:textbox>
              </v:shape>
            </w:pict>
          </mc:Fallback>
        </mc:AlternateContent>
      </w:r>
      <w:r>
        <w:drawing>
          <wp:inline distT="0" distB="0" distL="114300" distR="114300">
            <wp:extent cx="6115050" cy="6276975"/>
            <wp:effectExtent l="0" t="0" r="0" b="9525"/>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63"/>
                    <a:stretch>
                      <a:fillRect/>
                    </a:stretch>
                  </pic:blipFill>
                  <pic:spPr>
                    <a:xfrm>
                      <a:off x="0" y="0"/>
                      <a:ext cx="6115050" cy="6276975"/>
                    </a:xfrm>
                    <a:prstGeom prst="rect">
                      <a:avLst/>
                    </a:prstGeom>
                    <a:noFill/>
                    <a:ln>
                      <a:noFill/>
                    </a:ln>
                  </pic:spPr>
                </pic:pic>
              </a:graphicData>
            </a:graphic>
          </wp:inline>
        </w:drawing>
      </w:r>
    </w:p>
    <w:p w14:paraId="2D48128C">
      <w:pPr>
        <w:jc w:val="left"/>
        <w:rPr>
          <w:rFonts w:hint="default" w:ascii="Times New Roman" w:hAnsi="Times New Roman" w:eastAsia="宋体" w:cs="Times New Roman"/>
          <w:b/>
          <w:bCs/>
          <w:color w:val="auto"/>
          <w:sz w:val="24"/>
          <w:szCs w:val="24"/>
          <w:lang w:val="en-US" w:eastAsia="zh-CN"/>
        </w:rPr>
        <w:sectPr>
          <w:pgSz w:w="11906" w:h="16838"/>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33FF94F0">
      <w:pPr>
        <w:spacing w:line="240" w:lineRule="auto"/>
        <w:jc w:val="left"/>
        <w:rPr>
          <w:rFonts w:hint="default" w:ascii="Times New Roman" w:hAnsi="Times New Roman" w:eastAsia="宋体" w:cs="Times New Roman"/>
        </w:rPr>
      </w:pPr>
      <w:r>
        <w:rPr>
          <w:sz w:val="21"/>
        </w:rPr>
        <mc:AlternateContent>
          <mc:Choice Requires="wps">
            <w:drawing>
              <wp:anchor distT="0" distB="0" distL="114300" distR="114300" simplePos="0" relativeHeight="251900928" behindDoc="0" locked="0" layoutInCell="1" allowOverlap="1">
                <wp:simplePos x="0" y="0"/>
                <wp:positionH relativeFrom="column">
                  <wp:posOffset>-14605</wp:posOffset>
                </wp:positionH>
                <wp:positionV relativeFrom="paragraph">
                  <wp:posOffset>4958080</wp:posOffset>
                </wp:positionV>
                <wp:extent cx="1249680" cy="1101090"/>
                <wp:effectExtent l="5080" t="4445" r="21590" b="18415"/>
                <wp:wrapNone/>
                <wp:docPr id="198" name="文本框 198"/>
                <wp:cNvGraphicFramePr/>
                <a:graphic xmlns:a="http://schemas.openxmlformats.org/drawingml/2006/main">
                  <a:graphicData uri="http://schemas.microsoft.com/office/word/2010/wordprocessingShape">
                    <wps:wsp>
                      <wps:cNvSpPr txBox="1"/>
                      <wps:spPr>
                        <a:xfrm>
                          <a:off x="0" y="0"/>
                          <a:ext cx="1249680"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681083">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7B434C04">
                            <w:pPr>
                              <w:pStyle w:val="2"/>
                              <w:rPr>
                                <w:rFonts w:hint="eastAsia"/>
                                <w:lang w:eastAsia="zh-CN"/>
                              </w:rPr>
                            </w:pPr>
                          </w:p>
                          <w:p w14:paraId="01C814D7">
                            <w:pPr>
                              <w:pStyle w:val="2"/>
                              <w:rPr>
                                <w:rFonts w:hint="eastAsia"/>
                                <w:lang w:eastAsia="zh-CN"/>
                              </w:rPr>
                            </w:pPr>
                            <w:r>
                              <w:rPr>
                                <w:rFonts w:hint="eastAsia"/>
                                <w:lang w:eastAsia="zh-CN"/>
                              </w:rPr>
                              <w:t>河流</w:t>
                            </w:r>
                          </w:p>
                          <w:p w14:paraId="455376D3">
                            <w:pPr>
                              <w:pStyle w:val="2"/>
                              <w:rPr>
                                <w:rFonts w:hint="eastAsia"/>
                                <w:lang w:eastAsia="zh-CN"/>
                              </w:rPr>
                            </w:pPr>
                            <w:r>
                              <w:rPr>
                                <w:rFonts w:hint="eastAsia"/>
                                <w:lang w:eastAsia="zh-CN"/>
                              </w:rPr>
                              <w:t>敏感目标</w:t>
                            </w:r>
                          </w:p>
                          <w:p w14:paraId="6E2BCAEC">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pt;margin-top:390.4pt;height:86.7pt;width:98.4pt;z-index:251900928;mso-width-relative:page;mso-height-relative:page;" fillcolor="#FFFFFF [3201]" filled="t" stroked="t" coordsize="21600,21600" o:gfxdata="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zXP3b&#10;2AAAAAoBAAAPAAAAAAAAAAEAIAAAACIAAABkcnMvZG93bnJldi54bWxQSwECFAAUAAAACACHTuJA&#10;80ul81oCAAC8BAAADgAAAAAAAAABACAAAAAnAQAAZHJzL2Uyb0RvYy54bWxQSwUGAAAAAAYABgBZ&#10;AQAA8wUAAAAA&#10;">
                <v:fill on="t" focussize="0,0"/>
                <v:stroke weight="0.5pt" color="#000000 [3204]" joinstyle="round"/>
                <v:imagedata o:title=""/>
                <o:lock v:ext="edit" aspectratio="f"/>
                <v:textbox>
                  <w:txbxContent>
                    <w:p w14:paraId="2F681083">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7B434C04">
                      <w:pPr>
                        <w:pStyle w:val="2"/>
                        <w:rPr>
                          <w:rFonts w:hint="eastAsia"/>
                          <w:lang w:eastAsia="zh-CN"/>
                        </w:rPr>
                      </w:pPr>
                    </w:p>
                    <w:p w14:paraId="01C814D7">
                      <w:pPr>
                        <w:pStyle w:val="2"/>
                        <w:rPr>
                          <w:rFonts w:hint="eastAsia"/>
                          <w:lang w:eastAsia="zh-CN"/>
                        </w:rPr>
                      </w:pPr>
                      <w:r>
                        <w:rPr>
                          <w:rFonts w:hint="eastAsia"/>
                          <w:lang w:eastAsia="zh-CN"/>
                        </w:rPr>
                        <w:t>河流</w:t>
                      </w:r>
                    </w:p>
                    <w:p w14:paraId="455376D3">
                      <w:pPr>
                        <w:pStyle w:val="2"/>
                        <w:rPr>
                          <w:rFonts w:hint="eastAsia"/>
                          <w:lang w:eastAsia="zh-CN"/>
                        </w:rPr>
                      </w:pPr>
                      <w:r>
                        <w:rPr>
                          <w:rFonts w:hint="eastAsia"/>
                          <w:lang w:eastAsia="zh-CN"/>
                        </w:rPr>
                        <w:t>敏感目标</w:t>
                      </w:r>
                    </w:p>
                    <w:p w14:paraId="6E2BCAEC">
                      <w:pPr>
                        <w:pStyle w:val="2"/>
                        <w:rPr>
                          <w:rFonts w:hint="default"/>
                          <w:lang w:val="en-US" w:eastAsia="zh-CN"/>
                        </w:rPr>
                      </w:pPr>
                    </w:p>
                  </w:txbxContent>
                </v:textbox>
              </v:shape>
            </w:pict>
          </mc:Fallback>
        </mc:AlternateContent>
      </w:r>
      <w:r>
        <w:rPr>
          <w:sz w:val="21"/>
        </w:rPr>
        <mc:AlternateContent>
          <mc:Choice Requires="wps">
            <w:drawing>
              <wp:anchor distT="0" distB="0" distL="114300" distR="114300" simplePos="0" relativeHeight="251902976" behindDoc="0" locked="0" layoutInCell="1" allowOverlap="1">
                <wp:simplePos x="0" y="0"/>
                <wp:positionH relativeFrom="column">
                  <wp:posOffset>59690</wp:posOffset>
                </wp:positionH>
                <wp:positionV relativeFrom="paragraph">
                  <wp:posOffset>5666740</wp:posOffset>
                </wp:positionV>
                <wp:extent cx="243205" cy="95250"/>
                <wp:effectExtent l="13970" t="13970" r="28575" b="24130"/>
                <wp:wrapNone/>
                <wp:docPr id="201" name="矩形 201"/>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pt;margin-top:446.2pt;height:7.5pt;width:19.15pt;z-index:251902976;v-text-anchor:middle;mso-width-relative:page;mso-height-relative:page;" filled="f" stroked="t" coordsize="21600,21600" o:gfxdata="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gKl2e1QAAAAgBAAAPAAAAAAAAAAEAIAAAACIAAABkcnMvZG93bnJldi54bWxQSwEC&#10;FAAUAAAACACHTuJAocXWg2kCAADNBAAADgAAAAAAAAABACAAAAAkAQAAZHJzL2Uyb0RvYy54bWxQ&#10;SwUGAAAAAAYABgBZAQAA/wU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01952" behindDoc="0" locked="0" layoutInCell="1" allowOverlap="1">
                <wp:simplePos x="0" y="0"/>
                <wp:positionH relativeFrom="column">
                  <wp:posOffset>70485</wp:posOffset>
                </wp:positionH>
                <wp:positionV relativeFrom="paragraph">
                  <wp:posOffset>5487035</wp:posOffset>
                </wp:positionV>
                <wp:extent cx="243205" cy="0"/>
                <wp:effectExtent l="0" t="13970" r="4445" b="24130"/>
                <wp:wrapNone/>
                <wp:docPr id="199" name="直接连接符 199"/>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55pt;margin-top:432.05pt;height:0pt;width:19.15pt;z-index:251901952;mso-width-relative:page;mso-height-relative:page;" filled="f" stroked="t" coordsize="21600,21600" o:gfxdata="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ZPn0DV&#10;AAAACQEAAA8AAAAAAAAAAQAgAAAAIgAAAGRycy9kb3ducmV2LnhtbFBLAQIUABQAAAAIAIdO4kAo&#10;1Hdi6gEAALUDAAAOAAAAAAAAAAEAIAAAACQBAABkcnMvZTJvRG9jLnhtbFBLBQYAAAAABgAGAFkB&#10;AACABQAAAAA=&#10;">
                <v:fill on="f" focussize="0,0"/>
                <v:stroke weight="2.25pt" color="#92D050 [3204]" miterlimit="8" joinstyle="miter"/>
                <v:imagedata o:title=""/>
                <o:lock v:ext="edit" aspectratio="f"/>
              </v:line>
            </w:pict>
          </mc:Fallback>
        </mc:AlternateContent>
      </w:r>
      <w:r>
        <w:rPr>
          <w:rFonts w:hint="default" w:ascii="Times New Roman" w:hAnsi="Times New Roman" w:eastAsia="宋体" w:cs="Times New Roman"/>
        </w:rPr>
        <mc:AlternateContent>
          <mc:Choice Requires="wps">
            <w:drawing>
              <wp:anchor distT="0" distB="0" distL="114300" distR="114300" simplePos="0" relativeHeight="251721728" behindDoc="0" locked="0" layoutInCell="1" allowOverlap="1">
                <wp:simplePos x="0" y="0"/>
                <wp:positionH relativeFrom="column">
                  <wp:posOffset>4542790</wp:posOffset>
                </wp:positionH>
                <wp:positionV relativeFrom="paragraph">
                  <wp:posOffset>4326890</wp:posOffset>
                </wp:positionV>
                <wp:extent cx="1207770" cy="341630"/>
                <wp:effectExtent l="0" t="0" r="0" b="0"/>
                <wp:wrapNone/>
                <wp:docPr id="78" name="矩形 78"/>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0099F426">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东猪龙河东支</w:t>
                            </w:r>
                          </w:p>
                        </w:txbxContent>
                      </wps:txbx>
                      <wps:bodyPr upright="1"/>
                    </wps:wsp>
                  </a:graphicData>
                </a:graphic>
              </wp:anchor>
            </w:drawing>
          </mc:Choice>
          <mc:Fallback>
            <w:pict>
              <v:rect id="_x0000_s1026" o:spid="_x0000_s1026" o:spt="1" style="position:absolute;left:0pt;margin-left:357.7pt;margin-top:340.7pt;height:26.9pt;width:95.1pt;z-index:251721728;mso-width-relative:page;mso-height-relative:page;" filled="f" stroked="f" coordsize="21600,21600" o:gfxdata="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zLdWvcAAAACwEA&#10;AA8AAAAAAAAAAQAgAAAAIgAAAGRycy9kb3ducmV2LnhtbFBLAQIUABQAAAAIAIdO4kDgkWjYpAEA&#10;AEMDAAAOAAAAAAAAAAEAIAAAACsBAABkcnMvZTJvRG9jLnhtbFBLBQYAAAAABgAGAFkBAABBBQAA&#10;AAA=&#10;">
                <v:fill on="f" focussize="0,0"/>
                <v:stroke on="f"/>
                <v:imagedata o:title=""/>
                <o:lock v:ext="edit" aspectratio="f"/>
                <v:textbox>
                  <w:txbxContent>
                    <w:p w14:paraId="0099F426">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东猪龙河东支</w:t>
                      </w:r>
                    </w:p>
                  </w:txbxContent>
                </v:textbox>
              </v:rect>
            </w:pict>
          </mc:Fallback>
        </mc:AlternateContent>
      </w:r>
      <w:r>
        <w:rPr>
          <w:rFonts w:hint="default" w:ascii="Times New Roman" w:hAnsi="Times New Roman" w:eastAsia="宋体" w:cs="Times New Roman"/>
        </w:rPr>
        <w:drawing>
          <wp:anchor distT="0" distB="0" distL="114300" distR="114300" simplePos="0" relativeHeight="251734016" behindDoc="0" locked="0" layoutInCell="1" allowOverlap="1">
            <wp:simplePos x="0" y="0"/>
            <wp:positionH relativeFrom="page">
              <wp:posOffset>7944485</wp:posOffset>
            </wp:positionH>
            <wp:positionV relativeFrom="paragraph">
              <wp:posOffset>273050</wp:posOffset>
            </wp:positionV>
            <wp:extent cx="894715" cy="901700"/>
            <wp:effectExtent l="0" t="0" r="635" b="12700"/>
            <wp:wrapNone/>
            <wp:docPr id="5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 xml:space="preserve"> </w:t>
      </w:r>
      <w:r>
        <w:rPr>
          <w:rFonts w:hint="eastAsia" w:cs="Times New Roman"/>
          <w:b/>
          <w:bCs/>
          <w:color w:val="auto"/>
          <w:sz w:val="24"/>
          <w:szCs w:val="24"/>
          <w:lang w:val="en-US" w:eastAsia="zh-CN"/>
        </w:rPr>
        <w:t>东猪龙河东支</w:t>
      </w:r>
      <w:r>
        <w:rPr>
          <w:rFonts w:hint="default" w:ascii="Times New Roman" w:hAnsi="Times New Roman" w:eastAsia="宋体" w:cs="Times New Roman"/>
          <w:b/>
          <w:bCs/>
          <w:color w:val="auto"/>
          <w:sz w:val="24"/>
          <w:szCs w:val="24"/>
          <w:lang w:val="en-US" w:eastAsia="zh-CN"/>
        </w:rPr>
        <w:t>治理工程详细地理位置和敏感目标点图</w:t>
      </w:r>
      <w:r>
        <w:drawing>
          <wp:inline distT="0" distB="0" distL="114300" distR="114300">
            <wp:extent cx="8144510" cy="5771515"/>
            <wp:effectExtent l="0" t="0" r="8890" b="63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64"/>
                    <a:stretch>
                      <a:fillRect/>
                    </a:stretch>
                  </pic:blipFill>
                  <pic:spPr>
                    <a:xfrm>
                      <a:off x="0" y="0"/>
                      <a:ext cx="8144510" cy="5771515"/>
                    </a:xfrm>
                    <a:prstGeom prst="rect">
                      <a:avLst/>
                    </a:prstGeom>
                    <a:noFill/>
                    <a:ln>
                      <a:noFill/>
                    </a:ln>
                  </pic:spPr>
                </pic:pic>
              </a:graphicData>
            </a:graphic>
          </wp:inline>
        </w:drawing>
      </w:r>
      <w:r>
        <w:rPr>
          <w:rFonts w:hint="default" w:ascii="Times New Roman" w:hAnsi="Times New Roman" w:eastAsia="宋体" w:cs="Times New Roman"/>
          <w:sz w:val="21"/>
        </w:rPr>
        <mc:AlternateContent>
          <mc:Choice Requires="wps">
            <w:drawing>
              <wp:anchor distT="0" distB="0" distL="114300" distR="114300" simplePos="0" relativeHeight="251726848" behindDoc="0" locked="0" layoutInCell="1" allowOverlap="1">
                <wp:simplePos x="0" y="0"/>
                <wp:positionH relativeFrom="column">
                  <wp:posOffset>1442085</wp:posOffset>
                </wp:positionH>
                <wp:positionV relativeFrom="paragraph">
                  <wp:posOffset>7434580</wp:posOffset>
                </wp:positionV>
                <wp:extent cx="426720" cy="769620"/>
                <wp:effectExtent l="0" t="0" r="0" b="0"/>
                <wp:wrapNone/>
                <wp:docPr id="62" name="文本框 62"/>
                <wp:cNvGraphicFramePr/>
                <a:graphic xmlns:a="http://schemas.openxmlformats.org/drawingml/2006/main">
                  <a:graphicData uri="http://schemas.microsoft.com/office/word/2010/wordprocessingShape">
                    <wps:wsp>
                      <wps:cNvSpPr txBox="1"/>
                      <wps:spPr>
                        <a:xfrm rot="20640000">
                          <a:off x="2162175" y="8550910"/>
                          <a:ext cx="426720" cy="769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E1FB4F">
                            <w:pPr>
                              <w:rPr>
                                <w:rFonts w:hint="eastAsia" w:eastAsia="宋体"/>
                                <w:b/>
                                <w:bCs/>
                                <w:color w:val="FFFF00"/>
                                <w:sz w:val="24"/>
                                <w:szCs w:val="24"/>
                                <w:lang w:eastAsia="zh-CN"/>
                              </w:rPr>
                            </w:pPr>
                            <w:r>
                              <w:rPr>
                                <w:rFonts w:hint="eastAsia"/>
                                <w:b/>
                                <w:bCs/>
                                <w:color w:val="FFFF00"/>
                                <w:sz w:val="24"/>
                                <w:szCs w:val="24"/>
                                <w:lang w:eastAsia="zh-CN"/>
                              </w:rPr>
                              <w:t>焕然河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55pt;margin-top:585.4pt;height:60.6pt;width:33.6pt;rotation:-1048576f;z-index:251726848;mso-width-relative:page;mso-height-relative:page;" filled="f" stroked="f" coordsize="21600,21600" o:gfxdata="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jY9OPZAAAADQEAAA8A&#10;AAAAAAAAAQAgAAAAIgAAAGRycy9kb3ducmV2LnhtbFBLAQIUABQAAAAIAIdO4kBr8qmvTwIAAIIE&#10;AAAOAAAAAAAAAAEAIAAAACgBAABkcnMvZTJvRG9jLnhtbFBLBQYAAAAABgAGAFkBAADpBQAAAAA=&#10;">
                <v:fill on="f" focussize="0,0"/>
                <v:stroke on="f" weight="0.5pt"/>
                <v:imagedata o:title=""/>
                <o:lock v:ext="edit" aspectratio="f"/>
                <v:textbox>
                  <w:txbxContent>
                    <w:p w14:paraId="65E1FB4F">
                      <w:pPr>
                        <w:rPr>
                          <w:rFonts w:hint="eastAsia" w:eastAsia="宋体"/>
                          <w:b/>
                          <w:bCs/>
                          <w:color w:val="FFFF00"/>
                          <w:sz w:val="24"/>
                          <w:szCs w:val="24"/>
                          <w:lang w:eastAsia="zh-CN"/>
                        </w:rPr>
                      </w:pPr>
                      <w:r>
                        <w:rPr>
                          <w:rFonts w:hint="eastAsia"/>
                          <w:b/>
                          <w:bCs/>
                          <w:color w:val="FFFF00"/>
                          <w:sz w:val="24"/>
                          <w:szCs w:val="24"/>
                          <w:lang w:eastAsia="zh-CN"/>
                        </w:rPr>
                        <w:t>焕然河</w:t>
                      </w:r>
                    </w:p>
                  </w:txbxContent>
                </v:textbox>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25824" behindDoc="0" locked="0" layoutInCell="1" allowOverlap="1">
                <wp:simplePos x="0" y="0"/>
                <wp:positionH relativeFrom="column">
                  <wp:posOffset>5069840</wp:posOffset>
                </wp:positionH>
                <wp:positionV relativeFrom="paragraph">
                  <wp:posOffset>6977380</wp:posOffset>
                </wp:positionV>
                <wp:extent cx="1207770" cy="290195"/>
                <wp:effectExtent l="0" t="0" r="0" b="0"/>
                <wp:wrapNone/>
                <wp:docPr id="61" name="矩形 61"/>
                <wp:cNvGraphicFramePr/>
                <a:graphic xmlns:a="http://schemas.openxmlformats.org/drawingml/2006/main">
                  <a:graphicData uri="http://schemas.microsoft.com/office/word/2010/wordprocessingShape">
                    <wps:wsp>
                      <wps:cNvSpPr/>
                      <wps:spPr>
                        <a:xfrm>
                          <a:off x="0" y="0"/>
                          <a:ext cx="1207770" cy="290195"/>
                        </a:xfrm>
                        <a:prstGeom prst="rect">
                          <a:avLst/>
                        </a:prstGeom>
                        <a:noFill/>
                        <a:ln>
                          <a:noFill/>
                        </a:ln>
                      </wps:spPr>
                      <wps:txbx>
                        <w:txbxContent>
                          <w:p w14:paraId="39828902">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焕然河</w:t>
                            </w:r>
                          </w:p>
                        </w:txbxContent>
                      </wps:txbx>
                      <wps:bodyPr upright="1"/>
                    </wps:wsp>
                  </a:graphicData>
                </a:graphic>
              </wp:anchor>
            </w:drawing>
          </mc:Choice>
          <mc:Fallback>
            <w:pict>
              <v:rect id="_x0000_s1026" o:spid="_x0000_s1026" o:spt="1" style="position:absolute;left:0pt;margin-left:399.2pt;margin-top:549.4pt;height:22.85pt;width:95.1pt;z-index:251725824;mso-width-relative:page;mso-height-relative:page;" filled="f" stroked="f" coordsize="21600,21600" o:gfxdata="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EFBAuLcAAAADQEAAA8A&#10;AAAAAAAAAQAgAAAAIgAAAGRycy9kb3ducmV2LnhtbFBLAQIUABQAAAAIAIdO4kCi/x/3oQEAAEMD&#10;AAAOAAAAAAAAAAEAIAAAACsBAABkcnMvZTJvRG9jLnhtbFBLBQYAAAAABgAGAFkBAAA+BQAAAAA=&#10;">
                <v:fill on="f" focussize="0,0"/>
                <v:stroke on="f"/>
                <v:imagedata o:title=""/>
                <o:lock v:ext="edit" aspectratio="f"/>
                <v:textbox>
                  <w:txbxContent>
                    <w:p w14:paraId="39828902">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焕然河</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720704" behindDoc="0" locked="0" layoutInCell="1" allowOverlap="1">
                <wp:simplePos x="0" y="0"/>
                <wp:positionH relativeFrom="column">
                  <wp:posOffset>4519930</wp:posOffset>
                </wp:positionH>
                <wp:positionV relativeFrom="paragraph">
                  <wp:posOffset>6772275</wp:posOffset>
                </wp:positionV>
                <wp:extent cx="580390" cy="635"/>
                <wp:effectExtent l="0" t="0" r="0" b="0"/>
                <wp:wrapNone/>
                <wp:docPr id="63" name="直接连接符 63"/>
                <wp:cNvGraphicFramePr/>
                <a:graphic xmlns:a="http://schemas.openxmlformats.org/drawingml/2006/main">
                  <a:graphicData uri="http://schemas.microsoft.com/office/word/2010/wordprocessingShape">
                    <wps:wsp>
                      <wps:cNvCnPr/>
                      <wps:spPr>
                        <a:xfrm>
                          <a:off x="0" y="0"/>
                          <a:ext cx="580390" cy="635"/>
                        </a:xfrm>
                        <a:prstGeom prst="line">
                          <a:avLst/>
                        </a:prstGeom>
                        <a:ln w="25400" cap="flat" cmpd="sng">
                          <a:solidFill>
                            <a:schemeClr val="bg1"/>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55.9pt;margin-top:533.25pt;height:0.05pt;width:45.7pt;z-index:251720704;mso-width-relative:page;mso-height-relative:page;" filled="f" stroked="t" coordsize="21600,21600" o:gfxdata="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gUSC9sAAAANAQAADwAAAAAAAAABACAAAAAiAAAAZHJzL2Rvd25yZXYu&#10;eG1sUEsBAhQAFAAAAAgAh07iQP3WpWv4AQAA6AMAAA4AAAAAAAAAAQAgAAAAKgEAAGRycy9lMm9E&#10;b2MueG1sUEsFBgAAAAAGAAYAWQEAAJQFAAAAAA==&#10;">
                <v:fill on="f" focussize="0,0"/>
                <v:stroke weight="2pt" color="#FFFFFF [3212]" joinstyle="round"/>
                <v:imagedata o:title=""/>
                <o:lock v:ext="edit" aspectratio="f"/>
              </v:line>
            </w:pict>
          </mc:Fallback>
        </mc:AlternateContent>
      </w:r>
      <w:r>
        <w:rPr>
          <w:rFonts w:hint="default" w:ascii="Times New Roman" w:hAnsi="Times New Roman" w:eastAsia="宋体" w:cs="Times New Roman"/>
        </w:rPr>
        <mc:AlternateContent>
          <mc:Choice Requires="wps">
            <w:drawing>
              <wp:anchor distT="0" distB="0" distL="114300" distR="114300" simplePos="0" relativeHeight="251724800" behindDoc="0" locked="0" layoutInCell="1" allowOverlap="1">
                <wp:simplePos x="0" y="0"/>
                <wp:positionH relativeFrom="column">
                  <wp:posOffset>4523740</wp:posOffset>
                </wp:positionH>
                <wp:positionV relativeFrom="paragraph">
                  <wp:posOffset>7113905</wp:posOffset>
                </wp:positionV>
                <wp:extent cx="580390" cy="635"/>
                <wp:effectExtent l="0" t="0" r="0" b="0"/>
                <wp:wrapNone/>
                <wp:docPr id="64" name="直接连接符 64"/>
                <wp:cNvGraphicFramePr/>
                <a:graphic xmlns:a="http://schemas.openxmlformats.org/drawingml/2006/main">
                  <a:graphicData uri="http://schemas.microsoft.com/office/word/2010/wordprocessingShape">
                    <wps:wsp>
                      <wps:cNvCnPr/>
                      <wps:spPr>
                        <a:xfrm>
                          <a:off x="0" y="0"/>
                          <a:ext cx="580390" cy="635"/>
                        </a:xfrm>
                        <a:prstGeom prst="line">
                          <a:avLst/>
                        </a:prstGeom>
                        <a:ln w="25400" cap="flat" cmpd="sng">
                          <a:solidFill>
                            <a:srgbClr val="FFC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56.2pt;margin-top:560.15pt;height:0.05pt;width:45.7pt;z-index:251724800;mso-width-relative:page;mso-height-relative:page;" filled="f" stroked="t" coordsize="21600,21600" o:gfxdata="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WbrJP2QAAAA0BAAAPAAAAAAAAAAEAIAAAACIAAABkcnMvZG93bnJldi54&#10;bWxQSwECFAAUAAAACACHTuJA2IXujfkBAADoAwAADgAAAAAAAAABACAAAAAoAQAAZHJzL2Uyb0Rv&#10;Yy54bWxQSwUGAAAAAAYABgBZAQAAkwUAAAAA&#10;">
                <v:fill on="f" focussize="0,0"/>
                <v:stroke weight="2pt" color="#FFC000" joinstyle="round"/>
                <v:imagedata o:title=""/>
                <o:lock v:ext="edit" aspectratio="f"/>
              </v:line>
            </w:pict>
          </mc:Fallback>
        </mc:AlternateContent>
      </w:r>
      <w:r>
        <w:rPr>
          <w:rFonts w:hint="default" w:ascii="Times New Roman" w:hAnsi="Times New Roman" w:eastAsia="宋体" w:cs="Times New Roman"/>
        </w:rPr>
        <mc:AlternateContent>
          <mc:Choice Requires="wps">
            <w:drawing>
              <wp:anchor distT="0" distB="0" distL="114300" distR="114300" simplePos="0" relativeHeight="251723776" behindDoc="0" locked="0" layoutInCell="1" allowOverlap="1">
                <wp:simplePos x="0" y="0"/>
                <wp:positionH relativeFrom="column">
                  <wp:posOffset>5073015</wp:posOffset>
                </wp:positionH>
                <wp:positionV relativeFrom="paragraph">
                  <wp:posOffset>7407275</wp:posOffset>
                </wp:positionV>
                <wp:extent cx="1207770" cy="379095"/>
                <wp:effectExtent l="0" t="0" r="0" b="0"/>
                <wp:wrapNone/>
                <wp:docPr id="125" name="矩形 125"/>
                <wp:cNvGraphicFramePr/>
                <a:graphic xmlns:a="http://schemas.openxmlformats.org/drawingml/2006/main">
                  <a:graphicData uri="http://schemas.microsoft.com/office/word/2010/wordprocessingShape">
                    <wps:wsp>
                      <wps:cNvSpPr/>
                      <wps:spPr>
                        <a:xfrm>
                          <a:off x="0" y="0"/>
                          <a:ext cx="1207770" cy="379095"/>
                        </a:xfrm>
                        <a:prstGeom prst="rect">
                          <a:avLst/>
                        </a:prstGeom>
                        <a:noFill/>
                        <a:ln>
                          <a:noFill/>
                        </a:ln>
                      </wps:spPr>
                      <wps:txbx>
                        <w:txbxContent>
                          <w:p w14:paraId="4FACF9E1">
                            <w:pPr>
                              <w:rPr>
                                <w:rFonts w:hint="eastAsia" w:ascii="宋体" w:hAnsi="宋体" w:cs="宋体"/>
                                <w:b/>
                                <w:bCs/>
                                <w:color w:val="FFFF00"/>
                                <w:sz w:val="24"/>
                              </w:rPr>
                            </w:pPr>
                            <w:r>
                              <w:rPr>
                                <w:rFonts w:hint="eastAsia" w:ascii="宋体" w:hAnsi="宋体" w:cs="宋体"/>
                                <w:b/>
                                <w:bCs/>
                                <w:color w:val="FFFF00"/>
                                <w:sz w:val="24"/>
                              </w:rPr>
                              <w:t>周围敏感目标</w:t>
                            </w:r>
                          </w:p>
                        </w:txbxContent>
                      </wps:txbx>
                      <wps:bodyPr upright="1"/>
                    </wps:wsp>
                  </a:graphicData>
                </a:graphic>
              </wp:anchor>
            </w:drawing>
          </mc:Choice>
          <mc:Fallback>
            <w:pict>
              <v:rect id="_x0000_s1026" o:spid="_x0000_s1026" o:spt="1" style="position:absolute;left:0pt;margin-left:399.45pt;margin-top:583.25pt;height:29.85pt;width:95.1pt;z-index:251723776;mso-width-relative:page;mso-height-relative:page;" filled="f" stroked="f" coordsize="21600,21600" o:gfxdata="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srGl8twAAAANAQAA&#10;DwAAAAAAAAABACAAAAAiAAAAZHJzL2Rvd25yZXYueG1sUEsBAhQAFAAAAAgAh07iQK8v6L6jAQAA&#10;RQMAAA4AAAAAAAAAAQAgAAAAKwEAAGRycy9lMm9Eb2MueG1sUEsFBgAAAAAGAAYAWQEAAEAFAAAA&#10;AA==&#10;">
                <v:fill on="f" focussize="0,0"/>
                <v:stroke on="f"/>
                <v:imagedata o:title=""/>
                <o:lock v:ext="edit" aspectratio="f"/>
                <v:textbox>
                  <w:txbxContent>
                    <w:p w14:paraId="4FACF9E1">
                      <w:pPr>
                        <w:rPr>
                          <w:rFonts w:hint="eastAsia" w:ascii="宋体" w:hAnsi="宋体" w:cs="宋体"/>
                          <w:b/>
                          <w:bCs/>
                          <w:color w:val="FFFF00"/>
                          <w:sz w:val="24"/>
                        </w:rPr>
                      </w:pPr>
                      <w:r>
                        <w:rPr>
                          <w:rFonts w:hint="eastAsia" w:ascii="宋体" w:hAnsi="宋体" w:cs="宋体"/>
                          <w:b/>
                          <w:bCs/>
                          <w:color w:val="FFFF00"/>
                          <w:sz w:val="24"/>
                        </w:rPr>
                        <w:t>周围敏感目标</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722752" behindDoc="0" locked="0" layoutInCell="1" allowOverlap="1">
                <wp:simplePos x="0" y="0"/>
                <wp:positionH relativeFrom="column">
                  <wp:posOffset>4517390</wp:posOffset>
                </wp:positionH>
                <wp:positionV relativeFrom="paragraph">
                  <wp:posOffset>7463155</wp:posOffset>
                </wp:positionV>
                <wp:extent cx="577215" cy="180340"/>
                <wp:effectExtent l="0" t="0" r="13335" b="10160"/>
                <wp:wrapNone/>
                <wp:docPr id="124" name="矩形 124"/>
                <wp:cNvGraphicFramePr/>
                <a:graphic xmlns:a="http://schemas.openxmlformats.org/drawingml/2006/main">
                  <a:graphicData uri="http://schemas.microsoft.com/office/word/2010/wordprocessingShape">
                    <wps:wsp>
                      <wps:cNvSpPr/>
                      <wps:spPr>
                        <a:xfrm>
                          <a:off x="0" y="0"/>
                          <a:ext cx="577215" cy="180340"/>
                        </a:xfrm>
                        <a:prstGeom prst="rect">
                          <a:avLst/>
                        </a:prstGeom>
                        <a:solidFill>
                          <a:schemeClr val="accent4">
                            <a:lumMod val="60000"/>
                            <a:lumOff val="40000"/>
                            <a:alpha val="50000"/>
                          </a:schemeClr>
                        </a:solidFill>
                        <a:ln>
                          <a:noFill/>
                        </a:ln>
                      </wps:spPr>
                      <wps:txbx>
                        <w:txbxContent>
                          <w:p w14:paraId="34052020"/>
                        </w:txbxContent>
                      </wps:txbx>
                      <wps:bodyPr upright="1"/>
                    </wps:wsp>
                  </a:graphicData>
                </a:graphic>
              </wp:anchor>
            </w:drawing>
          </mc:Choice>
          <mc:Fallback>
            <w:pict>
              <v:rect id="_x0000_s1026" o:spid="_x0000_s1026" o:spt="1" style="position:absolute;left:0pt;margin-left:355.7pt;margin-top:587.65pt;height:14.2pt;width:45.45pt;z-index:251722752;mso-width-relative:page;mso-height-relative:page;" fillcolor="#FFD966 [1943]" filled="t" stroked="f" coordsize="21600,21600" o:gfxdata="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sJ1NoAAAANAQAA&#10;DwAAAAAAAAABACAAAAAiAAAAZHJzL2Rvd25yZXYueG1sUEsBAhQAFAAAAAgAh07iQB3IPKneAQAA&#10;vAMAAA4AAAAAAAAAAQAgAAAAKQEAAGRycy9lMm9Eb2MueG1sUEsFBgAAAAAGAAYAWQEAAHkFAAAA&#10;AA==&#10;">
                <v:fill on="t" opacity="32768f" focussize="0,0"/>
                <v:stroke on="f"/>
                <v:imagedata o:title=""/>
                <o:lock v:ext="edit" aspectratio="f"/>
                <v:textbox>
                  <w:txbxContent>
                    <w:p w14:paraId="34052020"/>
                  </w:txbxContent>
                </v:textbox>
              </v:rect>
            </w:pict>
          </mc:Fallback>
        </mc:AlternateContent>
      </w:r>
    </w:p>
    <w:p w14:paraId="4B5F9DD5">
      <w:pPr>
        <w:spacing w:line="240" w:lineRule="auto"/>
        <w:jc w:val="center"/>
        <w:rPr>
          <w:rFonts w:hint="default" w:ascii="Times New Roman" w:hAnsi="Times New Roman" w:eastAsia="宋体" w:cs="Times New Roman"/>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sz w:val="21"/>
        </w:rPr>
        <mc:AlternateContent>
          <mc:Choice Requires="wps">
            <w:drawing>
              <wp:anchor distT="0" distB="0" distL="114300" distR="114300" simplePos="0" relativeHeight="251727872" behindDoc="0" locked="0" layoutInCell="1" allowOverlap="1">
                <wp:simplePos x="0" y="0"/>
                <wp:positionH relativeFrom="column">
                  <wp:posOffset>4722495</wp:posOffset>
                </wp:positionH>
                <wp:positionV relativeFrom="paragraph">
                  <wp:posOffset>3887470</wp:posOffset>
                </wp:positionV>
                <wp:extent cx="1177925" cy="29781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177925"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661423">
                            <w:pPr>
                              <w:rPr>
                                <w:rFonts w:hint="eastAsia" w:eastAsia="宋体"/>
                                <w:b/>
                                <w:bCs/>
                                <w:color w:val="FFFF00"/>
                                <w:sz w:val="24"/>
                                <w:szCs w:val="24"/>
                                <w:lang w:eastAsia="zh-CN"/>
                              </w:rPr>
                            </w:pPr>
                            <w:r>
                              <w:rPr>
                                <w:rFonts w:hint="eastAsia"/>
                                <w:b/>
                                <w:bCs/>
                                <w:color w:val="FFFF00"/>
                                <w:sz w:val="24"/>
                                <w:szCs w:val="24"/>
                                <w:lang w:eastAsia="zh-CN"/>
                              </w:rPr>
                              <w:t>东猪龙河东支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85pt;margin-top:306.1pt;height:23.45pt;width:92.75pt;z-index:251727872;mso-width-relative:page;mso-height-relative:page;" filled="f" stroked="f" coordsize="21600,21600" o:gfxdata="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&#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15JRNsAAAALAQAADwAAAAAAAAABACAAAAAiAAAA&#10;ZHJzL2Rvd25yZXYueG1sUEsBAhQAFAAAAAgAh07iQP2Lu9A9AgAAaAQAAA4AAAAAAAAAAQAgAAAA&#10;KgEAAGRycy9lMm9Eb2MueG1sUEsFBgAAAAAGAAYAWQEAANkFAAAAAA==&#10;">
                <v:fill on="f" focussize="0,0"/>
                <v:stroke on="f" weight="0.5pt"/>
                <v:imagedata o:title=""/>
                <o:lock v:ext="edit" aspectratio="f"/>
                <v:textbox>
                  <w:txbxContent>
                    <w:p w14:paraId="53661423">
                      <w:pPr>
                        <w:rPr>
                          <w:rFonts w:hint="eastAsia" w:eastAsia="宋体"/>
                          <w:b/>
                          <w:bCs/>
                          <w:color w:val="FFFF00"/>
                          <w:sz w:val="24"/>
                          <w:szCs w:val="24"/>
                          <w:lang w:eastAsia="zh-CN"/>
                        </w:rPr>
                      </w:pPr>
                      <w:r>
                        <w:rPr>
                          <w:rFonts w:hint="eastAsia"/>
                          <w:b/>
                          <w:bCs/>
                          <w:color w:val="FFFF00"/>
                          <w:sz w:val="24"/>
                          <w:szCs w:val="24"/>
                          <w:lang w:eastAsia="zh-CN"/>
                        </w:rPr>
                        <w:t>东猪龙河东支</w:t>
                      </w:r>
                    </w:p>
                  </w:txbxContent>
                </v:textbox>
              </v:shape>
            </w:pict>
          </mc:Fallback>
        </mc:AlternateContent>
      </w:r>
    </w:p>
    <w:p w14:paraId="5AF1BD5E">
      <w:pPr>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 xml:space="preserve"> </w:t>
      </w:r>
      <w:r>
        <w:rPr>
          <w:rFonts w:hint="eastAsia" w:cs="Times New Roman"/>
          <w:b/>
          <w:bCs/>
          <w:color w:val="auto"/>
          <w:sz w:val="24"/>
          <w:szCs w:val="24"/>
          <w:lang w:val="en-US" w:eastAsia="zh-CN"/>
        </w:rPr>
        <w:t>东猪龙河西支</w:t>
      </w:r>
      <w:r>
        <w:rPr>
          <w:rFonts w:hint="default" w:ascii="Times New Roman" w:hAnsi="Times New Roman" w:eastAsia="宋体" w:cs="Times New Roman"/>
          <w:b/>
          <w:bCs/>
          <w:color w:val="auto"/>
          <w:sz w:val="24"/>
          <w:szCs w:val="24"/>
          <w:lang w:val="en-US" w:eastAsia="zh-CN"/>
        </w:rPr>
        <w:t>治理工程详细地理位置和敏感目标点图</w:t>
      </w:r>
    </w:p>
    <w:p w14:paraId="7A4B1169">
      <w:pPr>
        <w:pStyle w:val="2"/>
        <w:ind w:left="0" w:leftChars="0" w:firstLine="0" w:firstLineChars="0"/>
        <w:rPr>
          <w:rFonts w:hint="default" w:ascii="Times New Roman" w:hAnsi="Times New Roman" w:eastAsia="宋体" w:cs="Times New Roman"/>
          <w:b/>
          <w:bCs/>
          <w:color w:val="auto"/>
          <w:sz w:val="24"/>
          <w:szCs w:val="24"/>
          <w:lang w:val="en-US" w:eastAsia="zh-CN"/>
        </w:rPr>
      </w:pPr>
      <w:r>
        <w:rPr>
          <w:sz w:val="21"/>
        </w:rPr>
        <mc:AlternateContent>
          <mc:Choice Requires="wps">
            <w:drawing>
              <wp:anchor distT="0" distB="0" distL="114300" distR="114300" simplePos="0" relativeHeight="251907072" behindDoc="0" locked="0" layoutInCell="1" allowOverlap="1">
                <wp:simplePos x="0" y="0"/>
                <wp:positionH relativeFrom="column">
                  <wp:posOffset>91440</wp:posOffset>
                </wp:positionH>
                <wp:positionV relativeFrom="paragraph">
                  <wp:posOffset>5386070</wp:posOffset>
                </wp:positionV>
                <wp:extent cx="137160" cy="147955"/>
                <wp:effectExtent l="6350" t="6350" r="8890" b="17145"/>
                <wp:wrapNone/>
                <wp:docPr id="206" name="椭圆 206"/>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2pt;margin-top:424.1pt;height:11.65pt;width:10.8pt;z-index:251907072;v-text-anchor:middle;mso-width-relative:page;mso-height-relative:page;" filled="f" stroked="t" coordsize="21600,21600" o:gfxdata="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kpz0vVAAAACQEAAA8AAAAAAAAAAQAgAAAAIgAAAGRycy9kb3ducmV2Lnht&#10;bFBLAQIUABQAAAAIAIdO4kBNVU5nbgIAANEEAAAOAAAAAAAAAAEAIAAAACQBAABkcnMvZTJvRG9j&#10;LnhtbFBLBQYAAAAABgAGAFkBAAAEBg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06048" behindDoc="0" locked="0" layoutInCell="1" allowOverlap="1">
                <wp:simplePos x="0" y="0"/>
                <wp:positionH relativeFrom="column">
                  <wp:posOffset>38100</wp:posOffset>
                </wp:positionH>
                <wp:positionV relativeFrom="paragraph">
                  <wp:posOffset>5204460</wp:posOffset>
                </wp:positionV>
                <wp:extent cx="243205" cy="95250"/>
                <wp:effectExtent l="13970" t="13970" r="28575" b="24130"/>
                <wp:wrapNone/>
                <wp:docPr id="205" name="矩形 205"/>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pt;margin-top:409.8pt;height:7.5pt;width:19.15pt;z-index:251906048;v-text-anchor:middle;mso-width-relative:page;mso-height-relative:page;" filled="f" stroked="t" coordsize="21600,21600" o:gfxdata="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SYPdF1QAAAAgBAAAPAAAAAAAAAAEAIAAAACIAAABkcnMvZG93bnJldi54bWxQSwEC&#10;FAAUAAAACACHTuJAWyo7+2kCAADNBAAADgAAAAAAAAABACAAAAAkAQAAZHJzL2Uyb0RvYy54bWxQ&#10;SwUGAAAAAAYABgBZAQAA/wU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05024" behindDoc="0" locked="0" layoutInCell="1" allowOverlap="1">
                <wp:simplePos x="0" y="0"/>
                <wp:positionH relativeFrom="column">
                  <wp:posOffset>38735</wp:posOffset>
                </wp:positionH>
                <wp:positionV relativeFrom="paragraph">
                  <wp:posOffset>5078095</wp:posOffset>
                </wp:positionV>
                <wp:extent cx="243205" cy="0"/>
                <wp:effectExtent l="0" t="13970" r="4445" b="24130"/>
                <wp:wrapNone/>
                <wp:docPr id="203" name="直接连接符 203"/>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5pt;margin-top:399.85pt;height:0pt;width:19.15pt;z-index:251905024;mso-width-relative:page;mso-height-relative:page;" filled="f" stroked="t" coordsize="21600,21600" o:gfxdata="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VWazwdUA&#10;AAAIAQAADwAAAAAAAAABACAAAAAiAAAAZHJzL2Rvd25yZXYueG1sUEsBAhQAFAAAAAgAh07iQNAR&#10;pZLpAQAAtQMAAA4AAAAAAAAAAQAgAAAAJAEAAGRycy9lMm9Eb2MueG1sUEsFBgAAAAAGAAYAWQEA&#10;AH8FA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04000" behindDoc="0" locked="0" layoutInCell="1" allowOverlap="1">
                <wp:simplePos x="0" y="0"/>
                <wp:positionH relativeFrom="column">
                  <wp:posOffset>-34925</wp:posOffset>
                </wp:positionH>
                <wp:positionV relativeFrom="paragraph">
                  <wp:posOffset>4623435</wp:posOffset>
                </wp:positionV>
                <wp:extent cx="1270635" cy="1101090"/>
                <wp:effectExtent l="5080" t="4445" r="19685" b="18415"/>
                <wp:wrapNone/>
                <wp:docPr id="202" name="文本框 202"/>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DEDAAA">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1ADA7CA3">
                            <w:pPr>
                              <w:pStyle w:val="2"/>
                              <w:rPr>
                                <w:rFonts w:hint="eastAsia"/>
                                <w:lang w:eastAsia="zh-CN"/>
                              </w:rPr>
                            </w:pPr>
                          </w:p>
                          <w:p w14:paraId="6F3D1AFE">
                            <w:pPr>
                              <w:pStyle w:val="2"/>
                              <w:rPr>
                                <w:rFonts w:hint="eastAsia"/>
                                <w:lang w:eastAsia="zh-CN"/>
                              </w:rPr>
                            </w:pPr>
                            <w:r>
                              <w:rPr>
                                <w:rFonts w:hint="eastAsia"/>
                                <w:lang w:eastAsia="zh-CN"/>
                              </w:rPr>
                              <w:t>河流</w:t>
                            </w:r>
                          </w:p>
                          <w:p w14:paraId="5A85BA40">
                            <w:pPr>
                              <w:pStyle w:val="2"/>
                              <w:rPr>
                                <w:rFonts w:hint="eastAsia"/>
                                <w:lang w:eastAsia="zh-CN"/>
                              </w:rPr>
                            </w:pPr>
                            <w:r>
                              <w:rPr>
                                <w:rFonts w:hint="eastAsia"/>
                                <w:lang w:eastAsia="zh-CN"/>
                              </w:rPr>
                              <w:t>敏感目标</w:t>
                            </w:r>
                          </w:p>
                          <w:p w14:paraId="5E7AA7DE">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pt;margin-top:364.05pt;height:86.7pt;width:100.05pt;z-index:251904000;mso-width-relative:page;mso-height-relative:page;" fillcolor="#FFFFFF [3201]" filled="t" stroked="t" coordsize="21600,21600" o:gfxdata="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2u6Q&#10;RNgAAAAKAQAADwAAAAAAAAABACAAAAAiAAAAZHJzL2Rvd25yZXYueG1sUEsBAhQAFAAAAAgAh07i&#10;QLJhSrNbAgAAvAQAAA4AAAAAAAAAAQAgAAAAJwEAAGRycy9lMm9Eb2MueG1sUEsFBgAAAAAGAAYA&#10;WQEAAPQFAAAAAA==&#10;">
                <v:fill on="t" focussize="0,0"/>
                <v:stroke weight="0.5pt" color="#000000 [3204]" joinstyle="round"/>
                <v:imagedata o:title=""/>
                <o:lock v:ext="edit" aspectratio="f"/>
                <v:textbox>
                  <w:txbxContent>
                    <w:p w14:paraId="6ADEDAAA">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1ADA7CA3">
                      <w:pPr>
                        <w:pStyle w:val="2"/>
                        <w:rPr>
                          <w:rFonts w:hint="eastAsia"/>
                          <w:lang w:eastAsia="zh-CN"/>
                        </w:rPr>
                      </w:pPr>
                    </w:p>
                    <w:p w14:paraId="6F3D1AFE">
                      <w:pPr>
                        <w:pStyle w:val="2"/>
                        <w:rPr>
                          <w:rFonts w:hint="eastAsia"/>
                          <w:lang w:eastAsia="zh-CN"/>
                        </w:rPr>
                      </w:pPr>
                      <w:r>
                        <w:rPr>
                          <w:rFonts w:hint="eastAsia"/>
                          <w:lang w:eastAsia="zh-CN"/>
                        </w:rPr>
                        <w:t>河流</w:t>
                      </w:r>
                    </w:p>
                    <w:p w14:paraId="5A85BA40">
                      <w:pPr>
                        <w:pStyle w:val="2"/>
                        <w:rPr>
                          <w:rFonts w:hint="eastAsia"/>
                          <w:lang w:eastAsia="zh-CN"/>
                        </w:rPr>
                      </w:pPr>
                      <w:r>
                        <w:rPr>
                          <w:rFonts w:hint="eastAsia"/>
                          <w:lang w:eastAsia="zh-CN"/>
                        </w:rPr>
                        <w:t>敏感目标</w:t>
                      </w:r>
                    </w:p>
                    <w:p w14:paraId="5E7AA7DE">
                      <w:pPr>
                        <w:pStyle w:val="2"/>
                        <w:rPr>
                          <w:rFonts w:hint="default"/>
                          <w:lang w:val="en-US" w:eastAsia="zh-CN"/>
                        </w:rPr>
                      </w:pPr>
                      <w:r>
                        <w:rPr>
                          <w:rFonts w:hint="eastAsia"/>
                          <w:lang w:val="en-US" w:eastAsia="zh-CN"/>
                        </w:rPr>
                        <w:t>500m范围</w:t>
                      </w:r>
                    </w:p>
                  </w:txbxContent>
                </v:textbox>
              </v:shape>
            </w:pict>
          </mc:Fallback>
        </mc:AlternateContent>
      </w:r>
      <w:r>
        <w:drawing>
          <wp:inline distT="0" distB="0" distL="114300" distR="114300">
            <wp:extent cx="9248140" cy="5727700"/>
            <wp:effectExtent l="0" t="0" r="10160" b="635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65"/>
                    <a:stretch>
                      <a:fillRect/>
                    </a:stretch>
                  </pic:blipFill>
                  <pic:spPr>
                    <a:xfrm>
                      <a:off x="0" y="0"/>
                      <a:ext cx="9248140" cy="5727700"/>
                    </a:xfrm>
                    <a:prstGeom prst="rect">
                      <a:avLst/>
                    </a:prstGeom>
                    <a:noFill/>
                    <a:ln>
                      <a:noFill/>
                    </a:ln>
                  </pic:spPr>
                </pic:pic>
              </a:graphicData>
            </a:graphic>
          </wp:inline>
        </w:drawing>
      </w:r>
      <w:r>
        <w:rPr>
          <w:rFonts w:hint="default" w:ascii="Times New Roman" w:hAnsi="Times New Roman" w:eastAsia="宋体" w:cs="Times New Roman"/>
        </w:rPr>
        <mc:AlternateContent>
          <mc:Choice Requires="wps">
            <w:drawing>
              <wp:anchor distT="0" distB="0" distL="114300" distR="114300" simplePos="0" relativeHeight="251736064" behindDoc="0" locked="0" layoutInCell="1" allowOverlap="1">
                <wp:simplePos x="0" y="0"/>
                <wp:positionH relativeFrom="column">
                  <wp:posOffset>4257040</wp:posOffset>
                </wp:positionH>
                <wp:positionV relativeFrom="paragraph">
                  <wp:posOffset>3261360</wp:posOffset>
                </wp:positionV>
                <wp:extent cx="1207770" cy="341630"/>
                <wp:effectExtent l="0" t="0" r="0" b="0"/>
                <wp:wrapNone/>
                <wp:docPr id="66" name="矩形 66"/>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5CAB40C5">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东猪龙河西支</w:t>
                            </w:r>
                          </w:p>
                        </w:txbxContent>
                      </wps:txbx>
                      <wps:bodyPr upright="1"/>
                    </wps:wsp>
                  </a:graphicData>
                </a:graphic>
              </wp:anchor>
            </w:drawing>
          </mc:Choice>
          <mc:Fallback>
            <w:pict>
              <v:rect id="_x0000_s1026" o:spid="_x0000_s1026" o:spt="1" style="position:absolute;left:0pt;margin-left:335.2pt;margin-top:256.8pt;height:26.9pt;width:95.1pt;z-index:251736064;mso-width-relative:page;mso-height-relative:page;" filled="f" stroked="f" coordsize="21600,21600" o:gfxdata="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Zvdde2wAAAAsBAAAP&#10;AAAAAAAAAAEAIAAAACIAAABkcnMvZG93bnJldi54bWxQSwECFAAUAAAACACHTuJALPs0o6MBAABD&#10;AwAADgAAAAAAAAABACAAAAAqAQAAZHJzL2Uyb0RvYy54bWxQSwUGAAAAAAYABgBZAQAAPwUAAAAA&#10;">
                <v:fill on="f" focussize="0,0"/>
                <v:stroke on="f"/>
                <v:imagedata o:title=""/>
                <o:lock v:ext="edit" aspectratio="f"/>
                <v:textbox>
                  <w:txbxContent>
                    <w:p w14:paraId="5CAB40C5">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东猪龙河西支</w:t>
                      </w:r>
                    </w:p>
                  </w:txbxContent>
                </v:textbox>
              </v:rect>
            </w:pict>
          </mc:Fallback>
        </mc:AlternateContent>
      </w:r>
      <w:r>
        <w:rPr>
          <w:rFonts w:hint="default" w:ascii="Times New Roman" w:hAnsi="Times New Roman" w:eastAsia="宋体" w:cs="Times New Roman"/>
        </w:rPr>
        <w:drawing>
          <wp:anchor distT="0" distB="0" distL="114300" distR="114300" simplePos="0" relativeHeight="251735040" behindDoc="0" locked="0" layoutInCell="1" allowOverlap="1">
            <wp:simplePos x="0" y="0"/>
            <wp:positionH relativeFrom="page">
              <wp:posOffset>9034780</wp:posOffset>
            </wp:positionH>
            <wp:positionV relativeFrom="paragraph">
              <wp:posOffset>22860</wp:posOffset>
            </wp:positionV>
            <wp:extent cx="894715" cy="901700"/>
            <wp:effectExtent l="0" t="0" r="635" b="12700"/>
            <wp:wrapNone/>
            <wp:docPr id="7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p>
    <w:p w14:paraId="2F498A15">
      <w:pPr>
        <w:pStyle w:val="2"/>
        <w:rPr>
          <w:rFonts w:hint="default" w:ascii="Times New Roman" w:hAnsi="Times New Roman" w:eastAsia="宋体" w:cs="Times New Roman"/>
          <w:b/>
          <w:bCs/>
          <w:color w:val="auto"/>
          <w:sz w:val="24"/>
          <w:szCs w:val="24"/>
          <w:lang w:val="en-US" w:eastAsia="zh-CN"/>
        </w:rPr>
        <w:sectPr>
          <w:pgSz w:w="16838" w:h="11905" w:orient="landscape"/>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1B09EAE5">
      <w:pPr>
        <w:pStyle w:val="2"/>
        <w:ind w:left="0" w:leftChars="0"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rPr>
        <w:drawing>
          <wp:anchor distT="0" distB="0" distL="114300" distR="114300" simplePos="0" relativeHeight="251737088" behindDoc="0" locked="0" layoutInCell="1" allowOverlap="1">
            <wp:simplePos x="0" y="0"/>
            <wp:positionH relativeFrom="page">
              <wp:posOffset>9056370</wp:posOffset>
            </wp:positionH>
            <wp:positionV relativeFrom="paragraph">
              <wp:posOffset>188595</wp:posOffset>
            </wp:positionV>
            <wp:extent cx="894715" cy="901700"/>
            <wp:effectExtent l="0" t="0" r="635" b="12700"/>
            <wp:wrapNone/>
            <wp:docPr id="7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瓦村沟、暖水河</w:t>
      </w:r>
      <w:r>
        <w:rPr>
          <w:rFonts w:hint="default" w:ascii="Times New Roman" w:hAnsi="Times New Roman" w:eastAsia="宋体" w:cs="Times New Roman"/>
          <w:b/>
          <w:bCs/>
          <w:color w:val="auto"/>
          <w:sz w:val="24"/>
          <w:szCs w:val="24"/>
          <w:lang w:val="en-US" w:eastAsia="zh-CN"/>
        </w:rPr>
        <w:t>治理工程详细地理位置和敏感目标点图</w:t>
      </w:r>
    </w:p>
    <w:p w14:paraId="36CE0583">
      <w:pPr>
        <w:pStyle w:val="2"/>
        <w:ind w:left="0" w:leftChars="0" w:firstLine="0" w:firstLineChars="0"/>
        <w:rPr>
          <w:rFonts w:hint="default" w:ascii="Times New Roman" w:hAnsi="Times New Roman" w:eastAsia="宋体" w:cs="Times New Roman"/>
          <w:b/>
          <w:bCs/>
          <w:color w:val="auto"/>
          <w:sz w:val="24"/>
          <w:szCs w:val="24"/>
          <w:lang w:val="en-US" w:eastAsia="zh-CN"/>
        </w:rPr>
      </w:pPr>
      <w:r>
        <w:rPr>
          <w:sz w:val="21"/>
        </w:rPr>
        <mc:AlternateContent>
          <mc:Choice Requires="wps">
            <w:drawing>
              <wp:anchor distT="0" distB="0" distL="114300" distR="114300" simplePos="0" relativeHeight="251911168" behindDoc="0" locked="0" layoutInCell="1" allowOverlap="1">
                <wp:simplePos x="0" y="0"/>
                <wp:positionH relativeFrom="column">
                  <wp:posOffset>112395</wp:posOffset>
                </wp:positionH>
                <wp:positionV relativeFrom="paragraph">
                  <wp:posOffset>5195570</wp:posOffset>
                </wp:positionV>
                <wp:extent cx="137160" cy="147955"/>
                <wp:effectExtent l="6350" t="6350" r="8890" b="17145"/>
                <wp:wrapNone/>
                <wp:docPr id="212" name="椭圆 212"/>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85pt;margin-top:409.1pt;height:11.65pt;width:10.8pt;z-index:251911168;v-text-anchor:middle;mso-width-relative:page;mso-height-relative:page;" filled="f" stroked="t" coordsize="21600,21600" o:gfxdata="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uyHAfVAAAACQEAAA8AAAAAAAAAAQAgAAAAIgAAAGRycy9kb3ducmV2Lnht&#10;bFBLAQIUABQAAAAIAIdO4kBrqNAwbgIAANEEAAAOAAAAAAAAAAEAIAAAACQBAABkcnMvZTJvRG9j&#10;LnhtbFBLBQYAAAAABgAGAFkBAAAEBg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10144" behindDoc="0" locked="0" layoutInCell="1" allowOverlap="1">
                <wp:simplePos x="0" y="0"/>
                <wp:positionH relativeFrom="column">
                  <wp:posOffset>101600</wp:posOffset>
                </wp:positionH>
                <wp:positionV relativeFrom="paragraph">
                  <wp:posOffset>4992370</wp:posOffset>
                </wp:positionV>
                <wp:extent cx="243205" cy="95250"/>
                <wp:effectExtent l="13970" t="13970" r="28575" b="24130"/>
                <wp:wrapNone/>
                <wp:docPr id="209" name="矩形 209"/>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pt;margin-top:393.1pt;height:7.5pt;width:19.15pt;z-index:251910144;v-text-anchor:middle;mso-width-relative:page;mso-height-relative:page;" filled="f" stroked="t" coordsize="21600,21600" o:gfxdata="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ikYwTVAAAACQEAAA8AAAAAAAAAAQAgAAAAIgAAAGRycy9kb3ducmV2LnhtbFBL&#10;AQIUABQAAAAIAIdO4kBVGg1yawIAAM0EAAAOAAAAAAAAAAEAIAAAACQBAABkcnMvZTJvRG9jLnht&#10;bFBLBQYAAAAABgAGAFkBAAABBg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09120" behindDoc="0" locked="0" layoutInCell="1" allowOverlap="1">
                <wp:simplePos x="0" y="0"/>
                <wp:positionH relativeFrom="column">
                  <wp:posOffset>80645</wp:posOffset>
                </wp:positionH>
                <wp:positionV relativeFrom="paragraph">
                  <wp:posOffset>4897755</wp:posOffset>
                </wp:positionV>
                <wp:extent cx="243205" cy="0"/>
                <wp:effectExtent l="0" t="13970" r="4445" b="24130"/>
                <wp:wrapNone/>
                <wp:docPr id="208" name="直接连接符 208"/>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35pt;margin-top:385.65pt;height:0pt;width:19.15pt;z-index:251909120;mso-width-relative:page;mso-height-relative:page;" filled="f" stroked="t" coordsize="21600,21600" o:gfxdata="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W/HojtUA&#10;AAAJAQAADwAAAAAAAAABACAAAAAiAAAAZHJzL2Rvd25yZXYueG1sUEsBAhQAFAAAAAgAh07iQJQ/&#10;ATbpAQAAtQMAAA4AAAAAAAAAAQAgAAAAJAEAAGRycy9lMm9Eb2MueG1sUEsFBgAAAAAGAAYAWQEA&#10;AH8FA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08096" behindDoc="0" locked="0" layoutInCell="1" allowOverlap="1">
                <wp:simplePos x="0" y="0"/>
                <wp:positionH relativeFrom="column">
                  <wp:posOffset>-13970</wp:posOffset>
                </wp:positionH>
                <wp:positionV relativeFrom="paragraph">
                  <wp:posOffset>4453890</wp:posOffset>
                </wp:positionV>
                <wp:extent cx="1270635" cy="1101090"/>
                <wp:effectExtent l="5080" t="4445" r="19685" b="18415"/>
                <wp:wrapNone/>
                <wp:docPr id="207" name="文本框 207"/>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64971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25FD60DE">
                            <w:pPr>
                              <w:pStyle w:val="2"/>
                              <w:rPr>
                                <w:rFonts w:hint="eastAsia"/>
                                <w:lang w:eastAsia="zh-CN"/>
                              </w:rPr>
                            </w:pPr>
                          </w:p>
                          <w:p w14:paraId="100B9A04">
                            <w:pPr>
                              <w:pStyle w:val="2"/>
                              <w:rPr>
                                <w:rFonts w:hint="eastAsia"/>
                                <w:lang w:eastAsia="zh-CN"/>
                              </w:rPr>
                            </w:pPr>
                            <w:r>
                              <w:rPr>
                                <w:rFonts w:hint="eastAsia"/>
                                <w:lang w:eastAsia="zh-CN"/>
                              </w:rPr>
                              <w:t>河流</w:t>
                            </w:r>
                          </w:p>
                          <w:p w14:paraId="4ADA3E12">
                            <w:pPr>
                              <w:pStyle w:val="2"/>
                              <w:rPr>
                                <w:rFonts w:hint="eastAsia"/>
                                <w:lang w:eastAsia="zh-CN"/>
                              </w:rPr>
                            </w:pPr>
                            <w:r>
                              <w:rPr>
                                <w:rFonts w:hint="eastAsia"/>
                                <w:lang w:eastAsia="zh-CN"/>
                              </w:rPr>
                              <w:t>敏感目标</w:t>
                            </w:r>
                          </w:p>
                          <w:p w14:paraId="03C6AF88">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350.7pt;height:86.7pt;width:100.05pt;z-index:251908096;mso-width-relative:page;mso-height-relative:page;" fillcolor="#FFFFFF [3201]" filled="t" stroked="t" coordsize="21600,21600" o:gfxdata="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8Z8b&#10;otgAAAAKAQAADwAAAAAAAAABACAAAAAiAAAAZHJzL2Rvd25yZXYueG1sUEsBAhQAFAAAAAgAh07i&#10;QN5X8i9bAgAAvAQAAA4AAAAAAAAAAQAgAAAAJwEAAGRycy9lMm9Eb2MueG1sUEsFBgAAAAAGAAYA&#10;WQEAAPQFAAAAAA==&#10;">
                <v:fill on="t" focussize="0,0"/>
                <v:stroke weight="0.5pt" color="#000000 [3204]" joinstyle="round"/>
                <v:imagedata o:title=""/>
                <o:lock v:ext="edit" aspectratio="f"/>
                <v:textbox>
                  <w:txbxContent>
                    <w:p w14:paraId="6164971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25FD60DE">
                      <w:pPr>
                        <w:pStyle w:val="2"/>
                        <w:rPr>
                          <w:rFonts w:hint="eastAsia"/>
                          <w:lang w:eastAsia="zh-CN"/>
                        </w:rPr>
                      </w:pPr>
                    </w:p>
                    <w:p w14:paraId="100B9A04">
                      <w:pPr>
                        <w:pStyle w:val="2"/>
                        <w:rPr>
                          <w:rFonts w:hint="eastAsia"/>
                          <w:lang w:eastAsia="zh-CN"/>
                        </w:rPr>
                      </w:pPr>
                      <w:r>
                        <w:rPr>
                          <w:rFonts w:hint="eastAsia"/>
                          <w:lang w:eastAsia="zh-CN"/>
                        </w:rPr>
                        <w:t>河流</w:t>
                      </w:r>
                    </w:p>
                    <w:p w14:paraId="4ADA3E12">
                      <w:pPr>
                        <w:pStyle w:val="2"/>
                        <w:rPr>
                          <w:rFonts w:hint="eastAsia"/>
                          <w:lang w:eastAsia="zh-CN"/>
                        </w:rPr>
                      </w:pPr>
                      <w:r>
                        <w:rPr>
                          <w:rFonts w:hint="eastAsia"/>
                          <w:lang w:eastAsia="zh-CN"/>
                        </w:rPr>
                        <w:t>敏感目标</w:t>
                      </w:r>
                    </w:p>
                    <w:p w14:paraId="03C6AF88">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39136" behindDoc="0" locked="0" layoutInCell="1" allowOverlap="1">
                <wp:simplePos x="0" y="0"/>
                <wp:positionH relativeFrom="column">
                  <wp:posOffset>5795645</wp:posOffset>
                </wp:positionH>
                <wp:positionV relativeFrom="paragraph">
                  <wp:posOffset>2153920</wp:posOffset>
                </wp:positionV>
                <wp:extent cx="1207770" cy="341630"/>
                <wp:effectExtent l="0" t="0" r="0" b="0"/>
                <wp:wrapNone/>
                <wp:docPr id="72" name="矩形 72"/>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082C1CBC">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暖水河</w:t>
                            </w:r>
                          </w:p>
                        </w:txbxContent>
                      </wps:txbx>
                      <wps:bodyPr upright="1"/>
                    </wps:wsp>
                  </a:graphicData>
                </a:graphic>
              </wp:anchor>
            </w:drawing>
          </mc:Choice>
          <mc:Fallback>
            <w:pict>
              <v:rect id="_x0000_s1026" o:spid="_x0000_s1026" o:spt="1" style="position:absolute;left:0pt;margin-left:456.35pt;margin-top:169.6pt;height:26.9pt;width:95.1pt;z-index:251739136;mso-width-relative:page;mso-height-relative:page;" filled="f" stroked="f" coordsize="21600,21600" o:gfxdata="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cBC8PcAAAADAEA&#10;AA8AAAAAAAAAAQAgAAAAIgAAAGRycy9kb3ducmV2LnhtbFBLAQIUABQAAAAIAIdO4kBkq+3ypAEA&#10;AEMDAAAOAAAAAAAAAAEAIAAAACsBAABkcnMvZTJvRG9jLnhtbFBLBQYAAAAABgAGAFkBAABBBQAA&#10;AAA=&#10;">
                <v:fill on="f" focussize="0,0"/>
                <v:stroke on="f"/>
                <v:imagedata o:title=""/>
                <o:lock v:ext="edit" aspectratio="f"/>
                <v:textbox>
                  <w:txbxContent>
                    <w:p w14:paraId="082C1CBC">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暖水河</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738112" behindDoc="0" locked="0" layoutInCell="1" allowOverlap="1">
                <wp:simplePos x="0" y="0"/>
                <wp:positionH relativeFrom="column">
                  <wp:posOffset>2891790</wp:posOffset>
                </wp:positionH>
                <wp:positionV relativeFrom="paragraph">
                  <wp:posOffset>2033270</wp:posOffset>
                </wp:positionV>
                <wp:extent cx="1207770" cy="341630"/>
                <wp:effectExtent l="0" t="0" r="0" b="0"/>
                <wp:wrapNone/>
                <wp:docPr id="73" name="矩形 73"/>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514A49F4">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瓦村沟</w:t>
                            </w:r>
                          </w:p>
                        </w:txbxContent>
                      </wps:txbx>
                      <wps:bodyPr upright="1"/>
                    </wps:wsp>
                  </a:graphicData>
                </a:graphic>
              </wp:anchor>
            </w:drawing>
          </mc:Choice>
          <mc:Fallback>
            <w:pict>
              <v:rect id="_x0000_s1026" o:spid="_x0000_s1026" o:spt="1" style="position:absolute;left:0pt;margin-left:227.7pt;margin-top:160.1pt;height:26.9pt;width:95.1pt;z-index:251738112;mso-width-relative:page;mso-height-relative:page;" filled="f" stroked="f" coordsize="21600,21600" o:gfxdata="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45+3k2wAAAAsBAAAP&#10;AAAAAAAAAAEAIAAAACIAAABkcnMvZG93bnJldi54bWxQSwECFAAUAAAACACHTuJAji2t9qMBAABD&#10;AwAADgAAAAAAAAABACAAAAAqAQAAZHJzL2Uyb0RvYy54bWxQSwUGAAAAAAYABgBZAQAAPwUAAAAA&#10;">
                <v:fill on="f" focussize="0,0"/>
                <v:stroke on="f"/>
                <v:imagedata o:title=""/>
                <o:lock v:ext="edit" aspectratio="f"/>
                <v:textbox>
                  <w:txbxContent>
                    <w:p w14:paraId="514A49F4">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瓦村沟</w:t>
                      </w:r>
                    </w:p>
                  </w:txbxContent>
                </v:textbox>
              </v:rect>
            </w:pict>
          </mc:Fallback>
        </mc:AlternateContent>
      </w:r>
      <w:r>
        <w:drawing>
          <wp:inline distT="0" distB="0" distL="114300" distR="114300">
            <wp:extent cx="9241790" cy="5561965"/>
            <wp:effectExtent l="0" t="0" r="16510" b="63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66"/>
                    <a:stretch>
                      <a:fillRect/>
                    </a:stretch>
                  </pic:blipFill>
                  <pic:spPr>
                    <a:xfrm>
                      <a:off x="0" y="0"/>
                      <a:ext cx="9241790" cy="5561965"/>
                    </a:xfrm>
                    <a:prstGeom prst="rect">
                      <a:avLst/>
                    </a:prstGeom>
                    <a:noFill/>
                    <a:ln>
                      <a:noFill/>
                    </a:ln>
                  </pic:spPr>
                </pic:pic>
              </a:graphicData>
            </a:graphic>
          </wp:inline>
        </w:drawing>
      </w:r>
    </w:p>
    <w:p w14:paraId="2A0CDDEA">
      <w:pPr>
        <w:pStyle w:val="2"/>
        <w:rPr>
          <w:rFonts w:hint="default" w:ascii="Times New Roman" w:hAnsi="Times New Roman" w:eastAsia="宋体" w:cs="Times New Roman"/>
          <w:b/>
          <w:bCs/>
          <w:color w:val="auto"/>
          <w:sz w:val="24"/>
          <w:szCs w:val="24"/>
          <w:lang w:val="en-US" w:eastAsia="zh-CN"/>
        </w:rPr>
        <w:sectPr>
          <w:pgSz w:w="16838" w:h="11905" w:orient="landscape"/>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3BFAA7DA">
      <w:pPr>
        <w:pStyle w:val="2"/>
        <w:ind w:left="0" w:leftChars="0"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rPr>
        <w:drawing>
          <wp:anchor distT="0" distB="0" distL="114300" distR="114300" simplePos="0" relativeHeight="251740160" behindDoc="0" locked="0" layoutInCell="1" allowOverlap="1">
            <wp:simplePos x="0" y="0"/>
            <wp:positionH relativeFrom="page">
              <wp:posOffset>5911215</wp:posOffset>
            </wp:positionH>
            <wp:positionV relativeFrom="paragraph">
              <wp:posOffset>175895</wp:posOffset>
            </wp:positionV>
            <wp:extent cx="894715" cy="901700"/>
            <wp:effectExtent l="0" t="0" r="635" b="12700"/>
            <wp:wrapNone/>
            <wp:docPr id="7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焕然河</w:t>
      </w:r>
      <w:r>
        <w:rPr>
          <w:rFonts w:hint="default" w:ascii="Times New Roman" w:hAnsi="Times New Roman" w:eastAsia="宋体" w:cs="Times New Roman"/>
          <w:b/>
          <w:bCs/>
          <w:color w:val="auto"/>
          <w:sz w:val="24"/>
          <w:szCs w:val="24"/>
          <w:lang w:val="en-US" w:eastAsia="zh-CN"/>
        </w:rPr>
        <w:t>治理工程详细地理位置和敏感目标点图</w:t>
      </w:r>
    </w:p>
    <w:p w14:paraId="3DE794DA">
      <w:pPr>
        <w:pStyle w:val="2"/>
        <w:ind w:left="0" w:leftChars="0" w:firstLine="0" w:firstLineChars="0"/>
        <w:rPr>
          <w:rFonts w:hint="default"/>
          <w:lang w:val="en-US" w:eastAsia="zh-CN"/>
        </w:rPr>
      </w:pPr>
      <w:r>
        <w:rPr>
          <w:sz w:val="21"/>
        </w:rPr>
        <mc:AlternateContent>
          <mc:Choice Requires="wps">
            <w:drawing>
              <wp:anchor distT="0" distB="0" distL="114300" distR="114300" simplePos="0" relativeHeight="251915264" behindDoc="0" locked="0" layoutInCell="1" allowOverlap="1">
                <wp:simplePos x="0" y="0"/>
                <wp:positionH relativeFrom="column">
                  <wp:posOffset>91440</wp:posOffset>
                </wp:positionH>
                <wp:positionV relativeFrom="paragraph">
                  <wp:posOffset>4973320</wp:posOffset>
                </wp:positionV>
                <wp:extent cx="137160" cy="147955"/>
                <wp:effectExtent l="6350" t="6350" r="8890" b="17145"/>
                <wp:wrapNone/>
                <wp:docPr id="222" name="椭圆 222"/>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2pt;margin-top:391.6pt;height:11.65pt;width:10.8pt;z-index:251915264;v-text-anchor:middle;mso-width-relative:page;mso-height-relative:page;" filled="f" stroked="t" coordsize="21600,21600" o:gfxdata="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T/b4LVAAAACQEAAA8AAAAAAAAAAQAgAAAAIgAAAGRycy9kb3ducmV2Lnht&#10;bFBLAQIUABQAAAAIAIdO4kBTl78RbgIAANEEAAAOAAAAAAAAAAEAIAAAACQBAABkcnMvZTJvRG9j&#10;LnhtbFBLBQYAAAAABgAGAFkBAAAEBg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14240" behindDoc="0" locked="0" layoutInCell="1" allowOverlap="1">
                <wp:simplePos x="0" y="0"/>
                <wp:positionH relativeFrom="column">
                  <wp:posOffset>48260</wp:posOffset>
                </wp:positionH>
                <wp:positionV relativeFrom="paragraph">
                  <wp:posOffset>4791075</wp:posOffset>
                </wp:positionV>
                <wp:extent cx="243205" cy="95250"/>
                <wp:effectExtent l="13970" t="13970" r="28575" b="24130"/>
                <wp:wrapNone/>
                <wp:docPr id="221" name="矩形 221"/>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pt;margin-top:377.25pt;height:7.5pt;width:19.15pt;z-index:251914240;v-text-anchor:middle;mso-width-relative:page;mso-height-relative:page;" filled="f" stroked="t" coordsize="21600,21600" o:gfxdata="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tuVStUAAAAIAQAADwAAAAAAAAABACAAAAAiAAAAZHJzL2Rvd25yZXYueG1sUEsB&#10;AhQAFAAAAAgAh07iQPc95kBqAgAAzQQAAA4AAAAAAAAAAQAgAAAAJAEAAGRycy9lMm9Eb2MueG1s&#10;UEsFBgAAAAAGAAYAWQEAAAA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13216" behindDoc="0" locked="0" layoutInCell="1" allowOverlap="1">
                <wp:simplePos x="0" y="0"/>
                <wp:positionH relativeFrom="column">
                  <wp:posOffset>69850</wp:posOffset>
                </wp:positionH>
                <wp:positionV relativeFrom="paragraph">
                  <wp:posOffset>4664710</wp:posOffset>
                </wp:positionV>
                <wp:extent cx="243205" cy="0"/>
                <wp:effectExtent l="0" t="13970" r="4445" b="24130"/>
                <wp:wrapNone/>
                <wp:docPr id="219" name="直接连接符 219"/>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5pt;margin-top:367.3pt;height:0pt;width:19.15pt;z-index:251913216;mso-width-relative:page;mso-height-relative:page;" filled="f" stroked="t" coordsize="21600,21600" o:gfxdata="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LAGl3W&#10;AAAACQEAAA8AAAAAAAAAAQAgAAAAIgAAAGRycy9kb3ducmV2LnhtbFBLAQIUABQAAAAIAIdO4kCG&#10;T+Td6QEAALUDAAAOAAAAAAAAAAEAIAAAACUBAABkcnMvZTJvRG9jLnhtbFBLBQYAAAAABgAGAFkB&#10;AACABQ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12192" behindDoc="0" locked="0" layoutInCell="1" allowOverlap="1">
                <wp:simplePos x="0" y="0"/>
                <wp:positionH relativeFrom="column">
                  <wp:posOffset>-35560</wp:posOffset>
                </wp:positionH>
                <wp:positionV relativeFrom="paragraph">
                  <wp:posOffset>4210685</wp:posOffset>
                </wp:positionV>
                <wp:extent cx="1270635" cy="1101090"/>
                <wp:effectExtent l="5080" t="4445" r="19685" b="18415"/>
                <wp:wrapNone/>
                <wp:docPr id="218" name="文本框 218"/>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3955AD">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BF00B4D">
                            <w:pPr>
                              <w:pStyle w:val="2"/>
                              <w:rPr>
                                <w:rFonts w:hint="eastAsia"/>
                                <w:lang w:eastAsia="zh-CN"/>
                              </w:rPr>
                            </w:pPr>
                          </w:p>
                          <w:p w14:paraId="29FE43F4">
                            <w:pPr>
                              <w:pStyle w:val="2"/>
                              <w:rPr>
                                <w:rFonts w:hint="eastAsia"/>
                                <w:lang w:eastAsia="zh-CN"/>
                              </w:rPr>
                            </w:pPr>
                            <w:r>
                              <w:rPr>
                                <w:rFonts w:hint="eastAsia"/>
                                <w:lang w:eastAsia="zh-CN"/>
                              </w:rPr>
                              <w:t>河流</w:t>
                            </w:r>
                          </w:p>
                          <w:p w14:paraId="5759B45E">
                            <w:pPr>
                              <w:pStyle w:val="2"/>
                              <w:rPr>
                                <w:rFonts w:hint="eastAsia"/>
                                <w:lang w:eastAsia="zh-CN"/>
                              </w:rPr>
                            </w:pPr>
                            <w:r>
                              <w:rPr>
                                <w:rFonts w:hint="eastAsia"/>
                                <w:lang w:eastAsia="zh-CN"/>
                              </w:rPr>
                              <w:t>敏感目标</w:t>
                            </w:r>
                          </w:p>
                          <w:p w14:paraId="0C3A3E24">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331.55pt;height:86.7pt;width:100.05pt;z-index:251912192;mso-width-relative:page;mso-height-relative:page;" fillcolor="#FFFFFF [3201]" filled="t" stroked="t" coordsize="21600,21600" o:gfxdata="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rRf7/&#10;1wAAAAoBAAAPAAAAAAAAAAEAIAAAACIAAABkcnMvZG93bnJldi54bWxQSwECFAAUAAAACACHTuJA&#10;VY2281sCAAC8BAAADgAAAAAAAAABACAAAAAmAQAAZHJzL2Uyb0RvYy54bWxQSwUGAAAAAAYABgBZ&#10;AQAA8wUAAAAA&#10;">
                <v:fill on="t" focussize="0,0"/>
                <v:stroke weight="0.5pt" color="#000000 [3204]" joinstyle="round"/>
                <v:imagedata o:title=""/>
                <o:lock v:ext="edit" aspectratio="f"/>
                <v:textbox>
                  <w:txbxContent>
                    <w:p w14:paraId="723955AD">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BF00B4D">
                      <w:pPr>
                        <w:pStyle w:val="2"/>
                        <w:rPr>
                          <w:rFonts w:hint="eastAsia"/>
                          <w:lang w:eastAsia="zh-CN"/>
                        </w:rPr>
                      </w:pPr>
                    </w:p>
                    <w:p w14:paraId="29FE43F4">
                      <w:pPr>
                        <w:pStyle w:val="2"/>
                        <w:rPr>
                          <w:rFonts w:hint="eastAsia"/>
                          <w:lang w:eastAsia="zh-CN"/>
                        </w:rPr>
                      </w:pPr>
                      <w:r>
                        <w:rPr>
                          <w:rFonts w:hint="eastAsia"/>
                          <w:lang w:eastAsia="zh-CN"/>
                        </w:rPr>
                        <w:t>河流</w:t>
                      </w:r>
                    </w:p>
                    <w:p w14:paraId="5759B45E">
                      <w:pPr>
                        <w:pStyle w:val="2"/>
                        <w:rPr>
                          <w:rFonts w:hint="eastAsia"/>
                          <w:lang w:eastAsia="zh-CN"/>
                        </w:rPr>
                      </w:pPr>
                      <w:r>
                        <w:rPr>
                          <w:rFonts w:hint="eastAsia"/>
                          <w:lang w:eastAsia="zh-CN"/>
                        </w:rPr>
                        <w:t>敏感目标</w:t>
                      </w:r>
                    </w:p>
                    <w:p w14:paraId="0C3A3E24">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41184" behindDoc="0" locked="0" layoutInCell="1" allowOverlap="1">
                <wp:simplePos x="0" y="0"/>
                <wp:positionH relativeFrom="column">
                  <wp:posOffset>2853055</wp:posOffset>
                </wp:positionH>
                <wp:positionV relativeFrom="paragraph">
                  <wp:posOffset>2259330</wp:posOffset>
                </wp:positionV>
                <wp:extent cx="1207770" cy="341630"/>
                <wp:effectExtent l="0" t="0" r="0" b="0"/>
                <wp:wrapNone/>
                <wp:docPr id="77" name="矩形 77"/>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5F04A2D1">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焕然河</w:t>
                            </w:r>
                          </w:p>
                        </w:txbxContent>
                      </wps:txbx>
                      <wps:bodyPr upright="1"/>
                    </wps:wsp>
                  </a:graphicData>
                </a:graphic>
              </wp:anchor>
            </w:drawing>
          </mc:Choice>
          <mc:Fallback>
            <w:pict>
              <v:rect id="_x0000_s1026" o:spid="_x0000_s1026" o:spt="1" style="position:absolute;left:0pt;margin-left:224.65pt;margin-top:177.9pt;height:26.9pt;width:95.1pt;z-index:251741184;mso-width-relative:page;mso-height-relative:page;" filled="f" stroked="f" coordsize="21600,21600" o:gfxdata="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X77SddwAAAALAQAA&#10;DwAAAAAAAAABACAAAAAiAAAAZHJzL2Rvd25yZXYueG1sUEsBAhQAFAAAAAgAh07iQCY2r+ejAQAA&#10;QwMAAA4AAAAAAAAAAQAgAAAAKwEAAGRycy9lMm9Eb2MueG1sUEsFBgAAAAAGAAYAWQEAAEAFAAAA&#10;AA==&#10;">
                <v:fill on="f" focussize="0,0"/>
                <v:stroke on="f"/>
                <v:imagedata o:title=""/>
                <o:lock v:ext="edit" aspectratio="f"/>
                <v:textbox>
                  <w:txbxContent>
                    <w:p w14:paraId="5F04A2D1">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焕然河</w:t>
                      </w:r>
                    </w:p>
                  </w:txbxContent>
                </v:textbox>
              </v:rect>
            </w:pict>
          </mc:Fallback>
        </mc:AlternateContent>
      </w:r>
      <w:r>
        <w:drawing>
          <wp:inline distT="0" distB="0" distL="114300" distR="114300">
            <wp:extent cx="6118860" cy="5322570"/>
            <wp:effectExtent l="0" t="0" r="15240" b="1143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67"/>
                    <a:stretch>
                      <a:fillRect/>
                    </a:stretch>
                  </pic:blipFill>
                  <pic:spPr>
                    <a:xfrm>
                      <a:off x="0" y="0"/>
                      <a:ext cx="6118860" cy="5322570"/>
                    </a:xfrm>
                    <a:prstGeom prst="rect">
                      <a:avLst/>
                    </a:prstGeom>
                    <a:noFill/>
                    <a:ln>
                      <a:noFill/>
                    </a:ln>
                  </pic:spPr>
                </pic:pic>
              </a:graphicData>
            </a:graphic>
          </wp:inline>
        </w:drawing>
      </w:r>
    </w:p>
    <w:p w14:paraId="738C0241">
      <w:pPr>
        <w:jc w:val="both"/>
        <w:rPr>
          <w:rFonts w:hint="default" w:ascii="Times New Roman" w:hAnsi="Times New Roman" w:eastAsia="宋体" w:cs="Times New Roman"/>
          <w:b/>
          <w:bCs/>
          <w:color w:val="auto"/>
          <w:sz w:val="24"/>
          <w:szCs w:val="24"/>
          <w:lang w:val="en-US" w:eastAsia="zh-CN"/>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083A044C">
      <w:pPr>
        <w:pStyle w:val="2"/>
        <w:ind w:left="0" w:leftChars="0"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rPr>
        <w:drawing>
          <wp:anchor distT="0" distB="0" distL="114300" distR="114300" simplePos="0" relativeHeight="251742208" behindDoc="0" locked="0" layoutInCell="1" allowOverlap="1">
            <wp:simplePos x="0" y="0"/>
            <wp:positionH relativeFrom="page">
              <wp:posOffset>5911215</wp:posOffset>
            </wp:positionH>
            <wp:positionV relativeFrom="paragraph">
              <wp:posOffset>175895</wp:posOffset>
            </wp:positionV>
            <wp:extent cx="894715" cy="901700"/>
            <wp:effectExtent l="0" t="0" r="635" b="12700"/>
            <wp:wrapNone/>
            <wp:docPr id="8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三泉沟</w:t>
      </w:r>
      <w:r>
        <w:rPr>
          <w:rFonts w:hint="default" w:ascii="Times New Roman" w:hAnsi="Times New Roman" w:eastAsia="宋体" w:cs="Times New Roman"/>
          <w:b/>
          <w:bCs/>
          <w:color w:val="auto"/>
          <w:sz w:val="24"/>
          <w:szCs w:val="24"/>
          <w:lang w:val="en-US" w:eastAsia="zh-CN"/>
        </w:rPr>
        <w:t>治理工程详细地理位置和敏感目标点图</w:t>
      </w:r>
    </w:p>
    <w:p w14:paraId="7EF687C5">
      <w:pPr>
        <w:pStyle w:val="2"/>
        <w:ind w:left="0" w:leftChars="0" w:firstLine="0" w:firstLineChars="0"/>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r>
        <w:rPr>
          <w:sz w:val="21"/>
        </w:rPr>
        <mc:AlternateContent>
          <mc:Choice Requires="wps">
            <w:drawing>
              <wp:anchor distT="0" distB="0" distL="114300" distR="114300" simplePos="0" relativeHeight="251919360" behindDoc="0" locked="0" layoutInCell="1" allowOverlap="1">
                <wp:simplePos x="0" y="0"/>
                <wp:positionH relativeFrom="column">
                  <wp:posOffset>4472940</wp:posOffset>
                </wp:positionH>
                <wp:positionV relativeFrom="paragraph">
                  <wp:posOffset>5883275</wp:posOffset>
                </wp:positionV>
                <wp:extent cx="137160" cy="147955"/>
                <wp:effectExtent l="6350" t="6350" r="8890" b="17145"/>
                <wp:wrapNone/>
                <wp:docPr id="231" name="椭圆 231"/>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2.2pt;margin-top:463.25pt;height:11.65pt;width:10.8pt;z-index:251919360;v-text-anchor:middle;mso-width-relative:page;mso-height-relative:page;" filled="f" stroked="t" coordsize="21600,21600" o:gfxdata="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JUZ8dcAAAALAQAADwAAAAAAAAABACAAAAAiAAAAZHJzL2Rvd25yZXYu&#10;eG1sUEsBAhQAFAAAAAgAh07iQLDygWNuAgAA0QQAAA4AAAAAAAAAAQAgAAAAJgEAAGRycy9lMm9E&#10;b2MueG1sUEsFBgAAAAAGAAYAWQEAAAYGA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18336" behindDoc="0" locked="0" layoutInCell="1" allowOverlap="1">
                <wp:simplePos x="0" y="0"/>
                <wp:positionH relativeFrom="column">
                  <wp:posOffset>4451350</wp:posOffset>
                </wp:positionH>
                <wp:positionV relativeFrom="paragraph">
                  <wp:posOffset>5690870</wp:posOffset>
                </wp:positionV>
                <wp:extent cx="243205" cy="95250"/>
                <wp:effectExtent l="13970" t="13970" r="28575" b="24130"/>
                <wp:wrapNone/>
                <wp:docPr id="230" name="矩形 230"/>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5pt;margin-top:448.1pt;height:7.5pt;width:19.15pt;z-index:251918336;v-text-anchor:middle;mso-width-relative:page;mso-height-relative:page;" filled="f" stroked="t" coordsize="21600,21600" o:gfxdata="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BO+sdgAAAALAQAADwAAAAAAAAABACAAAAAiAAAAZHJzL2Rvd25yZXYueG1s&#10;UEsBAhQAFAAAAAgAh07iQAK5/dJqAgAAzQQAAA4AAAAAAAAAAQAgAAAAJwEAAGRycy9lMm9Eb2Mu&#10;eG1sUEsFBgAAAAAGAAYAWQEAAAM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17312" behindDoc="0" locked="0" layoutInCell="1" allowOverlap="1">
                <wp:simplePos x="0" y="0"/>
                <wp:positionH relativeFrom="column">
                  <wp:posOffset>4424045</wp:posOffset>
                </wp:positionH>
                <wp:positionV relativeFrom="paragraph">
                  <wp:posOffset>5547360</wp:posOffset>
                </wp:positionV>
                <wp:extent cx="243205" cy="0"/>
                <wp:effectExtent l="0" t="13970" r="4445" b="24130"/>
                <wp:wrapNone/>
                <wp:docPr id="229" name="直接连接符 229"/>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48.35pt;margin-top:436.8pt;height:0pt;width:19.15pt;z-index:251917312;mso-width-relative:page;mso-height-relative:page;" filled="f" stroked="t" coordsize="21600,21600" o:gfxdata="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kbH&#10;WdgAAAALAQAADwAAAAAAAAABACAAAAAiAAAAZHJzL2Rvd25yZXYueG1sUEsBAhQAFAAAAAgAh07i&#10;QFX7aQzpAQAAtQMAAA4AAAAAAAAAAQAgAAAAJwEAAGRycy9lMm9Eb2MueG1sUEsFBgAAAAAGAAYA&#10;WQEAAIIFA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16288" behindDoc="0" locked="0" layoutInCell="1" allowOverlap="1">
                <wp:simplePos x="0" y="0"/>
                <wp:positionH relativeFrom="column">
                  <wp:posOffset>4303395</wp:posOffset>
                </wp:positionH>
                <wp:positionV relativeFrom="paragraph">
                  <wp:posOffset>5120640</wp:posOffset>
                </wp:positionV>
                <wp:extent cx="1270635" cy="1101090"/>
                <wp:effectExtent l="5080" t="4445" r="19685" b="18415"/>
                <wp:wrapNone/>
                <wp:docPr id="227" name="文本框 227"/>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497B139">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415909D">
                            <w:pPr>
                              <w:pStyle w:val="2"/>
                              <w:rPr>
                                <w:rFonts w:hint="eastAsia"/>
                                <w:lang w:eastAsia="zh-CN"/>
                              </w:rPr>
                            </w:pPr>
                          </w:p>
                          <w:p w14:paraId="4BCA4B4A">
                            <w:pPr>
                              <w:pStyle w:val="2"/>
                              <w:rPr>
                                <w:rFonts w:hint="eastAsia"/>
                                <w:lang w:eastAsia="zh-CN"/>
                              </w:rPr>
                            </w:pPr>
                            <w:r>
                              <w:rPr>
                                <w:rFonts w:hint="eastAsia"/>
                                <w:lang w:eastAsia="zh-CN"/>
                              </w:rPr>
                              <w:t>河流</w:t>
                            </w:r>
                          </w:p>
                          <w:p w14:paraId="44FC23DD">
                            <w:pPr>
                              <w:pStyle w:val="2"/>
                              <w:rPr>
                                <w:rFonts w:hint="eastAsia"/>
                                <w:lang w:eastAsia="zh-CN"/>
                              </w:rPr>
                            </w:pPr>
                            <w:r>
                              <w:rPr>
                                <w:rFonts w:hint="eastAsia"/>
                                <w:lang w:eastAsia="zh-CN"/>
                              </w:rPr>
                              <w:t>敏感目标</w:t>
                            </w:r>
                          </w:p>
                          <w:p w14:paraId="011C599C">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85pt;margin-top:403.2pt;height:86.7pt;width:100.05pt;z-index:251916288;mso-width-relative:page;mso-height-relative:page;" fillcolor="#FFFFFF [3201]" filled="t" stroked="t" coordsize="21600,21600" o:gfxdata="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T8D5&#10;sNgAAAALAQAADwAAAAAAAAABACAAAAAiAAAAZHJzL2Rvd25yZXYueG1sUEsBAhQAFAAAAAgAh07i&#10;QGNdeLFbAgAAvAQAAA4AAAAAAAAAAQAgAAAAJwEAAGRycy9lMm9Eb2MueG1sUEsFBgAAAAAGAAYA&#10;WQEAAPQFAAAAAA==&#10;">
                <v:fill on="t" focussize="0,0"/>
                <v:stroke weight="0.5pt" color="#000000 [3204]" joinstyle="round"/>
                <v:imagedata o:title=""/>
                <o:lock v:ext="edit" aspectratio="f"/>
                <v:textbox>
                  <w:txbxContent>
                    <w:p w14:paraId="2497B139">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415909D">
                      <w:pPr>
                        <w:pStyle w:val="2"/>
                        <w:rPr>
                          <w:rFonts w:hint="eastAsia"/>
                          <w:lang w:eastAsia="zh-CN"/>
                        </w:rPr>
                      </w:pPr>
                    </w:p>
                    <w:p w14:paraId="4BCA4B4A">
                      <w:pPr>
                        <w:pStyle w:val="2"/>
                        <w:rPr>
                          <w:rFonts w:hint="eastAsia"/>
                          <w:lang w:eastAsia="zh-CN"/>
                        </w:rPr>
                      </w:pPr>
                      <w:r>
                        <w:rPr>
                          <w:rFonts w:hint="eastAsia"/>
                          <w:lang w:eastAsia="zh-CN"/>
                        </w:rPr>
                        <w:t>河流</w:t>
                      </w:r>
                    </w:p>
                    <w:p w14:paraId="44FC23DD">
                      <w:pPr>
                        <w:pStyle w:val="2"/>
                        <w:rPr>
                          <w:rFonts w:hint="eastAsia"/>
                          <w:lang w:eastAsia="zh-CN"/>
                        </w:rPr>
                      </w:pPr>
                      <w:r>
                        <w:rPr>
                          <w:rFonts w:hint="eastAsia"/>
                          <w:lang w:eastAsia="zh-CN"/>
                        </w:rPr>
                        <w:t>敏感目标</w:t>
                      </w:r>
                    </w:p>
                    <w:p w14:paraId="011C599C">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43232" behindDoc="0" locked="0" layoutInCell="1" allowOverlap="1">
                <wp:simplePos x="0" y="0"/>
                <wp:positionH relativeFrom="column">
                  <wp:posOffset>1847215</wp:posOffset>
                </wp:positionH>
                <wp:positionV relativeFrom="paragraph">
                  <wp:posOffset>3550285</wp:posOffset>
                </wp:positionV>
                <wp:extent cx="1207770" cy="341630"/>
                <wp:effectExtent l="0" t="0" r="0" b="0"/>
                <wp:wrapNone/>
                <wp:docPr id="81" name="矩形 81"/>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6FCF5FCB">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三泉沟</w:t>
                            </w:r>
                          </w:p>
                        </w:txbxContent>
                      </wps:txbx>
                      <wps:bodyPr upright="1"/>
                    </wps:wsp>
                  </a:graphicData>
                </a:graphic>
              </wp:anchor>
            </w:drawing>
          </mc:Choice>
          <mc:Fallback>
            <w:pict>
              <v:rect id="_x0000_s1026" o:spid="_x0000_s1026" o:spt="1" style="position:absolute;left:0pt;margin-left:145.45pt;margin-top:279.55pt;height:26.9pt;width:95.1pt;z-index:251743232;mso-width-relative:page;mso-height-relative:page;" filled="f" stroked="f" coordsize="21600,21600" o:gfxdata="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IJSM0twAAAALAQAA&#10;DwAAAAAAAAABACAAAAAiAAAAZHJzL2Rvd25yZXYueG1sUEsBAhQAFAAAAAgAh07iQHiAFIyjAQAA&#10;QwMAAA4AAAAAAAAAAQAgAAAAKwEAAGRycy9lMm9Eb2MueG1sUEsFBgAAAAAGAAYAWQEAAEAFAAAA&#10;AA==&#10;">
                <v:fill on="f" focussize="0,0"/>
                <v:stroke on="f"/>
                <v:imagedata o:title=""/>
                <o:lock v:ext="edit" aspectratio="f"/>
                <v:textbox>
                  <w:txbxContent>
                    <w:p w14:paraId="6FCF5FCB">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三泉沟</w:t>
                      </w:r>
                    </w:p>
                  </w:txbxContent>
                </v:textbox>
              </v:rect>
            </w:pict>
          </mc:Fallback>
        </mc:AlternateContent>
      </w:r>
      <w:r>
        <w:drawing>
          <wp:inline distT="0" distB="0" distL="114300" distR="114300">
            <wp:extent cx="6115050" cy="6238875"/>
            <wp:effectExtent l="0" t="0" r="0" b="9525"/>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68"/>
                    <a:stretch>
                      <a:fillRect/>
                    </a:stretch>
                  </pic:blipFill>
                  <pic:spPr>
                    <a:xfrm>
                      <a:off x="0" y="0"/>
                      <a:ext cx="6115050" cy="6238875"/>
                    </a:xfrm>
                    <a:prstGeom prst="rect">
                      <a:avLst/>
                    </a:prstGeom>
                    <a:noFill/>
                    <a:ln>
                      <a:noFill/>
                    </a:ln>
                  </pic:spPr>
                </pic:pic>
              </a:graphicData>
            </a:graphic>
          </wp:inline>
        </w:drawing>
      </w:r>
    </w:p>
    <w:p w14:paraId="377021F7">
      <w:pPr>
        <w:pStyle w:val="2"/>
        <w:ind w:left="0" w:leftChars="0"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rPr>
        <w:drawing>
          <wp:anchor distT="0" distB="0" distL="114300" distR="114300" simplePos="0" relativeHeight="251744256" behindDoc="0" locked="0" layoutInCell="1" allowOverlap="1">
            <wp:simplePos x="0" y="0"/>
            <wp:positionH relativeFrom="page">
              <wp:posOffset>8874125</wp:posOffset>
            </wp:positionH>
            <wp:positionV relativeFrom="paragraph">
              <wp:posOffset>175895</wp:posOffset>
            </wp:positionV>
            <wp:extent cx="894715" cy="901700"/>
            <wp:effectExtent l="0" t="0" r="635" b="12700"/>
            <wp:wrapNone/>
            <wp:docPr id="8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白蛇沟</w:t>
      </w:r>
      <w:r>
        <w:rPr>
          <w:rFonts w:hint="default" w:ascii="Times New Roman" w:hAnsi="Times New Roman" w:eastAsia="宋体" w:cs="Times New Roman"/>
          <w:b/>
          <w:bCs/>
          <w:color w:val="auto"/>
          <w:sz w:val="24"/>
          <w:szCs w:val="24"/>
          <w:lang w:val="en-US" w:eastAsia="zh-CN"/>
        </w:rPr>
        <w:t>治理工程详细地理位置和敏感目标点图</w:t>
      </w:r>
    </w:p>
    <w:p w14:paraId="3D170CDD">
      <w:pPr>
        <w:pStyle w:val="2"/>
        <w:ind w:left="0" w:leftChars="0" w:firstLine="0" w:firstLineChars="0"/>
        <w:rPr>
          <w:rFonts w:hint="default"/>
          <w:lang w:val="en-US" w:eastAsia="zh-CN"/>
        </w:rPr>
      </w:pPr>
      <w:r>
        <w:rPr>
          <w:sz w:val="21"/>
        </w:rPr>
        <mc:AlternateContent>
          <mc:Choice Requires="wps">
            <w:drawing>
              <wp:anchor distT="0" distB="0" distL="114300" distR="114300" simplePos="0" relativeHeight="251923456" behindDoc="0" locked="0" layoutInCell="1" allowOverlap="1">
                <wp:simplePos x="0" y="0"/>
                <wp:positionH relativeFrom="column">
                  <wp:posOffset>7086600</wp:posOffset>
                </wp:positionH>
                <wp:positionV relativeFrom="paragraph">
                  <wp:posOffset>5428615</wp:posOffset>
                </wp:positionV>
                <wp:extent cx="137160" cy="147955"/>
                <wp:effectExtent l="6350" t="6350" r="8890" b="17145"/>
                <wp:wrapNone/>
                <wp:docPr id="303" name="椭圆 303"/>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58pt;margin-top:427.45pt;height:11.65pt;width:10.8pt;z-index:251923456;v-text-anchor:middle;mso-width-relative:page;mso-height-relative:page;" filled="f" stroked="t" coordsize="21600,21600" o:gfxdata="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oC0Tr2AAAAA0BAAAPAAAAAAAAAAEAIAAAACIAAABkcnMvZG93bnJl&#10;di54bWxQSwECFAAUAAAACACHTuJAz3Z9yG8CAADRBAAADgAAAAAAAAABACAAAAAnAQAAZHJzL2Uy&#10;b0RvYy54bWxQSwUGAAAAAAYABgBZAQAACAY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22432" behindDoc="0" locked="0" layoutInCell="1" allowOverlap="1">
                <wp:simplePos x="0" y="0"/>
                <wp:positionH relativeFrom="column">
                  <wp:posOffset>7033895</wp:posOffset>
                </wp:positionH>
                <wp:positionV relativeFrom="paragraph">
                  <wp:posOffset>5267960</wp:posOffset>
                </wp:positionV>
                <wp:extent cx="243205" cy="95250"/>
                <wp:effectExtent l="13970" t="13970" r="28575" b="24130"/>
                <wp:wrapNone/>
                <wp:docPr id="302" name="矩形 302"/>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3.85pt;margin-top:414.8pt;height:7.5pt;width:19.15pt;z-index:251922432;v-text-anchor:middle;mso-width-relative:page;mso-height-relative:page;" filled="f" stroked="t" coordsize="21600,21600" o:gfxdata="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nZoUtcAAAANAQAADwAAAAAAAAABACAAAAAiAAAAZHJzL2Rvd25yZXYueG1s&#10;UEsBAhQAFAAAAAgAh07iQL6r/uBrAgAAzQQAAA4AAAAAAAAAAQAgAAAAJgEAAGRycy9lMm9Eb2Mu&#10;eG1sUEsFBgAAAAAGAAYAWQEAAAM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21408" behindDoc="0" locked="0" layoutInCell="1" allowOverlap="1">
                <wp:simplePos x="0" y="0"/>
                <wp:positionH relativeFrom="column">
                  <wp:posOffset>7016750</wp:posOffset>
                </wp:positionH>
                <wp:positionV relativeFrom="paragraph">
                  <wp:posOffset>5145405</wp:posOffset>
                </wp:positionV>
                <wp:extent cx="243205" cy="0"/>
                <wp:effectExtent l="0" t="13970" r="4445" b="24130"/>
                <wp:wrapNone/>
                <wp:docPr id="251" name="直接连接符 251"/>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52.5pt;margin-top:405.15pt;height:0pt;width:19.15pt;z-index:251921408;mso-width-relative:page;mso-height-relative:page;" filled="f" stroked="t" coordsize="21600,21600" o:gfxdata="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uj&#10;NHXZAAAADQEAAA8AAAAAAAAAAQAgAAAAIgAAAGRycy9kb3ducmV2LnhtbFBLAQIUABQAAAAIAIdO&#10;4kDcCd8f6QEAALUDAAAOAAAAAAAAAAEAIAAAACgBAABkcnMvZTJvRG9jLnhtbFBLBQYAAAAABgAG&#10;AFkBAACDBQ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20384" behindDoc="0" locked="0" layoutInCell="1" allowOverlap="1">
                <wp:simplePos x="0" y="0"/>
                <wp:positionH relativeFrom="column">
                  <wp:posOffset>6917055</wp:posOffset>
                </wp:positionH>
                <wp:positionV relativeFrom="paragraph">
                  <wp:posOffset>4686935</wp:posOffset>
                </wp:positionV>
                <wp:extent cx="1270635" cy="1101090"/>
                <wp:effectExtent l="5080" t="4445" r="19685" b="18415"/>
                <wp:wrapNone/>
                <wp:docPr id="233" name="文本框 233"/>
                <wp:cNvGraphicFramePr/>
                <a:graphic xmlns:a="http://schemas.openxmlformats.org/drawingml/2006/main">
                  <a:graphicData uri="http://schemas.microsoft.com/office/word/2010/wordprocessingShape">
                    <wps:wsp>
                      <wps:cNvSpPr txBox="1"/>
                      <wps:spPr>
                        <a:xfrm>
                          <a:off x="0" y="0"/>
                          <a:ext cx="1270635"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38A35A">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758413A">
                            <w:pPr>
                              <w:pStyle w:val="2"/>
                              <w:rPr>
                                <w:rFonts w:hint="eastAsia"/>
                                <w:lang w:eastAsia="zh-CN"/>
                              </w:rPr>
                            </w:pPr>
                          </w:p>
                          <w:p w14:paraId="495B689A">
                            <w:pPr>
                              <w:pStyle w:val="2"/>
                              <w:rPr>
                                <w:rFonts w:hint="eastAsia"/>
                                <w:lang w:eastAsia="zh-CN"/>
                              </w:rPr>
                            </w:pPr>
                            <w:r>
                              <w:rPr>
                                <w:rFonts w:hint="eastAsia"/>
                                <w:lang w:eastAsia="zh-CN"/>
                              </w:rPr>
                              <w:t>河流</w:t>
                            </w:r>
                          </w:p>
                          <w:p w14:paraId="65D7C97D">
                            <w:pPr>
                              <w:pStyle w:val="2"/>
                              <w:rPr>
                                <w:rFonts w:hint="eastAsia"/>
                                <w:lang w:eastAsia="zh-CN"/>
                              </w:rPr>
                            </w:pPr>
                            <w:r>
                              <w:rPr>
                                <w:rFonts w:hint="eastAsia"/>
                                <w:lang w:eastAsia="zh-CN"/>
                              </w:rPr>
                              <w:t>敏感目标</w:t>
                            </w:r>
                          </w:p>
                          <w:p w14:paraId="3C7BAC86">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4.65pt;margin-top:369.05pt;height:86.7pt;width:100.05pt;z-index:251920384;mso-width-relative:page;mso-height-relative:page;" fillcolor="#FFFFFF [3201]" filled="t" stroked="t" coordsize="21600,21600" o:gfxdata="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z&#10;Bghi2QAAAA0BAAAPAAAAAAAAAAEAIAAAACIAAABkcnMvZG93bnJldi54bWxQSwECFAAUAAAACACH&#10;TuJAUuHKFVwCAAC8BAAADgAAAAAAAAABACAAAAAoAQAAZHJzL2Uyb0RvYy54bWxQSwUGAAAAAAYA&#10;BgBZAQAA9gUAAAAA&#10;">
                <v:fill on="t" focussize="0,0"/>
                <v:stroke weight="0.5pt" color="#000000 [3204]" joinstyle="round"/>
                <v:imagedata o:title=""/>
                <o:lock v:ext="edit" aspectratio="f"/>
                <v:textbox>
                  <w:txbxContent>
                    <w:p w14:paraId="1838A35A">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758413A">
                      <w:pPr>
                        <w:pStyle w:val="2"/>
                        <w:rPr>
                          <w:rFonts w:hint="eastAsia"/>
                          <w:lang w:eastAsia="zh-CN"/>
                        </w:rPr>
                      </w:pPr>
                    </w:p>
                    <w:p w14:paraId="495B689A">
                      <w:pPr>
                        <w:pStyle w:val="2"/>
                        <w:rPr>
                          <w:rFonts w:hint="eastAsia"/>
                          <w:lang w:eastAsia="zh-CN"/>
                        </w:rPr>
                      </w:pPr>
                      <w:r>
                        <w:rPr>
                          <w:rFonts w:hint="eastAsia"/>
                          <w:lang w:eastAsia="zh-CN"/>
                        </w:rPr>
                        <w:t>河流</w:t>
                      </w:r>
                    </w:p>
                    <w:p w14:paraId="65D7C97D">
                      <w:pPr>
                        <w:pStyle w:val="2"/>
                        <w:rPr>
                          <w:rFonts w:hint="eastAsia"/>
                          <w:lang w:eastAsia="zh-CN"/>
                        </w:rPr>
                      </w:pPr>
                      <w:r>
                        <w:rPr>
                          <w:rFonts w:hint="eastAsia"/>
                          <w:lang w:eastAsia="zh-CN"/>
                        </w:rPr>
                        <w:t>敏感目标</w:t>
                      </w:r>
                    </w:p>
                    <w:p w14:paraId="3C7BAC86">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rPr>
        <mc:AlternateContent>
          <mc:Choice Requires="wps">
            <w:drawing>
              <wp:anchor distT="0" distB="0" distL="114300" distR="114300" simplePos="0" relativeHeight="251745280" behindDoc="0" locked="0" layoutInCell="1" allowOverlap="1">
                <wp:simplePos x="0" y="0"/>
                <wp:positionH relativeFrom="column">
                  <wp:posOffset>3752215</wp:posOffset>
                </wp:positionH>
                <wp:positionV relativeFrom="paragraph">
                  <wp:posOffset>3307080</wp:posOffset>
                </wp:positionV>
                <wp:extent cx="1207770" cy="341630"/>
                <wp:effectExtent l="0" t="0" r="0" b="0"/>
                <wp:wrapNone/>
                <wp:docPr id="87" name="矩形 87"/>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3BF4F5FC">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白蛇沟</w:t>
                            </w:r>
                          </w:p>
                        </w:txbxContent>
                      </wps:txbx>
                      <wps:bodyPr upright="1"/>
                    </wps:wsp>
                  </a:graphicData>
                </a:graphic>
              </wp:anchor>
            </w:drawing>
          </mc:Choice>
          <mc:Fallback>
            <w:pict>
              <v:rect id="_x0000_s1026" o:spid="_x0000_s1026" o:spt="1" style="position:absolute;left:0pt;margin-left:295.45pt;margin-top:260.4pt;height:26.9pt;width:95.1pt;z-index:251745280;mso-width-relative:page;mso-height-relative:page;" filled="f" stroked="f" coordsize="21600,21600" o:gfxdata="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D5GRofcAAAACwEA&#10;AA8AAAAAAAAAAQAgAAAAIgAAAGRycy9kb3ducmV2LnhtbFBLAQIUABQAAAAIAIdO4kAElpeVpAEA&#10;AEMDAAAOAAAAAAAAAAEAIAAAACsBAABkcnMvZTJvRG9jLnhtbFBLBQYAAAAABgAGAFkBAABBBQAA&#10;AAA=&#10;">
                <v:fill on="f" focussize="0,0"/>
                <v:stroke on="f"/>
                <v:imagedata o:title=""/>
                <o:lock v:ext="edit" aspectratio="f"/>
                <v:textbox>
                  <w:txbxContent>
                    <w:p w14:paraId="3BF4F5FC">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白蛇沟</w:t>
                      </w:r>
                    </w:p>
                  </w:txbxContent>
                </v:textbox>
              </v:rect>
            </w:pict>
          </mc:Fallback>
        </mc:AlternateContent>
      </w:r>
      <w:r>
        <w:rPr>
          <w:rFonts w:hint="default"/>
          <w:lang w:val="en-US" w:eastAsia="zh-CN"/>
        </w:rPr>
        <w:drawing>
          <wp:inline distT="0" distB="0" distL="114300" distR="114300">
            <wp:extent cx="8834755" cy="5812155"/>
            <wp:effectExtent l="0" t="0" r="4445" b="17145"/>
            <wp:docPr id="88" name="图片 88" descr="176896384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768963841595"/>
                    <pic:cNvPicPr>
                      <a:picLocks noChangeAspect="1"/>
                    </pic:cNvPicPr>
                  </pic:nvPicPr>
                  <pic:blipFill>
                    <a:blip r:embed="rId69"/>
                    <a:stretch>
                      <a:fillRect/>
                    </a:stretch>
                  </pic:blipFill>
                  <pic:spPr>
                    <a:xfrm>
                      <a:off x="0" y="0"/>
                      <a:ext cx="8834755" cy="5812155"/>
                    </a:xfrm>
                    <a:prstGeom prst="rect">
                      <a:avLst/>
                    </a:prstGeom>
                  </pic:spPr>
                </pic:pic>
              </a:graphicData>
            </a:graphic>
          </wp:inline>
        </w:drawing>
      </w:r>
    </w:p>
    <w:p w14:paraId="023B157B">
      <w:pPr>
        <w:jc w:val="both"/>
        <w:rPr>
          <w:rFonts w:hint="default" w:ascii="Times New Roman" w:hAnsi="Times New Roman" w:eastAsia="宋体" w:cs="Times New Roman"/>
          <w:b/>
          <w:bCs/>
          <w:color w:val="auto"/>
          <w:sz w:val="24"/>
          <w:szCs w:val="24"/>
          <w:lang w:val="en-US" w:eastAsia="zh-CN"/>
        </w:rPr>
        <w:sectPr>
          <w:pgSz w:w="16838" w:h="11905" w:orient="landscape"/>
          <w:pgMar w:top="720" w:right="720" w:bottom="720" w:left="720" w:header="851" w:footer="1077" w:gutter="0"/>
          <w:pgBorders>
            <w:top w:val="none" w:sz="0" w:space="0"/>
            <w:left w:val="none" w:sz="0" w:space="0"/>
            <w:bottom w:val="none" w:sz="0" w:space="0"/>
            <w:right w:val="none" w:sz="0" w:space="0"/>
          </w:pgBorders>
          <w:cols w:space="720" w:num="1"/>
          <w:docGrid w:linePitch="312" w:charSpace="0"/>
        </w:sectPr>
      </w:pPr>
    </w:p>
    <w:p w14:paraId="3ECFA6D3">
      <w:pPr>
        <w:pStyle w:val="2"/>
        <w:ind w:left="0" w:leftChars="0"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9</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袁家河、天津路排涝沟</w:t>
      </w:r>
      <w:r>
        <w:rPr>
          <w:rFonts w:hint="default" w:ascii="Times New Roman" w:hAnsi="Times New Roman" w:eastAsia="宋体" w:cs="Times New Roman"/>
          <w:b/>
          <w:bCs/>
          <w:color w:val="auto"/>
          <w:sz w:val="24"/>
          <w:szCs w:val="24"/>
          <w:lang w:val="en-US" w:eastAsia="zh-CN"/>
        </w:rPr>
        <w:t>治理工程详细地理位置和敏感目标点图</w:t>
      </w:r>
    </w:p>
    <w:p w14:paraId="12C37C6B">
      <w:pPr>
        <w:pStyle w:val="2"/>
        <w:ind w:left="0" w:leftChars="0" w:firstLine="0" w:firstLineChars="0"/>
        <w:rPr>
          <w:rFonts w:hint="default"/>
          <w:lang w:val="en-US" w:eastAsia="zh-CN"/>
        </w:rPr>
      </w:pPr>
      <w:r>
        <w:rPr>
          <w:sz w:val="21"/>
        </w:rPr>
        <mc:AlternateContent>
          <mc:Choice Requires="wps">
            <w:drawing>
              <wp:anchor distT="0" distB="0" distL="114300" distR="114300" simplePos="0" relativeHeight="251928576" behindDoc="0" locked="0" layoutInCell="1" allowOverlap="1">
                <wp:simplePos x="0" y="0"/>
                <wp:positionH relativeFrom="column">
                  <wp:posOffset>4397375</wp:posOffset>
                </wp:positionH>
                <wp:positionV relativeFrom="paragraph">
                  <wp:posOffset>5951855</wp:posOffset>
                </wp:positionV>
                <wp:extent cx="243205" cy="127000"/>
                <wp:effectExtent l="13970" t="13970" r="28575" b="30480"/>
                <wp:wrapNone/>
                <wp:docPr id="310" name="矩形 310"/>
                <wp:cNvGraphicFramePr/>
                <a:graphic xmlns:a="http://schemas.openxmlformats.org/drawingml/2006/main">
                  <a:graphicData uri="http://schemas.microsoft.com/office/word/2010/wordprocessingShape">
                    <wps:wsp>
                      <wps:cNvSpPr/>
                      <wps:spPr>
                        <a:xfrm>
                          <a:off x="5117465" y="6869430"/>
                          <a:ext cx="243205" cy="12700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25pt;margin-top:468.65pt;height:10pt;width:19.15pt;z-index:251928576;v-text-anchor:middle;mso-width-relative:page;mso-height-relative:page;" filled="f" stroked="t" coordsize="21600,21600" o:gfxdata="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PjNtw1wAAAAsBAAAPAAAAAAAAAAEAIAAAACIAAABkcnMv&#10;ZG93bnJldi54bWxQSwECFAAUAAAACACHTuJADsC9KHYCAADaBAAADgAAAAAAAAABACAAAAAmAQAA&#10;ZHJzL2Uyb0RvYy54bWxQSwUGAAAAAAYABgBZAQAADgY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24480" behindDoc="0" locked="0" layoutInCell="1" allowOverlap="1">
                <wp:simplePos x="0" y="0"/>
                <wp:positionH relativeFrom="column">
                  <wp:posOffset>4387850</wp:posOffset>
                </wp:positionH>
                <wp:positionV relativeFrom="paragraph">
                  <wp:posOffset>5956300</wp:posOffset>
                </wp:positionV>
                <wp:extent cx="243205" cy="95250"/>
                <wp:effectExtent l="13970" t="13970" r="28575" b="24130"/>
                <wp:wrapNone/>
                <wp:docPr id="309" name="矩形 309"/>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5pt;margin-top:469pt;height:7.5pt;width:19.15pt;z-index:251924480;v-text-anchor:middle;mso-width-relative:page;mso-height-relative:page;" filled="f" stroked="t" coordsize="21600,21600" o:gfxdata="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Un53jYAAAACwEAAA8AAAAAAAAAAQAgAAAAIgAAAGRycy9kb3ducmV2Lnht&#10;bFBLAQIUABQAAAAIAIdO4kBpe9DeawIAAM0EAAAOAAAAAAAAAAEAIAAAACcBAABkcnMvZTJvRG9j&#10;LnhtbFBLBQYAAAAABgAGAFkBAAAEBg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26528" behindDoc="0" locked="0" layoutInCell="1" allowOverlap="1">
                <wp:simplePos x="0" y="0"/>
                <wp:positionH relativeFrom="column">
                  <wp:posOffset>4472305</wp:posOffset>
                </wp:positionH>
                <wp:positionV relativeFrom="paragraph">
                  <wp:posOffset>6137275</wp:posOffset>
                </wp:positionV>
                <wp:extent cx="137160" cy="147955"/>
                <wp:effectExtent l="6350" t="6350" r="8890" b="17145"/>
                <wp:wrapNone/>
                <wp:docPr id="308" name="椭圆 308"/>
                <wp:cNvGraphicFramePr/>
                <a:graphic xmlns:a="http://schemas.openxmlformats.org/drawingml/2006/main">
                  <a:graphicData uri="http://schemas.microsoft.com/office/word/2010/wordprocessingShape">
                    <wps:wsp>
                      <wps:cNvSpPr/>
                      <wps:spPr>
                        <a:xfrm>
                          <a:off x="0" y="0"/>
                          <a:ext cx="137160" cy="1479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2.15pt;margin-top:483.25pt;height:11.65pt;width:10.8pt;z-index:251926528;v-text-anchor:middle;mso-width-relative:page;mso-height-relative:page;" filled="f" stroked="t" coordsize="21600,21600" o:gfxdata="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0KWCrYAAAACwEAAA8AAAAAAAAAAQAgAAAAIgAAAGRycy9kb3ducmV2&#10;LnhtbFBLAQIUABQAAAAIAIdO4kBY1hE0bgIAANEEAAAOAAAAAAAAAAEAIAAAACcBAABkcnMvZTJv&#10;RG9jLnhtbFBLBQYAAAAABgAGAFkBAAAHBg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24480" behindDoc="0" locked="0" layoutInCell="1" allowOverlap="1">
                <wp:simplePos x="0" y="0"/>
                <wp:positionH relativeFrom="column">
                  <wp:posOffset>4377690</wp:posOffset>
                </wp:positionH>
                <wp:positionV relativeFrom="paragraph">
                  <wp:posOffset>6019165</wp:posOffset>
                </wp:positionV>
                <wp:extent cx="243205" cy="95250"/>
                <wp:effectExtent l="13970" t="13970" r="28575" b="24130"/>
                <wp:wrapNone/>
                <wp:docPr id="307" name="矩形 307"/>
                <wp:cNvGraphicFramePr/>
                <a:graphic xmlns:a="http://schemas.openxmlformats.org/drawingml/2006/main">
                  <a:graphicData uri="http://schemas.microsoft.com/office/word/2010/wordprocessingShape">
                    <wps:wsp>
                      <wps:cNvSpPr/>
                      <wps:spPr>
                        <a:xfrm>
                          <a:off x="0" y="0"/>
                          <a:ext cx="243205" cy="9525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7pt;margin-top:473.95pt;height:7.5pt;width:19.15pt;z-index:251924480;v-text-anchor:middle;mso-width-relative:page;mso-height-relative:page;" filled="f" stroked="t" coordsize="21600,21600" o:gfxdata="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3LjaqtcAAAALAQAADwAAAAAAAAABACAAAAAiAAAAZHJzL2Rvd25yZXYueG1s&#10;UEsBAhQAFAAAAAgAh07iQJq8kGtrAgAAzQQAAA4AAAAAAAAAAQAgAAAAJgEAAGRycy9lMm9Eb2Mu&#10;eG1sUEsFBgAAAAAGAAYAWQEAAAMGA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27552" behindDoc="0" locked="0" layoutInCell="1" allowOverlap="1">
                <wp:simplePos x="0" y="0"/>
                <wp:positionH relativeFrom="column">
                  <wp:posOffset>4381500</wp:posOffset>
                </wp:positionH>
                <wp:positionV relativeFrom="paragraph">
                  <wp:posOffset>5864860</wp:posOffset>
                </wp:positionV>
                <wp:extent cx="243205" cy="0"/>
                <wp:effectExtent l="0" t="13970" r="4445" b="24130"/>
                <wp:wrapNone/>
                <wp:docPr id="306" name="直接连接符 306"/>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45pt;margin-top:461.8pt;height:0pt;width:19.15pt;z-index:251927552;mso-width-relative:page;mso-height-relative:page;" filled="f" stroked="t" coordsize="21600,21600" o:gfxdata="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d3&#10;NW/YAAAACwEAAA8AAAAAAAAAAQAgAAAAIgAAAGRycy9kb3ducmV2LnhtbFBLAQIUABQAAAAIAIdO&#10;4kCKcynD6gEAALUDAAAOAAAAAAAAAAEAIAAAACcBAABkcnMvZTJvRG9jLnhtbFBLBQYAAAAABgAG&#10;AFkBAACDBQ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25504" behindDoc="0" locked="0" layoutInCell="1" allowOverlap="1">
                <wp:simplePos x="0" y="0"/>
                <wp:positionH relativeFrom="column">
                  <wp:posOffset>4274820</wp:posOffset>
                </wp:positionH>
                <wp:positionV relativeFrom="paragraph">
                  <wp:posOffset>5399405</wp:posOffset>
                </wp:positionV>
                <wp:extent cx="1154430" cy="1101090"/>
                <wp:effectExtent l="5080" t="4445" r="21590" b="18415"/>
                <wp:wrapNone/>
                <wp:docPr id="305" name="文本框 305"/>
                <wp:cNvGraphicFramePr/>
                <a:graphic xmlns:a="http://schemas.openxmlformats.org/drawingml/2006/main">
                  <a:graphicData uri="http://schemas.microsoft.com/office/word/2010/wordprocessingShape">
                    <wps:wsp>
                      <wps:cNvSpPr txBox="1"/>
                      <wps:spPr>
                        <a:xfrm>
                          <a:off x="0" y="0"/>
                          <a:ext cx="1154430" cy="11010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38C652">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0CF3BBE3">
                            <w:pPr>
                              <w:pStyle w:val="2"/>
                              <w:rPr>
                                <w:rFonts w:hint="eastAsia"/>
                                <w:lang w:eastAsia="zh-CN"/>
                              </w:rPr>
                            </w:pPr>
                          </w:p>
                          <w:p w14:paraId="49C9E231">
                            <w:pPr>
                              <w:pStyle w:val="2"/>
                              <w:rPr>
                                <w:rFonts w:hint="eastAsia"/>
                                <w:lang w:eastAsia="zh-CN"/>
                              </w:rPr>
                            </w:pPr>
                            <w:r>
                              <w:rPr>
                                <w:rFonts w:hint="eastAsia"/>
                                <w:lang w:eastAsia="zh-CN"/>
                              </w:rPr>
                              <w:t>河流</w:t>
                            </w:r>
                          </w:p>
                          <w:p w14:paraId="1F64686B">
                            <w:pPr>
                              <w:pStyle w:val="2"/>
                              <w:rPr>
                                <w:rFonts w:hint="eastAsia"/>
                                <w:lang w:eastAsia="zh-CN"/>
                              </w:rPr>
                            </w:pPr>
                            <w:r>
                              <w:rPr>
                                <w:rFonts w:hint="eastAsia"/>
                                <w:lang w:eastAsia="zh-CN"/>
                              </w:rPr>
                              <w:t>敏感目标</w:t>
                            </w:r>
                          </w:p>
                          <w:p w14:paraId="0F9B5622">
                            <w:pPr>
                              <w:pStyle w:val="2"/>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6pt;margin-top:425.15pt;height:86.7pt;width:90.9pt;z-index:251925504;mso-width-relative:page;mso-height-relative:page;" fillcolor="#FFFFFF [3201]" filled="t" stroked="t" coordsize="21600,21600" o:gfxdata="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Dj&#10;b4LYAAAADAEAAA8AAAAAAAAAAQAgAAAAIgAAAGRycy9kb3ducmV2LnhtbFBLAQIUABQAAAAIAIdO&#10;4kAPG7svXAIAALwEAAAOAAAAAAAAAAEAIAAAACcBAABkcnMvZTJvRG9jLnhtbFBLBQYAAAAABgAG&#10;AFkBAAD1BQAAAAA=&#10;">
                <v:fill on="t" focussize="0,0"/>
                <v:stroke weight="0.5pt" color="#000000 [3204]" joinstyle="round"/>
                <v:imagedata o:title=""/>
                <o:lock v:ext="edit" aspectratio="f"/>
                <v:textbox>
                  <w:txbxContent>
                    <w:p w14:paraId="5938C652">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0CF3BBE3">
                      <w:pPr>
                        <w:pStyle w:val="2"/>
                        <w:rPr>
                          <w:rFonts w:hint="eastAsia"/>
                          <w:lang w:eastAsia="zh-CN"/>
                        </w:rPr>
                      </w:pPr>
                    </w:p>
                    <w:p w14:paraId="49C9E231">
                      <w:pPr>
                        <w:pStyle w:val="2"/>
                        <w:rPr>
                          <w:rFonts w:hint="eastAsia"/>
                          <w:lang w:eastAsia="zh-CN"/>
                        </w:rPr>
                      </w:pPr>
                      <w:r>
                        <w:rPr>
                          <w:rFonts w:hint="eastAsia"/>
                          <w:lang w:eastAsia="zh-CN"/>
                        </w:rPr>
                        <w:t>河流</w:t>
                      </w:r>
                    </w:p>
                    <w:p w14:paraId="1F64686B">
                      <w:pPr>
                        <w:pStyle w:val="2"/>
                        <w:rPr>
                          <w:rFonts w:hint="eastAsia"/>
                          <w:lang w:eastAsia="zh-CN"/>
                        </w:rPr>
                      </w:pPr>
                      <w:r>
                        <w:rPr>
                          <w:rFonts w:hint="eastAsia"/>
                          <w:lang w:eastAsia="zh-CN"/>
                        </w:rPr>
                        <w:t>敏感目标</w:t>
                      </w:r>
                    </w:p>
                    <w:p w14:paraId="0F9B5622">
                      <w:pPr>
                        <w:pStyle w:val="2"/>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rPr>
        <w:drawing>
          <wp:anchor distT="0" distB="0" distL="114300" distR="114300" simplePos="0" relativeHeight="251748352" behindDoc="0" locked="0" layoutInCell="1" allowOverlap="1">
            <wp:simplePos x="0" y="0"/>
            <wp:positionH relativeFrom="page">
              <wp:posOffset>6075045</wp:posOffset>
            </wp:positionH>
            <wp:positionV relativeFrom="paragraph">
              <wp:posOffset>7620</wp:posOffset>
            </wp:positionV>
            <wp:extent cx="894715" cy="901700"/>
            <wp:effectExtent l="0" t="0" r="635" b="12700"/>
            <wp:wrapNone/>
            <wp:docPr id="8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7.jpeg"/>
                    <pic:cNvPicPr>
                      <a:picLocks noChangeAspect="1"/>
                    </pic:cNvPicPr>
                  </pic:nvPicPr>
                  <pic:blipFill>
                    <a:blip r:embed="rId60"/>
                    <a:stretch>
                      <a:fillRect/>
                    </a:stretch>
                  </pic:blipFill>
                  <pic:spPr>
                    <a:xfrm>
                      <a:off x="0" y="0"/>
                      <a:ext cx="894715" cy="901700"/>
                    </a:xfrm>
                    <a:prstGeom prst="rect">
                      <a:avLst/>
                    </a:prstGeom>
                    <a:noFill/>
                    <a:ln>
                      <a:noFill/>
                    </a:ln>
                  </pic:spPr>
                </pic:pic>
              </a:graphicData>
            </a:graphic>
          </wp:anchor>
        </w:drawing>
      </w:r>
      <w:r>
        <w:rPr>
          <w:rFonts w:hint="default" w:ascii="Times New Roman" w:hAnsi="Times New Roman" w:eastAsia="宋体" w:cs="Times New Roman"/>
        </w:rPr>
        <mc:AlternateContent>
          <mc:Choice Requires="wps">
            <w:drawing>
              <wp:anchor distT="0" distB="0" distL="114300" distR="114300" simplePos="0" relativeHeight="251750400" behindDoc="0" locked="0" layoutInCell="1" allowOverlap="1">
                <wp:simplePos x="0" y="0"/>
                <wp:positionH relativeFrom="column">
                  <wp:posOffset>1767205</wp:posOffset>
                </wp:positionH>
                <wp:positionV relativeFrom="paragraph">
                  <wp:posOffset>3290570</wp:posOffset>
                </wp:positionV>
                <wp:extent cx="1207770" cy="341630"/>
                <wp:effectExtent l="0" t="0" r="0" b="0"/>
                <wp:wrapNone/>
                <wp:docPr id="90" name="矩形 90"/>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335B4BE7">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袁家河</w:t>
                            </w:r>
                          </w:p>
                        </w:txbxContent>
                      </wps:txbx>
                      <wps:bodyPr upright="1"/>
                    </wps:wsp>
                  </a:graphicData>
                </a:graphic>
              </wp:anchor>
            </w:drawing>
          </mc:Choice>
          <mc:Fallback>
            <w:pict>
              <v:rect id="_x0000_s1026" o:spid="_x0000_s1026" o:spt="1" style="position:absolute;left:0pt;margin-left:139.15pt;margin-top:259.1pt;height:26.9pt;width:95.1pt;z-index:251750400;mso-width-relative:page;mso-height-relative:page;" filled="f" stroked="f" coordsize="21600,21600" o:gfxdata="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IE1DftwAAAALAQAA&#10;DwAAAAAAAAABACAAAAAiAAAAZHJzL2Rvd25yZXYueG1sUEsBAhQAFAAAAAgAh07iQHJNj8ijAQAA&#10;QwMAAA4AAAAAAAAAAQAgAAAAKwEAAGRycy9lMm9Eb2MueG1sUEsFBgAAAAAGAAYAWQEAAEAFAAAA&#10;AA==&#10;">
                <v:fill on="f" focussize="0,0"/>
                <v:stroke on="f"/>
                <v:imagedata o:title=""/>
                <o:lock v:ext="edit" aspectratio="f"/>
                <v:textbox>
                  <w:txbxContent>
                    <w:p w14:paraId="335B4BE7">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袁家河</w:t>
                      </w:r>
                    </w:p>
                  </w:txbxContent>
                </v:textbox>
              </v:rect>
            </w:pict>
          </mc:Fallback>
        </mc:AlternateContent>
      </w:r>
      <w:r>
        <w:drawing>
          <wp:inline distT="0" distB="0" distL="114300" distR="114300">
            <wp:extent cx="6247130" cy="6495415"/>
            <wp:effectExtent l="0" t="0" r="1270" b="635"/>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70"/>
                    <a:stretch>
                      <a:fillRect/>
                    </a:stretch>
                  </pic:blipFill>
                  <pic:spPr>
                    <a:xfrm>
                      <a:off x="0" y="0"/>
                      <a:ext cx="6247130" cy="6495415"/>
                    </a:xfrm>
                    <a:prstGeom prst="rect">
                      <a:avLst/>
                    </a:prstGeom>
                    <a:noFill/>
                    <a:ln>
                      <a:noFill/>
                    </a:ln>
                  </pic:spPr>
                </pic:pic>
              </a:graphicData>
            </a:graphic>
          </wp:inline>
        </w:drawing>
      </w:r>
      <w:r>
        <w:rPr>
          <w:rFonts w:hint="default" w:ascii="Times New Roman" w:hAnsi="Times New Roman" w:eastAsia="宋体" w:cs="Times New Roman"/>
        </w:rPr>
        <mc:AlternateContent>
          <mc:Choice Requires="wps">
            <w:drawing>
              <wp:anchor distT="0" distB="0" distL="114300" distR="114300" simplePos="0" relativeHeight="251749376" behindDoc="0" locked="0" layoutInCell="1" allowOverlap="1">
                <wp:simplePos x="0" y="0"/>
                <wp:positionH relativeFrom="column">
                  <wp:posOffset>3910965</wp:posOffset>
                </wp:positionH>
                <wp:positionV relativeFrom="paragraph">
                  <wp:posOffset>1698625</wp:posOffset>
                </wp:positionV>
                <wp:extent cx="1207770" cy="341630"/>
                <wp:effectExtent l="0" t="0" r="0" b="0"/>
                <wp:wrapNone/>
                <wp:docPr id="92" name="矩形 92"/>
                <wp:cNvGraphicFramePr/>
                <a:graphic xmlns:a="http://schemas.openxmlformats.org/drawingml/2006/main">
                  <a:graphicData uri="http://schemas.microsoft.com/office/word/2010/wordprocessingShape">
                    <wps:wsp>
                      <wps:cNvSpPr/>
                      <wps:spPr>
                        <a:xfrm>
                          <a:off x="0" y="0"/>
                          <a:ext cx="1207770" cy="341630"/>
                        </a:xfrm>
                        <a:prstGeom prst="rect">
                          <a:avLst/>
                        </a:prstGeom>
                        <a:noFill/>
                        <a:ln>
                          <a:noFill/>
                        </a:ln>
                      </wps:spPr>
                      <wps:txbx>
                        <w:txbxContent>
                          <w:p w14:paraId="67BDDFAA">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天津路排涝沟</w:t>
                            </w:r>
                          </w:p>
                        </w:txbxContent>
                      </wps:txbx>
                      <wps:bodyPr upright="1"/>
                    </wps:wsp>
                  </a:graphicData>
                </a:graphic>
              </wp:anchor>
            </w:drawing>
          </mc:Choice>
          <mc:Fallback>
            <w:pict>
              <v:rect id="_x0000_s1026" o:spid="_x0000_s1026" o:spt="1" style="position:absolute;left:0pt;margin-left:307.95pt;margin-top:133.75pt;height:26.9pt;width:95.1pt;z-index:251749376;mso-width-relative:page;mso-height-relative:page;" filled="f" stroked="f" coordsize="21600,21600" o:gfxdata="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BjwsqzcAAAACwEA&#10;AA8AAAAAAAAAAQAgAAAAIgAAAGRycy9kb3ducmV2LnhtbFBLAQIUABQAAAAIAIdO4kCmQA7ApAEA&#10;AEMDAAAOAAAAAAAAAAEAIAAAACsBAABkcnMvZTJvRG9jLnhtbFBLBQYAAAAABgAGAFkBAABBBQAA&#10;AAA=&#10;">
                <v:fill on="f" focussize="0,0"/>
                <v:stroke on="f"/>
                <v:imagedata o:title=""/>
                <o:lock v:ext="edit" aspectratio="f"/>
                <v:textbox>
                  <w:txbxContent>
                    <w:p w14:paraId="67BDDFAA">
                      <w:pPr>
                        <w:rPr>
                          <w:rFonts w:hint="eastAsia" w:ascii="宋体" w:hAnsi="宋体" w:eastAsia="宋体" w:cs="宋体"/>
                          <w:b/>
                          <w:bCs/>
                          <w:color w:val="FFFF00"/>
                          <w:sz w:val="24"/>
                          <w:lang w:eastAsia="zh-CN"/>
                        </w:rPr>
                      </w:pPr>
                      <w:r>
                        <w:rPr>
                          <w:rFonts w:hint="eastAsia" w:ascii="宋体" w:hAnsi="宋体" w:cs="宋体"/>
                          <w:b/>
                          <w:bCs/>
                          <w:color w:val="FFFF00"/>
                          <w:sz w:val="24"/>
                          <w:lang w:eastAsia="zh-CN"/>
                        </w:rPr>
                        <w:t>天津路排涝沟</w:t>
                      </w:r>
                    </w:p>
                  </w:txbxContent>
                </v:textbox>
              </v:rect>
            </w:pict>
          </mc:Fallback>
        </mc:AlternateContent>
      </w:r>
    </w:p>
    <w:p w14:paraId="05EAA738">
      <w:pPr>
        <w:pStyle w:val="2"/>
        <w:rPr>
          <w:rFonts w:hint="default"/>
          <w:lang w:val="en-US" w:eastAsia="zh-CN"/>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357EA364">
      <w:pPr>
        <w:jc w:val="both"/>
      </w:pPr>
      <w:r>
        <w:rPr>
          <w:rFonts w:hint="default" w:ascii="Times New Roman" w:hAnsi="Times New Roman" w:eastAsia="宋体" w:cs="Times New Roman"/>
          <w:b/>
          <w:bCs/>
          <w:color w:val="auto"/>
          <w:sz w:val="24"/>
          <w:szCs w:val="24"/>
          <w:lang w:val="en-US" w:eastAsia="zh-CN"/>
        </w:rPr>
        <w:t>附图1-</w:t>
      </w:r>
      <w:r>
        <w:rPr>
          <w:rFonts w:hint="eastAsia" w:cs="Times New Roman"/>
          <w:b/>
          <w:bCs/>
          <w:color w:val="auto"/>
          <w:sz w:val="24"/>
          <w:szCs w:val="24"/>
          <w:lang w:val="en-US" w:eastAsia="zh-CN"/>
        </w:rPr>
        <w:t>10</w:t>
      </w:r>
      <w:r>
        <w:rPr>
          <w:rFonts w:hint="default" w:ascii="Times New Roman" w:hAnsi="Times New Roman" w:eastAsia="宋体" w:cs="Times New Roman"/>
          <w:b/>
          <w:bCs/>
          <w:color w:val="auto"/>
          <w:sz w:val="24"/>
          <w:szCs w:val="24"/>
          <w:lang w:val="en-US" w:eastAsia="zh-CN"/>
        </w:rPr>
        <w:t xml:space="preserve"> </w:t>
      </w:r>
      <w:r>
        <w:rPr>
          <w:rFonts w:hint="eastAsia" w:cs="Times New Roman"/>
          <w:b/>
          <w:bCs/>
          <w:color w:val="auto"/>
          <w:sz w:val="24"/>
          <w:szCs w:val="24"/>
          <w:lang w:val="en-US" w:eastAsia="zh-CN"/>
        </w:rPr>
        <w:t>大高村排涝沟</w:t>
      </w:r>
      <w:r>
        <w:rPr>
          <w:rFonts w:hint="default" w:ascii="Times New Roman" w:hAnsi="Times New Roman" w:eastAsia="宋体" w:cs="Times New Roman"/>
          <w:b/>
          <w:bCs/>
          <w:color w:val="auto"/>
          <w:sz w:val="24"/>
          <w:szCs w:val="24"/>
          <w:lang w:val="en-US" w:eastAsia="zh-CN"/>
        </w:rPr>
        <w:t>治理工程详细地理位置和敏感目标点图</w:t>
      </w:r>
    </w:p>
    <w:p w14:paraId="58A89E97">
      <w:pPr>
        <w:jc w:val="both"/>
        <w:rPr>
          <w:rFonts w:hint="default" w:ascii="Times New Roman" w:hAnsi="Times New Roman" w:eastAsia="宋体" w:cs="Times New Roman"/>
        </w:rPr>
      </w:pPr>
      <w:r>
        <w:rPr>
          <w:sz w:val="21"/>
        </w:rPr>
        <mc:AlternateContent>
          <mc:Choice Requires="wps">
            <w:drawing>
              <wp:anchor distT="0" distB="0" distL="114300" distR="114300" simplePos="0" relativeHeight="251932672" behindDoc="0" locked="0" layoutInCell="1" allowOverlap="1">
                <wp:simplePos x="0" y="0"/>
                <wp:positionH relativeFrom="column">
                  <wp:posOffset>153035</wp:posOffset>
                </wp:positionH>
                <wp:positionV relativeFrom="paragraph">
                  <wp:posOffset>6258560</wp:posOffset>
                </wp:positionV>
                <wp:extent cx="222250" cy="116840"/>
                <wp:effectExtent l="13970" t="13970" r="30480" b="21590"/>
                <wp:wrapNone/>
                <wp:docPr id="314" name="矩形 314"/>
                <wp:cNvGraphicFramePr/>
                <a:graphic xmlns:a="http://schemas.openxmlformats.org/drawingml/2006/main">
                  <a:graphicData uri="http://schemas.microsoft.com/office/word/2010/wordprocessingShape">
                    <wps:wsp>
                      <wps:cNvSpPr/>
                      <wps:spPr>
                        <a:xfrm>
                          <a:off x="873125" y="7176135"/>
                          <a:ext cx="222250" cy="116840"/>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5pt;margin-top:492.8pt;height:9.2pt;width:17.5pt;z-index:251932672;v-text-anchor:middle;mso-width-relative:page;mso-height-relative:page;" filled="f" stroked="t" coordsize="21600,21600" o:gfxdata="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akcz/1gAAAAoBAAAPAAAAAAAAAAEAIAAAACIAAABkcnMv&#10;ZG93bnJldi54bWxQSwECFAAUAAAACACHTuJAhJ+VwXcCAADZBAAADgAAAAAAAAABACAAAAAlAQAA&#10;ZHJzL2Uyb0RvYy54bWxQSwUGAAAAAAYABgBZAQAADgYAAAAA&#10;">
                <v:fill on="f" focussize="0,0"/>
                <v:stroke weight="2.25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931648" behindDoc="0" locked="0" layoutInCell="1" allowOverlap="1">
                <wp:simplePos x="0" y="0"/>
                <wp:positionH relativeFrom="column">
                  <wp:posOffset>153035</wp:posOffset>
                </wp:positionH>
                <wp:positionV relativeFrom="paragraph">
                  <wp:posOffset>6131560</wp:posOffset>
                </wp:positionV>
                <wp:extent cx="201295" cy="0"/>
                <wp:effectExtent l="0" t="13970" r="8255" b="24130"/>
                <wp:wrapNone/>
                <wp:docPr id="313" name="直接连接符 313"/>
                <wp:cNvGraphicFramePr/>
                <a:graphic xmlns:a="http://schemas.openxmlformats.org/drawingml/2006/main">
                  <a:graphicData uri="http://schemas.microsoft.com/office/word/2010/wordprocessingShape">
                    <wps:wsp>
                      <wps:cNvCnPr/>
                      <wps:spPr>
                        <a:xfrm>
                          <a:off x="873125" y="7049135"/>
                          <a:ext cx="20129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05pt;margin-top:482.8pt;height:0pt;width:15.85pt;z-index:251931648;mso-width-relative:page;mso-height-relative:page;" filled="f" stroked="t" coordsize="21600,21600" o:gfxdata="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SEpjE1gAAAAkBAAAPAAAAAAAAAAEAIAAAACIAAABkcnMvZG93bnJldi54bWxQSwEC&#10;FAAUAAAACACHTuJAK4wwVvYBAADAAwAADgAAAAAAAAABACAAAAAlAQAAZHJzL2Uyb0RvYy54bWxQ&#10;SwUGAAAAAAYABgBZAQAAjQU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29600" behindDoc="0" locked="0" layoutInCell="1" allowOverlap="1">
                <wp:simplePos x="0" y="0"/>
                <wp:positionH relativeFrom="column">
                  <wp:posOffset>106045</wp:posOffset>
                </wp:positionH>
                <wp:positionV relativeFrom="paragraph">
                  <wp:posOffset>6118860</wp:posOffset>
                </wp:positionV>
                <wp:extent cx="243205" cy="0"/>
                <wp:effectExtent l="0" t="13970" r="4445" b="24130"/>
                <wp:wrapNone/>
                <wp:docPr id="312" name="直接连接符 312"/>
                <wp:cNvGraphicFramePr/>
                <a:graphic xmlns:a="http://schemas.openxmlformats.org/drawingml/2006/main">
                  <a:graphicData uri="http://schemas.microsoft.com/office/word/2010/wordprocessingShape">
                    <wps:wsp>
                      <wps:cNvCnPr/>
                      <wps:spPr>
                        <a:xfrm>
                          <a:off x="0" y="0"/>
                          <a:ext cx="243205" cy="0"/>
                        </a:xfrm>
                        <a:prstGeom prst="line">
                          <a:avLst/>
                        </a:prstGeom>
                        <a:ln w="28575">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35pt;margin-top:481.8pt;height:0pt;width:19.15pt;z-index:251929600;mso-width-relative:page;mso-height-relative:page;" filled="f" stroked="t" coordsize="21600,21600" o:gfxdata="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zOWMLV&#10;AAAACQEAAA8AAAAAAAAAAQAgAAAAIgAAAGRycy9kb3ducmV2LnhtbFBLAQIUABQAAAAIAIdO4kB0&#10;ZLlz6gEAALUDAAAOAAAAAAAAAAEAIAAAACQBAABkcnMvZTJvRG9jLnhtbFBLBQYAAAAABgAGAFkB&#10;AACABQAAAAA=&#10;">
                <v:fill on="f" focussize="0,0"/>
                <v:stroke weight="2.2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30624" behindDoc="0" locked="0" layoutInCell="1" allowOverlap="1">
                <wp:simplePos x="0" y="0"/>
                <wp:positionH relativeFrom="column">
                  <wp:posOffset>9525</wp:posOffset>
                </wp:positionH>
                <wp:positionV relativeFrom="paragraph">
                  <wp:posOffset>5664200</wp:posOffset>
                </wp:positionV>
                <wp:extent cx="1154430" cy="868680"/>
                <wp:effectExtent l="4445" t="4445" r="22225" b="22225"/>
                <wp:wrapNone/>
                <wp:docPr id="311" name="文本框 311"/>
                <wp:cNvGraphicFramePr/>
                <a:graphic xmlns:a="http://schemas.openxmlformats.org/drawingml/2006/main">
                  <a:graphicData uri="http://schemas.microsoft.com/office/word/2010/wordprocessingShape">
                    <wps:wsp>
                      <wps:cNvSpPr txBox="1"/>
                      <wps:spPr>
                        <a:xfrm>
                          <a:off x="0" y="0"/>
                          <a:ext cx="1154430" cy="8686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24829D">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2733F5F">
                            <w:pPr>
                              <w:pStyle w:val="2"/>
                              <w:rPr>
                                <w:rFonts w:hint="eastAsia"/>
                                <w:lang w:eastAsia="zh-CN"/>
                              </w:rPr>
                            </w:pPr>
                          </w:p>
                          <w:p w14:paraId="04CF5CDC">
                            <w:pPr>
                              <w:pStyle w:val="2"/>
                              <w:rPr>
                                <w:rFonts w:hint="eastAsia"/>
                                <w:lang w:eastAsia="zh-CN"/>
                              </w:rPr>
                            </w:pPr>
                            <w:r>
                              <w:rPr>
                                <w:rFonts w:hint="eastAsia"/>
                                <w:lang w:eastAsia="zh-CN"/>
                              </w:rPr>
                              <w:t>河流</w:t>
                            </w:r>
                          </w:p>
                          <w:p w14:paraId="3128A709">
                            <w:pPr>
                              <w:pStyle w:val="2"/>
                              <w:rPr>
                                <w:rFonts w:hint="default"/>
                                <w:lang w:val="en-US" w:eastAsia="zh-CN"/>
                              </w:rPr>
                            </w:pPr>
                            <w:r>
                              <w:rPr>
                                <w:rFonts w:hint="eastAsia"/>
                                <w:lang w:eastAsia="zh-CN"/>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446pt;height:68.4pt;width:90.9pt;z-index:251930624;mso-width-relative:page;mso-height-relative:page;" fillcolor="#FFFFFF [3201]" filled="t" stroked="t" coordsize="21600,21600" o:gfxdata="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ySx1QAA&#10;AAoBAAAPAAAAAAAAAAEAIAAAACIAAABkcnMvZG93bnJldi54bWxQSwECFAAUAAAACACHTuJAzFDx&#10;F1oCAAC7BAAADgAAAAAAAAABACAAAAAkAQAAZHJzL2Uyb0RvYy54bWxQSwUGAAAAAAYABgBZAQAA&#10;8AUAAAAA&#10;">
                <v:fill on="t" focussize="0,0"/>
                <v:stroke weight="0.5pt" color="#000000 [3204]" joinstyle="round"/>
                <v:imagedata o:title=""/>
                <o:lock v:ext="edit" aspectratio="f"/>
                <v:textbox>
                  <w:txbxContent>
                    <w:p w14:paraId="4824829D">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42733F5F">
                      <w:pPr>
                        <w:pStyle w:val="2"/>
                        <w:rPr>
                          <w:rFonts w:hint="eastAsia"/>
                          <w:lang w:eastAsia="zh-CN"/>
                        </w:rPr>
                      </w:pPr>
                    </w:p>
                    <w:p w14:paraId="04CF5CDC">
                      <w:pPr>
                        <w:pStyle w:val="2"/>
                        <w:rPr>
                          <w:rFonts w:hint="eastAsia"/>
                          <w:lang w:eastAsia="zh-CN"/>
                        </w:rPr>
                      </w:pPr>
                      <w:r>
                        <w:rPr>
                          <w:rFonts w:hint="eastAsia"/>
                          <w:lang w:eastAsia="zh-CN"/>
                        </w:rPr>
                        <w:t>河流</w:t>
                      </w:r>
                    </w:p>
                    <w:p w14:paraId="3128A709">
                      <w:pPr>
                        <w:pStyle w:val="2"/>
                        <w:rPr>
                          <w:rFonts w:hint="default"/>
                          <w:lang w:val="en-US" w:eastAsia="zh-CN"/>
                        </w:rPr>
                      </w:pPr>
                      <w:r>
                        <w:rPr>
                          <w:rFonts w:hint="eastAsia"/>
                          <w:lang w:eastAsia="zh-CN"/>
                        </w:rPr>
                        <w:t>敏感目标</w:t>
                      </w: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2409825</wp:posOffset>
                </wp:positionH>
                <wp:positionV relativeFrom="paragraph">
                  <wp:posOffset>3208020</wp:posOffset>
                </wp:positionV>
                <wp:extent cx="1367790" cy="277495"/>
                <wp:effectExtent l="0" t="0" r="0" b="0"/>
                <wp:wrapNone/>
                <wp:docPr id="93" name="文本框 93"/>
                <wp:cNvGraphicFramePr/>
                <a:graphic xmlns:a="http://schemas.openxmlformats.org/drawingml/2006/main">
                  <a:graphicData uri="http://schemas.microsoft.com/office/word/2010/wordprocessingShape">
                    <wps:wsp>
                      <wps:cNvSpPr txBox="1"/>
                      <wps:spPr>
                        <a:xfrm>
                          <a:off x="3272790" y="3935095"/>
                          <a:ext cx="136779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57BDB2">
                            <w:pPr>
                              <w:rPr>
                                <w:rFonts w:hint="eastAsia" w:eastAsia="宋体"/>
                                <w:b/>
                                <w:bCs/>
                                <w:color w:val="FFC000"/>
                                <w:lang w:eastAsia="zh-CN"/>
                              </w:rPr>
                            </w:pPr>
                            <w:r>
                              <w:rPr>
                                <w:rFonts w:hint="eastAsia"/>
                                <w:b/>
                                <w:bCs/>
                                <w:color w:val="FFC000"/>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75pt;margin-top:252.6pt;height:21.85pt;width:107.7pt;z-index:251728896;mso-width-relative:page;mso-height-relative:page;" filled="f" stroked="f" coordsize="21600,21600" o:gfxdata="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Hqpmf3QAAAAsBAAAPAAAAAAAA&#10;AAEAIAAAACIAAABkcnMvZG93bnJldi54bWxQSwECFAAUAAAACACHTuJAxyeKZkYCAAB0BAAADgAA&#10;AAAAAAABACAAAAAsAQAAZHJzL2Uyb0RvYy54bWxQSwUGAAAAAAYABgBZAQAA5AUAAAAA&#10;">
                <v:fill on="f" focussize="0,0"/>
                <v:stroke on="f" weight="0.5pt"/>
                <v:imagedata o:title=""/>
                <o:lock v:ext="edit" aspectratio="f"/>
                <v:textbox>
                  <w:txbxContent>
                    <w:p w14:paraId="0857BDB2">
                      <w:pPr>
                        <w:rPr>
                          <w:rFonts w:hint="eastAsia" w:eastAsia="宋体"/>
                          <w:b/>
                          <w:bCs/>
                          <w:color w:val="FFC000"/>
                          <w:lang w:eastAsia="zh-CN"/>
                        </w:rPr>
                      </w:pPr>
                      <w:r>
                        <w:rPr>
                          <w:rFonts w:hint="eastAsia"/>
                          <w:b/>
                          <w:bCs/>
                          <w:color w:val="FFC000"/>
                          <w:lang w:eastAsia="zh-CN"/>
                        </w:rPr>
                        <w:t>大高村排涝沟</w:t>
                      </w:r>
                    </w:p>
                  </w:txbxContent>
                </v:textbox>
              </v:shape>
            </w:pict>
          </mc:Fallback>
        </mc:AlternateContent>
      </w:r>
      <w:r>
        <w:rPr>
          <w:rFonts w:hint="default" w:ascii="Times New Roman" w:hAnsi="Times New Roman" w:eastAsia="宋体" w:cs="Times New Roman"/>
        </w:rPr>
        <w:drawing>
          <wp:anchor distT="0" distB="0" distL="114300" distR="114300" simplePos="0" relativeHeight="251719680" behindDoc="0" locked="0" layoutInCell="1" allowOverlap="1">
            <wp:simplePos x="0" y="0"/>
            <wp:positionH relativeFrom="page">
              <wp:posOffset>6164580</wp:posOffset>
            </wp:positionH>
            <wp:positionV relativeFrom="paragraph">
              <wp:posOffset>2540</wp:posOffset>
            </wp:positionV>
            <wp:extent cx="713105" cy="718820"/>
            <wp:effectExtent l="0" t="0" r="10795" b="5080"/>
            <wp:wrapNone/>
            <wp:docPr id="9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7.jpeg"/>
                    <pic:cNvPicPr>
                      <a:picLocks noChangeAspect="1"/>
                    </pic:cNvPicPr>
                  </pic:nvPicPr>
                  <pic:blipFill>
                    <a:blip r:embed="rId60"/>
                    <a:stretch>
                      <a:fillRect/>
                    </a:stretch>
                  </pic:blipFill>
                  <pic:spPr>
                    <a:xfrm>
                      <a:off x="0" y="0"/>
                      <a:ext cx="713105" cy="718820"/>
                    </a:xfrm>
                    <a:prstGeom prst="rect">
                      <a:avLst/>
                    </a:prstGeom>
                    <a:noFill/>
                    <a:ln>
                      <a:noFill/>
                    </a:ln>
                  </pic:spPr>
                </pic:pic>
              </a:graphicData>
            </a:graphic>
          </wp:anchor>
        </w:drawing>
      </w:r>
      <w:r>
        <w:drawing>
          <wp:inline distT="0" distB="0" distL="114300" distR="114300">
            <wp:extent cx="6162040" cy="6532880"/>
            <wp:effectExtent l="0" t="0" r="10160" b="127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71"/>
                    <a:stretch>
                      <a:fillRect/>
                    </a:stretch>
                  </pic:blipFill>
                  <pic:spPr>
                    <a:xfrm>
                      <a:off x="0" y="0"/>
                      <a:ext cx="6162040" cy="6532880"/>
                    </a:xfrm>
                    <a:prstGeom prst="rect">
                      <a:avLst/>
                    </a:prstGeom>
                    <a:noFill/>
                    <a:ln>
                      <a:noFill/>
                    </a:ln>
                  </pic:spPr>
                </pic:pic>
              </a:graphicData>
            </a:graphic>
          </wp:inline>
        </w:drawing>
      </w:r>
    </w:p>
    <w:p w14:paraId="4207D994">
      <w:pPr>
        <w:jc w:val="both"/>
        <w:rPr>
          <w:rFonts w:hint="default" w:ascii="Times New Roman" w:hAnsi="Times New Roman" w:eastAsia="宋体" w:cs="Times New Roman"/>
          <w:sz w:val="24"/>
          <w:szCs w:val="24"/>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405C115F">
      <w:pPr>
        <w:jc w:val="left"/>
        <w:rPr>
          <w:rFonts w:hint="default" w:ascii="Times New Roman" w:hAnsi="Times New Roman" w:eastAsia="宋体" w:cs="Times New Roman"/>
          <w:b/>
          <w:bCs/>
          <w:kern w:val="0"/>
          <w:sz w:val="24"/>
          <w:szCs w:val="24"/>
          <w:lang w:val="en-US" w:eastAsia="zh-CN" w:bidi="ar-SA"/>
        </w:rPr>
      </w:pPr>
      <w:r>
        <w:rPr>
          <w:rFonts w:hint="default" w:ascii="Times New Roman" w:hAnsi="Times New Roman" w:eastAsia="宋体" w:cs="Times New Roman"/>
          <w:b/>
          <w:bCs/>
          <w:kern w:val="0"/>
          <w:sz w:val="24"/>
          <w:szCs w:val="24"/>
          <w:lang w:val="en-US" w:eastAsia="zh-CN" w:bidi="ar-SA"/>
        </w:rPr>
        <w:t>附图2  淄博市国土空间总体规划图（2021-2035年）</w:t>
      </w:r>
    </w:p>
    <w:p w14:paraId="4C935B4D">
      <w:pPr>
        <w:widowControl/>
        <w:jc w:val="center"/>
        <w:rPr>
          <w:rFonts w:hint="default" w:ascii="Times New Roman" w:hAnsi="Times New Roman" w:eastAsia="宋体" w:cs="Times New Roman"/>
          <w:sz w:val="21"/>
        </w:rPr>
      </w:pPr>
      <w:r>
        <w:rPr>
          <w:rFonts w:hint="default" w:ascii="Times New Roman" w:hAnsi="Times New Roman" w:eastAsia="宋体" w:cs="Times New Roman"/>
          <w:sz w:val="21"/>
        </w:rPr>
        <w:drawing>
          <wp:inline distT="0" distB="0" distL="114300" distR="114300">
            <wp:extent cx="5922010" cy="8271510"/>
            <wp:effectExtent l="0" t="0" r="2540" b="15240"/>
            <wp:docPr id="97" name="图片 3" descr="a6138011ba78f70c9f61612bede1a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descr="a6138011ba78f70c9f61612bede1afb"/>
                    <pic:cNvPicPr>
                      <a:picLocks noChangeAspect="1"/>
                    </pic:cNvPicPr>
                  </pic:nvPicPr>
                  <pic:blipFill>
                    <a:blip r:embed="rId72">
                      <a:lum contrast="6000"/>
                    </a:blip>
                    <a:stretch>
                      <a:fillRect/>
                    </a:stretch>
                  </pic:blipFill>
                  <pic:spPr>
                    <a:xfrm>
                      <a:off x="0" y="0"/>
                      <a:ext cx="5922010" cy="8271510"/>
                    </a:xfrm>
                    <a:prstGeom prst="rect">
                      <a:avLst/>
                    </a:prstGeom>
                    <a:noFill/>
                    <a:ln>
                      <a:noFill/>
                    </a:ln>
                  </pic:spPr>
                </pic:pic>
              </a:graphicData>
            </a:graphic>
          </wp:inline>
        </w:drawing>
      </w:r>
      <w:r>
        <w:rPr>
          <w:rFonts w:hint="default" w:ascii="Times New Roman" w:hAnsi="Times New Roman" w:eastAsia="宋体" w:cs="Times New Roman"/>
          <w:sz w:val="21"/>
        </w:rPr>
        <mc:AlternateContent>
          <mc:Choice Requires="wps">
            <w:drawing>
              <wp:anchor distT="0" distB="0" distL="114300" distR="114300" simplePos="0" relativeHeight="251767808" behindDoc="0" locked="0" layoutInCell="1" allowOverlap="1">
                <wp:simplePos x="0" y="0"/>
                <wp:positionH relativeFrom="column">
                  <wp:posOffset>1870075</wp:posOffset>
                </wp:positionH>
                <wp:positionV relativeFrom="paragraph">
                  <wp:posOffset>3905250</wp:posOffset>
                </wp:positionV>
                <wp:extent cx="423545" cy="382905"/>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46F288">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25pt;margin-top:307.5pt;height:30.15pt;width:33.35pt;z-index:251767808;mso-width-relative:page;mso-height-relative:page;" filled="f" stroked="f" coordsize="21600,21600" o:gfxdata="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yMfm3AAAAAsBAAAPAAAAAAAAAAEAIAAAACIAAABk&#10;cnMvZG93bnJldi54bWxQSwECFAAUAAAACACHTuJAi7LluDsCAABpBAAADgAAAAAAAAABACAAAAAr&#10;AQAAZHJzL2Uyb0RvYy54bWxQSwUGAAAAAAYABgBZAQAA2AUAAAAA&#10;">
                <v:fill on="f" focussize="0,0"/>
                <v:stroke on="f" weight="0.5pt"/>
                <v:imagedata o:title=""/>
                <o:lock v:ext="edit" aspectratio="f"/>
                <v:textbox>
                  <w:txbxContent>
                    <w:p w14:paraId="4446F288">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9</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66784" behindDoc="0" locked="0" layoutInCell="1" allowOverlap="1">
                <wp:simplePos x="0" y="0"/>
                <wp:positionH relativeFrom="column">
                  <wp:posOffset>2067560</wp:posOffset>
                </wp:positionH>
                <wp:positionV relativeFrom="paragraph">
                  <wp:posOffset>3798570</wp:posOffset>
                </wp:positionV>
                <wp:extent cx="423545" cy="382905"/>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E1CCC9">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8pt;margin-top:299.1pt;height:30.15pt;width:33.35pt;z-index:251766784;mso-width-relative:page;mso-height-relative:page;" filled="f" stroked="f" coordsize="21600,21600" o:gfxdata="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gNn57cAAAACwEAAA8AAAAAAAAAAQAgAAAAIgAA&#10;AGRycy9kb3ducmV2LnhtbFBLAQIUABQAAAAIAIdO4kC9IHN2PQIAAGkEAAAOAAAAAAAAAAEAIAAA&#10;ACsBAABkcnMvZTJvRG9jLnhtbFBLBQYAAAAABgAGAFkBAADaBQAAAAA=&#10;">
                <v:fill on="f" focussize="0,0"/>
                <v:stroke on="f" weight="0.5pt"/>
                <v:imagedata o:title=""/>
                <o:lock v:ext="edit" aspectratio="f"/>
                <v:textbox>
                  <w:txbxContent>
                    <w:p w14:paraId="35E1CCC9">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10</w:t>
                      </w:r>
                    </w:p>
                  </w:txbxContent>
                </v:textbox>
              </v:shape>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2119630</wp:posOffset>
                </wp:positionH>
                <wp:positionV relativeFrom="paragraph">
                  <wp:posOffset>3997960</wp:posOffset>
                </wp:positionV>
                <wp:extent cx="29845" cy="110490"/>
                <wp:effectExtent l="6350" t="1905" r="20955" b="1905"/>
                <wp:wrapNone/>
                <wp:docPr id="148" name="直接连接符 148"/>
                <wp:cNvGraphicFramePr/>
                <a:graphic xmlns:a="http://schemas.openxmlformats.org/drawingml/2006/main">
                  <a:graphicData uri="http://schemas.microsoft.com/office/word/2010/wordprocessingShape">
                    <wps:wsp>
                      <wps:cNvCnPr/>
                      <wps:spPr>
                        <a:xfrm flipH="1">
                          <a:off x="2829560" y="4915535"/>
                          <a:ext cx="29845" cy="11049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66.9pt;margin-top:314.8pt;height:8.7pt;width:2.35pt;z-index:251765760;mso-width-relative:page;mso-height-relative:page;" filled="f" stroked="t" coordsize="21600,21600" o:gfxdata="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61d1x9cAAAALAQAADwAAAAAAAAABACAAAAAiAAAAZHJzL2Rvd25y&#10;ZXYueG1sUEsBAhQAFAAAAAgAh07iQHjkPcH/AQAAzwMAAA4AAAAAAAAAAQAgAAAAJgEAAGRycy9l&#10;Mm9Eb2MueG1sUEsFBgAAAAAGAAYAWQEAAJcFA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3536" behindDoc="0" locked="0" layoutInCell="1" allowOverlap="1">
                <wp:simplePos x="0" y="0"/>
                <wp:positionH relativeFrom="column">
                  <wp:posOffset>1889125</wp:posOffset>
                </wp:positionH>
                <wp:positionV relativeFrom="paragraph">
                  <wp:posOffset>4038600</wp:posOffset>
                </wp:positionV>
                <wp:extent cx="76200" cy="76200"/>
                <wp:effectExtent l="0" t="15240" r="4445" b="22860"/>
                <wp:wrapNone/>
                <wp:docPr id="136" name="任意多边形 136"/>
                <wp:cNvGraphicFramePr/>
                <a:graphic xmlns:a="http://schemas.openxmlformats.org/drawingml/2006/main">
                  <a:graphicData uri="http://schemas.microsoft.com/office/word/2010/wordprocessingShape">
                    <wps:wsp>
                      <wps:cNvSpPr/>
                      <wps:spPr>
                        <a:xfrm rot="1140000">
                          <a:off x="0" y="0"/>
                          <a:ext cx="76200" cy="76200"/>
                        </a:xfrm>
                        <a:custGeom>
                          <a:avLst/>
                          <a:gdLst/>
                          <a:ahLst/>
                          <a:cxnLst/>
                          <a:pathLst>
                            <a:path w="60" h="150">
                              <a:moveTo>
                                <a:pt x="0" y="0"/>
                              </a:moveTo>
                              <a:lnTo>
                                <a:pt x="60" y="15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48.75pt;margin-top:318pt;height:6pt;width:6pt;rotation:1245184f;z-index:251713536;mso-width-relative:page;mso-height-relative:page;" filled="f" stroked="t" coordsize="60,150" o:gfxdata="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g4Ykk2AAAAAsBAAAPAAAAAAAAAAEAIAAAACIAAABkcnMvZG93&#10;bnJldi54bWxQSwECFAAUAAAACACHTuJAEyQivTkCAACdBAAADgAAAAAAAAABACAAAAAnAQAAZHJz&#10;L2Uyb0RvYy54bWxQSwUGAAAAAAYABgBZAQAA0gUAAAAA&#10;" path="m0,0l60,150e">
                <v:fill on="f" focussize="0,0"/>
                <v:stroke weight="1.75pt" color="#000000" joinstyle="round"/>
                <v:imagedata o:title=""/>
                <o:lock v:ext="edit" aspectratio="f"/>
              </v:shape>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2209800</wp:posOffset>
                </wp:positionH>
                <wp:positionV relativeFrom="paragraph">
                  <wp:posOffset>4004310</wp:posOffset>
                </wp:positionV>
                <wp:extent cx="7620" cy="116205"/>
                <wp:effectExtent l="6350" t="635" r="24130" b="16510"/>
                <wp:wrapNone/>
                <wp:docPr id="140" name="直接连接符 140"/>
                <wp:cNvGraphicFramePr/>
                <a:graphic xmlns:a="http://schemas.openxmlformats.org/drawingml/2006/main">
                  <a:graphicData uri="http://schemas.microsoft.com/office/word/2010/wordprocessingShape">
                    <wps:wsp>
                      <wps:cNvCnPr/>
                      <wps:spPr>
                        <a:xfrm flipH="1">
                          <a:off x="2929890" y="4921885"/>
                          <a:ext cx="7620" cy="11620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74pt;margin-top:315.3pt;height:9.15pt;width:0.6pt;z-index:251764736;mso-width-relative:page;mso-height-relative:page;" filled="f" stroked="t" coordsize="21600,21600" o:gfxdata="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jin/fdkAAAALAQAADwAAAAAAAAABACAAAAAiAAAAZHJzL2Rvd25yZXYu&#10;eG1sUEsBAhQAFAAAAAgAh07iQJbTNzv6AQAAzgMAAA4AAAAAAAAAAQAgAAAAKAEAAGRycy9lMm9E&#10;b2MueG1sUEsFBgAAAAAGAAYAWQEAAJQ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2176780</wp:posOffset>
                </wp:positionH>
                <wp:positionV relativeFrom="paragraph">
                  <wp:posOffset>3994150</wp:posOffset>
                </wp:positionV>
                <wp:extent cx="38100" cy="5080"/>
                <wp:effectExtent l="0" t="0" r="0" b="0"/>
                <wp:wrapNone/>
                <wp:docPr id="138" name="直接连接符 138"/>
                <wp:cNvGraphicFramePr/>
                <a:graphic xmlns:a="http://schemas.openxmlformats.org/drawingml/2006/main">
                  <a:graphicData uri="http://schemas.microsoft.com/office/word/2010/wordprocessingShape">
                    <wps:wsp>
                      <wps:cNvCnPr/>
                      <wps:spPr>
                        <a:xfrm>
                          <a:off x="2896870" y="4911725"/>
                          <a:ext cx="38100" cy="508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71.4pt;margin-top:314.5pt;height:0.4pt;width:3pt;z-index:251763712;mso-width-relative:page;mso-height-relative:page;" filled="f" stroked="t" coordsize="21600,21600" o:gfxdata="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HNVHaAAAACwEAAA8AAAAAAAAAAQAgAAAAIgAAAGRycy9kb3ducmV2LnhtbFBL&#10;AQIUABQAAAAIAIdO4kCeyfW29AEAAMMDAAAOAAAAAAAAAAEAIAAAACkBAABkcnMvZTJvRG9jLnht&#10;bFBLBQYAAAAABgAGAFkBAACPBQ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62688" behindDoc="0" locked="0" layoutInCell="1" allowOverlap="1">
                <wp:simplePos x="0" y="0"/>
                <wp:positionH relativeFrom="column">
                  <wp:posOffset>2367915</wp:posOffset>
                </wp:positionH>
                <wp:positionV relativeFrom="paragraph">
                  <wp:posOffset>3721100</wp:posOffset>
                </wp:positionV>
                <wp:extent cx="375920" cy="33845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375920" cy="338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5C2737">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45pt;margin-top:293pt;height:26.65pt;width:29.6pt;z-index:251762688;mso-width-relative:page;mso-height-relative:page;" filled="f" stroked="f" coordsize="21600,21600" o:gfxdata="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SQQod0AAAALAQAADwAAAAAAAAABACAAAAAiAAAA&#10;ZHJzL2Rvd25yZXYueG1sUEsBAhQAFAAAAAgAh07iQG3nFto7AgAAaQQAAA4AAAAAAAAAAQAgAAAA&#10;LAEAAGRycy9lMm9Eb2MueG1sUEsFBgAAAAAGAAYAWQEAANkFAAAAAA==&#10;">
                <v:fill on="f" focussize="0,0"/>
                <v:stroke on="f" weight="0.5pt"/>
                <v:imagedata o:title=""/>
                <o:lock v:ext="edit" aspectratio="f"/>
                <v:textbox>
                  <w:txbxContent>
                    <w:p w14:paraId="2A5C2737">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13</w:t>
                      </w:r>
                    </w:p>
                  </w:txbxContent>
                </v:textbox>
              </v:shape>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2616200</wp:posOffset>
                </wp:positionH>
                <wp:positionV relativeFrom="paragraph">
                  <wp:posOffset>3939540</wp:posOffset>
                </wp:positionV>
                <wp:extent cx="58420" cy="79375"/>
                <wp:effectExtent l="6350" t="5715" r="11430" b="10160"/>
                <wp:wrapNone/>
                <wp:docPr id="133" name="任意多边形 133"/>
                <wp:cNvGraphicFramePr/>
                <a:graphic xmlns:a="http://schemas.openxmlformats.org/drawingml/2006/main">
                  <a:graphicData uri="http://schemas.microsoft.com/office/word/2010/wordprocessingShape">
                    <wps:wsp>
                      <wps:cNvSpPr/>
                      <wps:spPr>
                        <a:xfrm>
                          <a:off x="3336290" y="4857115"/>
                          <a:ext cx="58420" cy="79375"/>
                        </a:xfrm>
                        <a:custGeom>
                          <a:avLst/>
                          <a:gdLst>
                            <a:gd name="connisteX0" fmla="*/ 13465 w 58384"/>
                            <a:gd name="connsiteY0" fmla="*/ 0 h 79375"/>
                            <a:gd name="connisteX1" fmla="*/ 56010 w 58384"/>
                            <a:gd name="connsiteY1" fmla="*/ 26670 h 79375"/>
                            <a:gd name="connisteX2" fmla="*/ 47755 w 58384"/>
                            <a:gd name="connsiteY2" fmla="*/ 31750 h 79375"/>
                            <a:gd name="connisteX3" fmla="*/ 31880 w 58384"/>
                            <a:gd name="connsiteY3" fmla="*/ 50165 h 79375"/>
                            <a:gd name="connisteX4" fmla="*/ 13465 w 58384"/>
                            <a:gd name="connsiteY4" fmla="*/ 37465 h 79375"/>
                            <a:gd name="connisteX5" fmla="*/ 130 w 58384"/>
                            <a:gd name="connsiteY5" fmla="*/ 47625 h 79375"/>
                            <a:gd name="connisteX6" fmla="*/ 19180 w 58384"/>
                            <a:gd name="connsiteY6" fmla="*/ 60960 h 79375"/>
                            <a:gd name="connisteX7" fmla="*/ 130 w 58384"/>
                            <a:gd name="connsiteY7" fmla="*/ 79375 h 79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58384" h="79375">
                              <a:moveTo>
                                <a:pt x="13466" y="0"/>
                              </a:moveTo>
                              <a:cubicBezTo>
                                <a:pt x="22356" y="5080"/>
                                <a:pt x="49026" y="20320"/>
                                <a:pt x="56011" y="26670"/>
                              </a:cubicBezTo>
                              <a:cubicBezTo>
                                <a:pt x="62996" y="33020"/>
                                <a:pt x="52836" y="27305"/>
                                <a:pt x="47756" y="31750"/>
                              </a:cubicBezTo>
                              <a:cubicBezTo>
                                <a:pt x="42676" y="36195"/>
                                <a:pt x="38866" y="48895"/>
                                <a:pt x="31881" y="50165"/>
                              </a:cubicBezTo>
                              <a:cubicBezTo>
                                <a:pt x="24896" y="51435"/>
                                <a:pt x="19816" y="38100"/>
                                <a:pt x="13466" y="37465"/>
                              </a:cubicBezTo>
                              <a:cubicBezTo>
                                <a:pt x="7116" y="36830"/>
                                <a:pt x="-1139" y="43180"/>
                                <a:pt x="131" y="47625"/>
                              </a:cubicBezTo>
                              <a:cubicBezTo>
                                <a:pt x="1401" y="52070"/>
                                <a:pt x="19181" y="54610"/>
                                <a:pt x="19181" y="60960"/>
                              </a:cubicBezTo>
                              <a:cubicBezTo>
                                <a:pt x="19181" y="67310"/>
                                <a:pt x="4576" y="76200"/>
                                <a:pt x="131" y="79375"/>
                              </a:cubicBezTo>
                            </a:path>
                          </a:pathLst>
                        </a:cu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6pt;margin-top:310.2pt;height:6.25pt;width:4.6pt;z-index:251761664;mso-width-relative:page;mso-height-relative:page;" filled="f" stroked="t" coordsize="58384,79375" o:gfxdata="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" path="m13466,0c22356,5080,49026,20320,56011,26670c62996,33020,52836,27305,47756,31750c42676,36195,38866,48895,31881,50165c24896,51435,19816,38100,13466,37465c7116,36830,-1139,43180,131,47625c1401,52070,19181,54610,19181,60960c19181,67310,4576,76200,131,79375e">
                <v:path o:connectlocs="13473,0;56044,26670;47784,31750;31899,50165;13473,37465;130,47625;19191,60960;130,79375" o:connectangles="0,0,0,0,0,0,0,0"/>
                <v:fill on="f"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60640" behindDoc="0" locked="0" layoutInCell="1" allowOverlap="1">
                <wp:simplePos x="0" y="0"/>
                <wp:positionH relativeFrom="column">
                  <wp:posOffset>2827655</wp:posOffset>
                </wp:positionH>
                <wp:positionV relativeFrom="paragraph">
                  <wp:posOffset>4187825</wp:posOffset>
                </wp:positionV>
                <wp:extent cx="152400" cy="153035"/>
                <wp:effectExtent l="0" t="0" r="19050" b="18415"/>
                <wp:wrapNone/>
                <wp:docPr id="116" name="直接箭头连接符 116"/>
                <wp:cNvGraphicFramePr/>
                <a:graphic xmlns:a="http://schemas.openxmlformats.org/drawingml/2006/main">
                  <a:graphicData uri="http://schemas.microsoft.com/office/word/2010/wordprocessingShape">
                    <wps:wsp>
                      <wps:cNvCnPr>
                        <a:stCxn id="112" idx="0"/>
                      </wps:cNvCnPr>
                      <wps:spPr>
                        <a:xfrm flipH="1" flipV="1">
                          <a:off x="3547745" y="5105400"/>
                          <a:ext cx="152400" cy="1530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22.65pt;margin-top:329.75pt;height:12.05pt;width:12pt;z-index:251760640;mso-width-relative:page;mso-height-relative:page;" filled="f" stroked="t" coordsize="21600,21600" o:gfxdata="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4Sgru2wAAAAsBAAAPAAAAAAAAAAEAIAAAACIAAABkcnMvZG93bnJl&#10;di54bWxQSwECFAAUAAAACACHTuJAZU+NNjMCAAAvBAAADgAAAAAAAAABACAAAAAqAQAAZHJzL2Uy&#10;b0RvYy54bWxQSwUGAAAAAAYABgBZAQAAzwUAAAAA&#10;">
                <v:fill on="f" focussize="0,0"/>
                <v:stroke weight="1pt" color="#5B9BD5 [3204]" miterlimit="8" joinstyle="miter" endarrow="open"/>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59616" behindDoc="0" locked="0" layoutInCell="1" allowOverlap="1">
                <wp:simplePos x="0" y="0"/>
                <wp:positionH relativeFrom="column">
                  <wp:posOffset>2792095</wp:posOffset>
                </wp:positionH>
                <wp:positionV relativeFrom="paragraph">
                  <wp:posOffset>4340860</wp:posOffset>
                </wp:positionV>
                <wp:extent cx="375920" cy="338455"/>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375920" cy="338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207180">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85pt;margin-top:341.8pt;height:26.65pt;width:29.6pt;z-index:251759616;mso-width-relative:page;mso-height-relative:page;" filled="f" stroked="f" coordsize="21600,21600" o:gfxdata="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RVZ490AAAALAQAADwAAAAAAAAABACAAAAAiAAAA&#10;ZHJzL2Rvd25yZXYueG1sUEsBAhQAFAAAAAgAh07iQCYPSJM7AgAAaQQAAA4AAAAAAAAAAQAgAAAA&#10;LAEAAGRycy9lMm9Eb2MueG1sUEsFBgAAAAAGAAYAWQEAANkFAAAAAA==&#10;">
                <v:fill on="f" focussize="0,0"/>
                <v:stroke on="f" weight="0.5pt"/>
                <v:imagedata o:title=""/>
                <o:lock v:ext="edit" aspectratio="f"/>
                <v:textbox>
                  <w:txbxContent>
                    <w:p w14:paraId="58207180">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11</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2760980</wp:posOffset>
                </wp:positionH>
                <wp:positionV relativeFrom="paragraph">
                  <wp:posOffset>3975735</wp:posOffset>
                </wp:positionV>
                <wp:extent cx="372745" cy="382905"/>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3727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3C04DB">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4pt;margin-top:313.05pt;height:30.15pt;width:29.35pt;z-index:251670528;mso-width-relative:page;mso-height-relative:page;" filled="f" stroked="f" coordsize="21600,21600" o:gfxdata="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qpK8/dwAAAALAQAADwAAAAAAAAABACAAAAAi&#10;AAAAZHJzL2Rvd25yZXYueG1sUEsBAhQAFAAAAAgAh07iQOZ5GK0/AgAAaQQAAA4AAAAAAAAAAQAg&#10;AAAAKwEAAGRycy9lMm9Eb2MueG1sUEsFBgAAAAAGAAYAWQEAANwFAAAAAA==&#10;">
                <v:fill on="f" focussize="0,0"/>
                <v:stroke on="f" weight="0.5pt"/>
                <v:imagedata o:title=""/>
                <o:lock v:ext="edit" aspectratio="f"/>
                <v:textbox>
                  <w:txbxContent>
                    <w:p w14:paraId="5C3C04DB">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5</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57568" behindDoc="0" locked="0" layoutInCell="1" allowOverlap="1">
                <wp:simplePos x="0" y="0"/>
                <wp:positionH relativeFrom="column">
                  <wp:posOffset>2731770</wp:posOffset>
                </wp:positionH>
                <wp:positionV relativeFrom="paragraph">
                  <wp:posOffset>3787775</wp:posOffset>
                </wp:positionV>
                <wp:extent cx="343535" cy="26352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34353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FF707A">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1pt;margin-top:298.25pt;height:20.75pt;width:27.05pt;z-index:251757568;mso-width-relative:page;mso-height-relative:page;" filled="f" stroked="f" coordsize="21600,21600" o:gfxdata="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v2n3f3AAAAAsBAAAPAAAAAAAAAAEAIAAAACIAAABk&#10;cnMvZG93bnJldi54bWxQSwECFAAUAAAACACHTuJAbLGFITsCAABpBAAADgAAAAAAAAABACAAAAAr&#10;AQAAZHJzL2Uyb0RvYy54bWxQSwUGAAAAAAYABgBZAQAA2AUAAAAA&#10;">
                <v:fill on="f" focussize="0,0"/>
                <v:stroke on="f" weight="0.5pt"/>
                <v:imagedata o:title=""/>
                <o:lock v:ext="edit" aspectratio="f"/>
                <v:textbox>
                  <w:txbxContent>
                    <w:p w14:paraId="7CFF707A">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7</w:t>
                      </w:r>
                    </w:p>
                  </w:txbxContent>
                </v:textbox>
              </v:shape>
            </w:pict>
          </mc:Fallback>
        </mc:AlternateContent>
      </w:r>
      <w:r>
        <w:rPr>
          <w:sz w:val="21"/>
        </w:rPr>
        <mc:AlternateContent>
          <mc:Choice Requires="wps">
            <w:drawing>
              <wp:anchor distT="0" distB="0" distL="114300" distR="114300" simplePos="0" relativeHeight="251758592" behindDoc="0" locked="0" layoutInCell="1" allowOverlap="1">
                <wp:simplePos x="0" y="0"/>
                <wp:positionH relativeFrom="column">
                  <wp:posOffset>2827655</wp:posOffset>
                </wp:positionH>
                <wp:positionV relativeFrom="paragraph">
                  <wp:posOffset>4104005</wp:posOffset>
                </wp:positionV>
                <wp:extent cx="1905" cy="73660"/>
                <wp:effectExtent l="9525" t="0" r="26670" b="2540"/>
                <wp:wrapNone/>
                <wp:docPr id="108" name="直接连接符 108"/>
                <wp:cNvGraphicFramePr/>
                <a:graphic xmlns:a="http://schemas.openxmlformats.org/drawingml/2006/main">
                  <a:graphicData uri="http://schemas.microsoft.com/office/word/2010/wordprocessingShape">
                    <wps:wsp>
                      <wps:cNvCnPr/>
                      <wps:spPr>
                        <a:xfrm>
                          <a:off x="3547745" y="5021580"/>
                          <a:ext cx="1905" cy="73660"/>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2.65pt;margin-top:323.15pt;height:5.8pt;width:0.15pt;z-index:251758592;mso-width-relative:page;mso-height-relative:page;" filled="f" stroked="t" coordsize="21600,21600" o:gfxdata="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qCfgTbAAAACwEAAA8AAAAAAAAAAQAgAAAAIgAAAGRycy9kb3ducmV2LnhtbFBL&#10;AQIUABQAAAAIAIdO4kAHOD3X8wEAAMMDAAAOAAAAAAAAAAEAIAAAACoBAABkcnMvZTJvRG9jLnht&#10;bFBLBQYAAAAABgAGAFkBAACPBQAAAAA=&#10;">
                <v:fill on="f" focussize="0,0"/>
                <v:stroke weight="1.5pt" color="#000000 [3213]" miterlimit="8" joinstyle="miter"/>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5584" behindDoc="0" locked="0" layoutInCell="1" allowOverlap="1">
                <wp:simplePos x="0" y="0"/>
                <wp:positionH relativeFrom="column">
                  <wp:posOffset>2764790</wp:posOffset>
                </wp:positionH>
                <wp:positionV relativeFrom="paragraph">
                  <wp:posOffset>4090035</wp:posOffset>
                </wp:positionV>
                <wp:extent cx="196850" cy="164465"/>
                <wp:effectExtent l="635" t="10795" r="12065" b="15240"/>
                <wp:wrapNone/>
                <wp:docPr id="120" name="任意多边形 120"/>
                <wp:cNvGraphicFramePr/>
                <a:graphic xmlns:a="http://schemas.openxmlformats.org/drawingml/2006/main">
                  <a:graphicData uri="http://schemas.microsoft.com/office/word/2010/wordprocessingShape">
                    <wps:wsp>
                      <wps:cNvSpPr/>
                      <wps:spPr>
                        <a:xfrm>
                          <a:off x="0" y="0"/>
                          <a:ext cx="196850" cy="164465"/>
                        </a:xfrm>
                        <a:custGeom>
                          <a:avLst/>
                          <a:gdLst/>
                          <a:ahLst/>
                          <a:cxnLst/>
                          <a:pathLst>
                            <a:path w="320" h="370">
                              <a:moveTo>
                                <a:pt x="0" y="0"/>
                              </a:moveTo>
                              <a:lnTo>
                                <a:pt x="100" y="10"/>
                              </a:lnTo>
                              <a:lnTo>
                                <a:pt x="320" y="37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17.7pt;margin-top:322.05pt;height:12.95pt;width:15.5pt;z-index:251715584;mso-width-relative:page;mso-height-relative:page;" filled="f" stroked="t" coordsize="320,370" o:gfxdata="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XI3bONgAAAALAQAADwAAAAAAAAABACAAAAAi&#10;AAAAZHJzL2Rvd25yZXYueG1sUEsBAhQAFAAAAAgAh07iQLmqLIVDAgAAugQAAA4AAAAAAAAAAQAg&#10;AAAAJwEAAGRycy9lMm9Eb2MueG1sUEsFBgAAAAAGAAYAWQEAANwFAAAAAA==&#10;" path="m0,0l100,10,320,370e">
                <v:fill on="f" focussize="0,0"/>
                <v:stroke weight="1.75pt"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7632" behindDoc="0" locked="0" layoutInCell="1" allowOverlap="1">
                <wp:simplePos x="0" y="0"/>
                <wp:positionH relativeFrom="column">
                  <wp:posOffset>2681605</wp:posOffset>
                </wp:positionH>
                <wp:positionV relativeFrom="paragraph">
                  <wp:posOffset>4067810</wp:posOffset>
                </wp:positionV>
                <wp:extent cx="117475" cy="153670"/>
                <wp:effectExtent l="10795" t="3175" r="24130" b="14605"/>
                <wp:wrapNone/>
                <wp:docPr id="139" name="任意多边形 139"/>
                <wp:cNvGraphicFramePr/>
                <a:graphic xmlns:a="http://schemas.openxmlformats.org/drawingml/2006/main">
                  <a:graphicData uri="http://schemas.microsoft.com/office/word/2010/wordprocessingShape">
                    <wps:wsp>
                      <wps:cNvSpPr/>
                      <wps:spPr>
                        <a:xfrm>
                          <a:off x="0" y="0"/>
                          <a:ext cx="117475" cy="153670"/>
                        </a:xfrm>
                        <a:custGeom>
                          <a:avLst/>
                          <a:gdLst/>
                          <a:ahLst/>
                          <a:cxnLst/>
                          <a:pathLst>
                            <a:path w="110" h="240">
                              <a:moveTo>
                                <a:pt x="20" y="0"/>
                              </a:moveTo>
                              <a:lnTo>
                                <a:pt x="0" y="120"/>
                              </a:lnTo>
                              <a:lnTo>
                                <a:pt x="110" y="24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11.15pt;margin-top:320.3pt;height:12.1pt;width:9.25pt;z-index:251717632;mso-width-relative:page;mso-height-relative:page;" filled="f" stroked="t" coordsize="110,240" o:gfxdata="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wNpxK2wAAAAsBAAAPAAAAAAAAAAEA&#10;IAAAACIAAABkcnMvZG93bnJldi54bWxQSwECFAAUAAAACACHTuJABgZwB0UCAAC6BAAADgAAAAAA&#10;AAABACAAAAAqAQAAZHJzL2Uyb0RvYy54bWxQSwUGAAAAAAYABgBZAQAA4QUAAAAA&#10;" path="m20,0l0,120,110,240e">
                <v:fill on="f" focussize="0,0"/>
                <v:stroke weight="1.75pt"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2945130</wp:posOffset>
                </wp:positionH>
                <wp:positionV relativeFrom="paragraph">
                  <wp:posOffset>3548380</wp:posOffset>
                </wp:positionV>
                <wp:extent cx="423545" cy="382905"/>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C5EEB8">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9pt;margin-top:279.4pt;height:30.15pt;width:33.35pt;z-index:251670528;mso-width-relative:page;mso-height-relative:page;" filled="f" stroked="f" coordsize="21600,21600" o:gfxdata="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MEySI3AAAAAsBAAAPAAAAAAAAAAEAIAAAACIA&#10;AABkcnMvZG93bnJldi54bWxQSwECFAAUAAAACACHTuJAv1FuDj4CAABpBAAADgAAAAAAAAABACAA&#10;AAArAQAAZHJzL2Uyb0RvYy54bWxQSwUGAAAAAAYABgBZAQAA2wUAAAAA&#10;">
                <v:fill on="f" focussize="0,0"/>
                <v:stroke on="f" weight="0.5pt"/>
                <v:imagedata o:title=""/>
                <o:lock v:ext="edit" aspectratio="f"/>
                <v:textbox>
                  <w:txbxContent>
                    <w:p w14:paraId="01C5EEB8">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6</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6608" behindDoc="0" locked="0" layoutInCell="1" allowOverlap="1">
                <wp:simplePos x="0" y="0"/>
                <wp:positionH relativeFrom="column">
                  <wp:posOffset>3139440</wp:posOffset>
                </wp:positionH>
                <wp:positionV relativeFrom="paragraph">
                  <wp:posOffset>3742690</wp:posOffset>
                </wp:positionV>
                <wp:extent cx="76200" cy="195580"/>
                <wp:effectExtent l="10795" t="0" r="8255" b="13970"/>
                <wp:wrapNone/>
                <wp:docPr id="117" name="任意多边形 117"/>
                <wp:cNvGraphicFramePr/>
                <a:graphic xmlns:a="http://schemas.openxmlformats.org/drawingml/2006/main">
                  <a:graphicData uri="http://schemas.microsoft.com/office/word/2010/wordprocessingShape">
                    <wps:wsp>
                      <wps:cNvSpPr/>
                      <wps:spPr>
                        <a:xfrm>
                          <a:off x="0" y="0"/>
                          <a:ext cx="76200" cy="195580"/>
                        </a:xfrm>
                        <a:custGeom>
                          <a:avLst/>
                          <a:gdLst/>
                          <a:ahLst/>
                          <a:cxnLst/>
                          <a:pathLst>
                            <a:path w="80" h="400">
                              <a:moveTo>
                                <a:pt x="0" y="0"/>
                              </a:moveTo>
                              <a:lnTo>
                                <a:pt x="0" y="240"/>
                              </a:lnTo>
                              <a:lnTo>
                                <a:pt x="80" y="40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47.2pt;margin-top:294.7pt;height:15.4pt;width:6pt;z-index:251716608;mso-width-relative:page;mso-height-relative:page;" filled="f" stroked="t" coordsize="80,400" o:gfxdata="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42B4DaAAAACwEAAA8AAAAAAAAAAQAgAAAAIgAA&#10;AGRycy9kb3ducmV2LnhtbFBLAQIUABQAAAAIAIdO4kD52b3pPwIAALYEAAAOAAAAAAAAAAEAIAAA&#10;ACkBAABkcnMvZTJvRG9jLnhtbFBLBQYAAAAABgAGAFkBAADaBQAAAAA=&#10;" path="m0,0l0,240,80,400e">
                <v:fill on="f" focussize="0,0"/>
                <v:stroke weight="1.75pt" color="#000000" joinstyle="round"/>
                <v:imagedata o:title=""/>
                <o:lock v:ext="edit" aspectratio="f"/>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53472" behindDoc="0" locked="0" layoutInCell="1" allowOverlap="1">
                <wp:simplePos x="0" y="0"/>
                <wp:positionH relativeFrom="column">
                  <wp:posOffset>3211195</wp:posOffset>
                </wp:positionH>
                <wp:positionV relativeFrom="paragraph">
                  <wp:posOffset>3636645</wp:posOffset>
                </wp:positionV>
                <wp:extent cx="423545" cy="382905"/>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A1644A">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85pt;margin-top:286.35pt;height:30.15pt;width:33.35pt;z-index:251753472;mso-width-relative:page;mso-height-relative:page;" filled="f" stroked="f" coordsize="21600,21600" o:gfxdata="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&#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SZGa2gAAAAsBAAAPAAAAAAAAAAEAIAAAACIAAABk&#10;cnMvZG93bnJldi54bWxQSwECFAAUAAAACACHTuJA/4HYAj0CAABnBAAADgAAAAAAAAABACAAAAAp&#10;AQAAZHJzL2Uyb0RvYy54bWxQSwUGAAAAAAYABgBZAQAA2AUAAAAA&#10;">
                <v:fill on="f" focussize="0,0"/>
                <v:stroke on="f" weight="0.5pt"/>
                <v:imagedata o:title=""/>
                <o:lock v:ext="edit" aspectratio="f"/>
                <v:textbox>
                  <w:txbxContent>
                    <w:p w14:paraId="77A1644A">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12</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55520" behindDoc="0" locked="0" layoutInCell="1" allowOverlap="1">
                <wp:simplePos x="0" y="0"/>
                <wp:positionH relativeFrom="column">
                  <wp:posOffset>2557145</wp:posOffset>
                </wp:positionH>
                <wp:positionV relativeFrom="paragraph">
                  <wp:posOffset>3576955</wp:posOffset>
                </wp:positionV>
                <wp:extent cx="343535" cy="26352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343535"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EF6F3B">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35pt;margin-top:281.65pt;height:20.75pt;width:27.05pt;z-index:251755520;mso-width-relative:page;mso-height-relative:page;" filled="f" stroked="f" coordsize="21600,21600" o:gfxdata="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CZTsTcAAAACwEAAA8AAAAAAAAAAQAgAAAAIgAAAGRy&#10;cy9kb3ducmV2LnhtbFBLAQIUABQAAAAIAIdO4kBCkNWVOgIAAGkEAAAOAAAAAAAAAAEAIAAAACsB&#10;AABkcnMvZTJvRG9jLnhtbFBLBQYAAAAABgAGAFkBAADXBQAAAAA=&#10;">
                <v:fill on="f" focussize="0,0"/>
                <v:stroke on="f" weight="0.5pt"/>
                <v:imagedata o:title=""/>
                <o:lock v:ext="edit" aspectratio="f"/>
                <v:textbox>
                  <w:txbxContent>
                    <w:p w14:paraId="58EF6F3B">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8</w:t>
                      </w:r>
                    </w:p>
                  </w:txbxContent>
                </v:textbox>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2753995</wp:posOffset>
                </wp:positionH>
                <wp:positionV relativeFrom="paragraph">
                  <wp:posOffset>3815080</wp:posOffset>
                </wp:positionV>
                <wp:extent cx="66675" cy="31115"/>
                <wp:effectExtent l="1270" t="9525" r="8255" b="16510"/>
                <wp:wrapNone/>
                <wp:docPr id="101" name="任意多边形 101"/>
                <wp:cNvGraphicFramePr/>
                <a:graphic xmlns:a="http://schemas.openxmlformats.org/drawingml/2006/main">
                  <a:graphicData uri="http://schemas.microsoft.com/office/word/2010/wordprocessingShape">
                    <wps:wsp>
                      <wps:cNvSpPr/>
                      <wps:spPr>
                        <a:xfrm>
                          <a:off x="3655060" y="4665980"/>
                          <a:ext cx="66675" cy="31115"/>
                        </a:xfrm>
                        <a:custGeom>
                          <a:avLst/>
                          <a:gdLst>
                            <a:gd name="connisteX0" fmla="*/ 0 w 66675"/>
                            <a:gd name="connsiteY0" fmla="*/ 2405 h 30908"/>
                            <a:gd name="connisteX1" fmla="*/ 27940 w 66675"/>
                            <a:gd name="connsiteY1" fmla="*/ 2405 h 30908"/>
                            <a:gd name="connisteX2" fmla="*/ 27940 w 66675"/>
                            <a:gd name="connsiteY2" fmla="*/ 27170 h 30908"/>
                            <a:gd name="connisteX3" fmla="*/ 66675 w 66675"/>
                            <a:gd name="connsiteY3" fmla="*/ 30345 h 30908"/>
                          </a:gdLst>
                          <a:ahLst/>
                          <a:cxnLst>
                            <a:cxn ang="0">
                              <a:pos x="connisteX0" y="connsiteY0"/>
                            </a:cxn>
                            <a:cxn ang="0">
                              <a:pos x="connisteX1" y="connsiteY1"/>
                            </a:cxn>
                            <a:cxn ang="0">
                              <a:pos x="connisteX2" y="connsiteY2"/>
                            </a:cxn>
                            <a:cxn ang="0">
                              <a:pos x="connisteX3" y="connsiteY3"/>
                            </a:cxn>
                          </a:cxnLst>
                          <a:rect l="l" t="t" r="r" b="b"/>
                          <a:pathLst>
                            <a:path w="66675" h="30908">
                              <a:moveTo>
                                <a:pt x="0" y="2406"/>
                              </a:moveTo>
                              <a:cubicBezTo>
                                <a:pt x="5715" y="1771"/>
                                <a:pt x="22225" y="-2674"/>
                                <a:pt x="27940" y="2406"/>
                              </a:cubicBezTo>
                              <a:cubicBezTo>
                                <a:pt x="33655" y="7486"/>
                                <a:pt x="20320" y="21456"/>
                                <a:pt x="27940" y="27171"/>
                              </a:cubicBezTo>
                              <a:cubicBezTo>
                                <a:pt x="35560" y="32886"/>
                                <a:pt x="59055" y="30346"/>
                                <a:pt x="66675" y="30346"/>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6.85pt;margin-top:300.4pt;height:2.45pt;width:5.25pt;z-index:251754496;mso-width-relative:page;mso-height-relative:page;" filled="f" stroked="t" coordsize="66675,30908" o:gfxdata="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NsBk/Da&#10;AAAACwEAAA8AAAAAAAAAAQAgAAAAIgAAAGRycy9kb3ducmV2LnhtbFBLAQIUABQAAAAIAIdO4kDo&#10;4fGaOwMAAC4IAAAOAAAAAAAAAAEAIAAAACkBAABkcnMvZTJvRG9jLnhtbFBLBQYAAAAABgAGAFkB&#10;AADWBgAAAAA=&#10;" path="m0,2406c5715,1771,22225,-2674,27940,2406c33655,7486,20320,21456,27940,27171c35560,32886,59055,30346,66675,30346e">
                <v:path o:connectlocs="0,2421;27940,2421;27940,27351;66675,30548" o:connectangles="0,0,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2689225</wp:posOffset>
                </wp:positionH>
                <wp:positionV relativeFrom="paragraph">
                  <wp:posOffset>3856990</wp:posOffset>
                </wp:positionV>
                <wp:extent cx="208280" cy="133350"/>
                <wp:effectExtent l="6350" t="1905" r="13970" b="17145"/>
                <wp:wrapNone/>
                <wp:docPr id="105" name="任意多边形 105"/>
                <wp:cNvGraphicFramePr/>
                <a:graphic xmlns:a="http://schemas.openxmlformats.org/drawingml/2006/main">
                  <a:graphicData uri="http://schemas.microsoft.com/office/word/2010/wordprocessingShape">
                    <wps:wsp>
                      <wps:cNvSpPr/>
                      <wps:spPr>
                        <a:xfrm>
                          <a:off x="3409315" y="4774565"/>
                          <a:ext cx="208280" cy="133350"/>
                        </a:xfrm>
                        <a:custGeom>
                          <a:avLst/>
                          <a:gdLst>
                            <a:gd name="connisteX0" fmla="*/ 35149 w 208504"/>
                            <a:gd name="connsiteY0" fmla="*/ 0 h 133350"/>
                            <a:gd name="connisteX1" fmla="*/ 8479 w 208504"/>
                            <a:gd name="connsiteY1" fmla="*/ 83820 h 133350"/>
                            <a:gd name="connisteX2" fmla="*/ 4669 w 208504"/>
                            <a:gd name="connsiteY2" fmla="*/ 89535 h 133350"/>
                            <a:gd name="connisteX3" fmla="*/ 56104 w 208504"/>
                            <a:gd name="connsiteY3" fmla="*/ 97155 h 133350"/>
                            <a:gd name="connisteX4" fmla="*/ 56104 w 208504"/>
                            <a:gd name="connsiteY4" fmla="*/ 97155 h 133350"/>
                            <a:gd name="connisteX5" fmla="*/ 78964 w 208504"/>
                            <a:gd name="connsiteY5" fmla="*/ 95250 h 133350"/>
                            <a:gd name="connisteX6" fmla="*/ 84679 w 208504"/>
                            <a:gd name="connsiteY6" fmla="*/ 104775 h 133350"/>
                            <a:gd name="connisteX7" fmla="*/ 160879 w 208504"/>
                            <a:gd name="connsiteY7" fmla="*/ 99060 h 133350"/>
                            <a:gd name="connisteX8" fmla="*/ 162784 w 208504"/>
                            <a:gd name="connsiteY8" fmla="*/ 120015 h 133350"/>
                            <a:gd name="connisteX9" fmla="*/ 208504 w 208504"/>
                            <a:gd name="connsiteY9" fmla="*/ 133350 h 1333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208504" h="133350">
                              <a:moveTo>
                                <a:pt x="35149" y="0"/>
                              </a:moveTo>
                              <a:cubicBezTo>
                                <a:pt x="30069" y="16510"/>
                                <a:pt x="14829" y="66040"/>
                                <a:pt x="8479" y="83820"/>
                              </a:cubicBezTo>
                              <a:cubicBezTo>
                                <a:pt x="2129" y="101600"/>
                                <a:pt x="-4856" y="86995"/>
                                <a:pt x="4669" y="89535"/>
                              </a:cubicBezTo>
                              <a:cubicBezTo>
                                <a:pt x="14194" y="92075"/>
                                <a:pt x="45944" y="95885"/>
                                <a:pt x="56104" y="97155"/>
                              </a:cubicBezTo>
                              <a:cubicBezTo>
                                <a:pt x="66264" y="98425"/>
                                <a:pt x="51659" y="97790"/>
                                <a:pt x="56104" y="97155"/>
                              </a:cubicBezTo>
                              <a:cubicBezTo>
                                <a:pt x="60549" y="96520"/>
                                <a:pt x="73249" y="93980"/>
                                <a:pt x="78964" y="95250"/>
                              </a:cubicBezTo>
                              <a:cubicBezTo>
                                <a:pt x="84679" y="96520"/>
                                <a:pt x="68169" y="104140"/>
                                <a:pt x="84679" y="104775"/>
                              </a:cubicBezTo>
                              <a:cubicBezTo>
                                <a:pt x="101189" y="105410"/>
                                <a:pt x="145004" y="95885"/>
                                <a:pt x="160879" y="99060"/>
                              </a:cubicBezTo>
                              <a:cubicBezTo>
                                <a:pt x="176754" y="102235"/>
                                <a:pt x="153259" y="113030"/>
                                <a:pt x="162784" y="120015"/>
                              </a:cubicBezTo>
                              <a:cubicBezTo>
                                <a:pt x="172309" y="127000"/>
                                <a:pt x="199614" y="130810"/>
                                <a:pt x="208504" y="133350"/>
                              </a:cubicBez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1.75pt;margin-top:303.7pt;height:10.5pt;width:16.4pt;z-index:251756544;mso-width-relative:page;mso-height-relative:page;" filled="f" stroked="t" coordsize="208504,133350" o:gfxdata="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" path="m35149,0c30069,16510,14829,66040,8479,83820c2129,101600,-4856,86995,4669,89535c14194,92075,45944,95885,56104,97155c66264,98425,51659,97790,56104,97155c60549,96520,73249,93980,78964,95250c84679,96520,68169,104140,84679,104775c101189,105410,145004,95885,160879,99060c176754,102235,153259,113030,162784,120015c172309,127000,199614,130810,208504,133350e">
                <v:path o:connectlocs="35111,0;8469,83820;4663,89535;56043,97155;56043,97155;78879,95250;84588,104775;160706,99060;162609,120015;208280,133350" o:connectangles="0,0,0,0,0,0,0,0,0,0"/>
                <v:fill on="f"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3226435</wp:posOffset>
                </wp:positionH>
                <wp:positionV relativeFrom="paragraph">
                  <wp:posOffset>3759200</wp:posOffset>
                </wp:positionV>
                <wp:extent cx="19685" cy="55245"/>
                <wp:effectExtent l="8890" t="3175" r="9525" b="17780"/>
                <wp:wrapNone/>
                <wp:docPr id="102" name="任意多边形 102"/>
                <wp:cNvGraphicFramePr/>
                <a:graphic xmlns:a="http://schemas.openxmlformats.org/drawingml/2006/main">
                  <a:graphicData uri="http://schemas.microsoft.com/office/word/2010/wordprocessingShape">
                    <wps:wsp>
                      <wps:cNvSpPr/>
                      <wps:spPr>
                        <a:xfrm>
                          <a:off x="3946525" y="4676775"/>
                          <a:ext cx="19685" cy="55245"/>
                        </a:xfrm>
                        <a:custGeom>
                          <a:avLst/>
                          <a:gdLst>
                            <a:gd name="connisteX0" fmla="*/ 19685 w 19685"/>
                            <a:gd name="connsiteY0" fmla="*/ 0 h 55245"/>
                            <a:gd name="connisteX1" fmla="*/ 0 w 19685"/>
                            <a:gd name="connsiteY1" fmla="*/ 55245 h 55245"/>
                          </a:gdLst>
                          <a:ahLst/>
                          <a:cxnLst>
                            <a:cxn ang="0">
                              <a:pos x="connisteX0" y="connsiteY0"/>
                            </a:cxn>
                            <a:cxn ang="0">
                              <a:pos x="connisteX1" y="connsiteY1"/>
                            </a:cxn>
                          </a:cxnLst>
                          <a:rect l="l" t="t" r="r" b="b"/>
                          <a:pathLst>
                            <a:path w="19685" h="55245">
                              <a:moveTo>
                                <a:pt x="19685" y="0"/>
                              </a:moveTo>
                              <a:cubicBezTo>
                                <a:pt x="13335" y="18415"/>
                                <a:pt x="6350" y="36830"/>
                                <a:pt x="0" y="55245"/>
                              </a:cubicBez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4.05pt;margin-top:296pt;height:4.35pt;width:1.55pt;z-index:251752448;mso-width-relative:page;mso-height-relative:page;" filled="f" stroked="t" coordsize="19685,55245" o:gfxdata="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I4nWgdgAAAAL&#10;AQAADwAAAAAAAAABACAAAAAiAAAAZHJzL2Rvd25yZXYueG1sUEsBAhQAFAAAAAgAh07iQKDE7UfH&#10;AgAAEgYAAA4AAAAAAAAAAQAgAAAAJwEAAGRycy9lMm9Eb2MueG1sUEsFBgAAAAAGAAYAWQEAAGAG&#10;AAAAAA==&#10;" path="m19685,0c13335,18415,6350,36830,0,55245e">
                <v:path o:connectlocs="19685,0;0,55245" o:connectangles="0,0"/>
                <v:fill on="f" focussize="0,0"/>
                <v:stroke weight="1.5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3368675</wp:posOffset>
                </wp:positionH>
                <wp:positionV relativeFrom="paragraph">
                  <wp:posOffset>3740150</wp:posOffset>
                </wp:positionV>
                <wp:extent cx="0" cy="0"/>
                <wp:effectExtent l="0" t="0" r="0" b="0"/>
                <wp:wrapNone/>
                <wp:docPr id="104" name="直接连接符 104"/>
                <wp:cNvGraphicFramePr/>
                <a:graphic xmlns:a="http://schemas.openxmlformats.org/drawingml/2006/main">
                  <a:graphicData uri="http://schemas.microsoft.com/office/word/2010/wordprocessingShape">
                    <wps:wsp>
                      <wps:cNvCnPr>
                        <a:stCxn id="216" idx="3"/>
                        <a:endCxn id="216" idx="3"/>
                      </wps:cNvCnPr>
                      <wps:spPr>
                        <a:xfrm>
                          <a:off x="3996055" y="4752340"/>
                          <a:ext cx="0"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5.25pt;margin-top:294.5pt;height:0pt;width:0pt;z-index:251751424;mso-width-relative:page;mso-height-relative:page;" filled="f" stroked="t" coordsize="21600,21600" o:gfxdata="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&#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IWGdPRAAAACwEAAA8AAAAAAAAAAQAgAAAAIgAAAGRy&#10;cy9kb3ducmV2LnhtbFBLAQIUABQAAAAIAIdO4kDIHeRkDAIAAAAEAAAOAAAAAAAAAAEAIAAAACAB&#10;AABkcnMvZTJvRG9jLnhtbFBLBQYAAAAABgAGAFkBAACeBQAAAAA=&#10;">
                <v:fill on="f" focussize="0,0"/>
                <v:stroke weight="1pt" color="#5B9BD5 [3204]" miterlimit="8" joinstyle="miter"/>
                <v:imagedata o:title=""/>
                <o:lock v:ext="edit" aspectratio="f"/>
              </v:lin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2503805</wp:posOffset>
                </wp:positionH>
                <wp:positionV relativeFrom="paragraph">
                  <wp:posOffset>4063365</wp:posOffset>
                </wp:positionV>
                <wp:extent cx="423545" cy="382905"/>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3CE895">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15pt;margin-top:319.95pt;height:30.15pt;width:33.35pt;z-index:251670528;mso-width-relative:page;mso-height-relative:page;" filled="f" stroked="f" coordsize="21600,21600" o:gfxdata="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4sC1Nt0AAAALAQAADwAAAAAAAAABACAAAAAi&#10;AAAAZHJzL2Rvd25yZXYueG1sUEsBAhQAFAAAAAgAh07iQKVOXmI+AgAAaQQAAA4AAAAAAAAAAQAg&#10;AAAALAEAAGRycy9lMm9Eb2MueG1sUEsFBgAAAAAGAAYAWQEAANwFAAAAAA==&#10;">
                <v:fill on="f" focussize="0,0"/>
                <v:stroke on="f" weight="0.5pt"/>
                <v:imagedata o:title=""/>
                <o:lock v:ext="edit" aspectratio="f"/>
                <v:textbox>
                  <w:txbxContent>
                    <w:p w14:paraId="243CE895">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4</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2264410</wp:posOffset>
                </wp:positionH>
                <wp:positionV relativeFrom="paragraph">
                  <wp:posOffset>3843655</wp:posOffset>
                </wp:positionV>
                <wp:extent cx="423545" cy="382905"/>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AA3D96">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3pt;margin-top:302.65pt;height:30.15pt;width:33.35pt;z-index:251670528;mso-width-relative:page;mso-height-relative:page;" filled="f" stroked="f" coordsize="21600,21600" o:gfxdata="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TtOFDbAAAACwEAAA8AAAAAAAAAAQAgAAAAIgAA&#10;AGRycy9kb3ducmV2LnhtbFBLAQIUABQAAAAIAIdO4kAGYBbgPgIAAGkEAAAOAAAAAAAAAAEAIAAA&#10;ACoBAABkcnMvZTJvRG9jLnhtbFBLBQYAAAAABgAGAFkBAADaBQAAAAA=&#10;">
                <v:fill on="f" focussize="0,0"/>
                <v:stroke on="f" weight="0.5pt"/>
                <v:imagedata o:title=""/>
                <o:lock v:ext="edit" aspectratio="f"/>
                <v:textbox>
                  <w:txbxContent>
                    <w:p w14:paraId="3AAA3D96">
                      <w:pPr>
                        <w:jc w:val="center"/>
                        <w:rPr>
                          <w:rFonts w:hint="default" w:ascii="Times New Roman" w:hAnsi="Times New Roman" w:eastAsia="宋体" w:cs="Times New Roman"/>
                          <w:b/>
                          <w:bCs/>
                          <w:color w:val="auto"/>
                          <w:sz w:val="28"/>
                          <w:szCs w:val="28"/>
                          <w:lang w:val="en-US" w:eastAsia="zh-CN"/>
                        </w:rPr>
                      </w:pPr>
                      <w:r>
                        <w:rPr>
                          <w:rFonts w:hint="eastAsia" w:cs="Times New Roman"/>
                          <w:b/>
                          <w:bCs/>
                          <w:color w:val="auto"/>
                          <w:sz w:val="28"/>
                          <w:szCs w:val="28"/>
                          <w:lang w:val="en-US" w:eastAsia="zh-CN"/>
                        </w:rPr>
                        <w:t>3</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0528" behindDoc="0" locked="0" layoutInCell="1" allowOverlap="1">
                <wp:simplePos x="0" y="0"/>
                <wp:positionH relativeFrom="column">
                  <wp:posOffset>1634490</wp:posOffset>
                </wp:positionH>
                <wp:positionV relativeFrom="paragraph">
                  <wp:posOffset>3904615</wp:posOffset>
                </wp:positionV>
                <wp:extent cx="423545" cy="382905"/>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E4D71D">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7pt;margin-top:307.45pt;height:30.15pt;width:33.35pt;z-index:251670528;mso-width-relative:page;mso-height-relative:page;" filled="f" stroked="f" coordsize="21600,21600" o:gfxdata="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JqtCPcAAAACwEAAA8AAAAAAAAAAQAgAAAAIgAA&#10;AGRycy9kb3ducmV2LnhtbFBLAQIUABQAAAAIAIdO4kAcfyaMPQIAAGkEAAAOAAAAAAAAAAEAIAAA&#10;ACsBAABkcnMvZTJvRG9jLnhtbFBLBQYAAAAABgAGAFkBAADaBQAAAAA=&#10;">
                <v:fill on="f" focussize="0,0"/>
                <v:stroke on="f" weight="0.5pt"/>
                <v:imagedata o:title=""/>
                <o:lock v:ext="edit" aspectratio="f"/>
                <v:textbox>
                  <w:txbxContent>
                    <w:p w14:paraId="1DE4D71D">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2</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71552" behindDoc="0" locked="0" layoutInCell="1" allowOverlap="1">
                <wp:simplePos x="0" y="0"/>
                <wp:positionH relativeFrom="column">
                  <wp:posOffset>1640840</wp:posOffset>
                </wp:positionH>
                <wp:positionV relativeFrom="paragraph">
                  <wp:posOffset>3552190</wp:posOffset>
                </wp:positionV>
                <wp:extent cx="423545" cy="382905"/>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423545" cy="382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B1B4CB">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2pt;margin-top:279.7pt;height:30.15pt;width:33.35pt;z-index:251671552;mso-width-relative:page;mso-height-relative:page;" filled="f" stroked="f" coordsize="21600,21600" o:gfxdata="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3ps/vcAAAACwEAAA8AAAAAAAAAAQAgAAAAIgAA&#10;AGRycy9kb3ducmV2LnhtbFBLAQIUABQAAAAIAIdO4kCRcD66PQIAAGkEAAAOAAAAAAAAAAEAIAAA&#10;ACsBAABkcnMvZTJvRG9jLnhtbFBLBQYAAAAABgAGAFkBAADaBQAAAAA=&#10;">
                <v:fill on="f" focussize="0,0"/>
                <v:stroke on="f" weight="0.5pt"/>
                <v:imagedata o:title=""/>
                <o:lock v:ext="edit" aspectratio="f"/>
                <v:textbox>
                  <w:txbxContent>
                    <w:p w14:paraId="10B1B4CB">
                      <w:pPr>
                        <w:jc w:val="center"/>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1</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714560" behindDoc="0" locked="0" layoutInCell="1" allowOverlap="1">
                <wp:simplePos x="0" y="0"/>
                <wp:positionH relativeFrom="column">
                  <wp:posOffset>2383155</wp:posOffset>
                </wp:positionH>
                <wp:positionV relativeFrom="paragraph">
                  <wp:posOffset>4027170</wp:posOffset>
                </wp:positionV>
                <wp:extent cx="138430" cy="181610"/>
                <wp:effectExtent l="6350" t="8890" r="26670" b="0"/>
                <wp:wrapNone/>
                <wp:docPr id="132" name="任意多边形 132"/>
                <wp:cNvGraphicFramePr/>
                <a:graphic xmlns:a="http://schemas.openxmlformats.org/drawingml/2006/main">
                  <a:graphicData uri="http://schemas.microsoft.com/office/word/2010/wordprocessingShape">
                    <wps:wsp>
                      <wps:cNvSpPr/>
                      <wps:spPr>
                        <a:xfrm>
                          <a:off x="0" y="0"/>
                          <a:ext cx="138430" cy="181610"/>
                        </a:xfrm>
                        <a:custGeom>
                          <a:avLst/>
                          <a:gdLst/>
                          <a:ahLst/>
                          <a:cxnLst/>
                          <a:pathLst>
                            <a:path w="210" h="300">
                              <a:moveTo>
                                <a:pt x="0" y="0"/>
                              </a:moveTo>
                              <a:lnTo>
                                <a:pt x="210" y="160"/>
                              </a:lnTo>
                              <a:lnTo>
                                <a:pt x="210" y="30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87.65pt;margin-top:317.1pt;height:14.3pt;width:10.9pt;z-index:251714560;mso-width-relative:page;mso-height-relative:page;" filled="f" stroked="t" coordsize="210,300" o:gfxdata="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UZkHN0AAAALAQAADwAAAAAAAAABACAA&#10;AAAiAAAAZHJzL2Rvd25yZXYueG1sUEsBAhQAFAAAAAgAh07iQA87jVVBAgAAuwQAAA4AAAAAAAAA&#10;AQAgAAAALAEAAGRycy9lMm9Eb2MueG1sUEsFBgAAAAAGAAYAWQEAAN8FAAAAAA==&#10;" path="m0,0l210,160,210,300e">
                <v:fill on="f" focussize="0,0"/>
                <v:stroke weight="1.75pt" color="#000000" joinstyle="round"/>
                <v:imagedata o:title=""/>
                <o:lock v:ext="edit" aspectratio="f"/>
              </v:shape>
            </w:pict>
          </mc:Fallback>
        </mc:AlternateContent>
      </w:r>
      <w:r>
        <w:rPr>
          <w:rFonts w:hint="default" w:ascii="Times New Roman" w:hAnsi="Times New Roman" w:eastAsia="宋体" w:cs="Times New Roman"/>
          <w:sz w:val="44"/>
        </w:rPr>
        <mc:AlternateContent>
          <mc:Choice Requires="wps">
            <w:drawing>
              <wp:anchor distT="0" distB="0" distL="114300" distR="114300" simplePos="0" relativeHeight="251712512" behindDoc="0" locked="0" layoutInCell="1" allowOverlap="1">
                <wp:simplePos x="0" y="0"/>
                <wp:positionH relativeFrom="column">
                  <wp:posOffset>1817370</wp:posOffset>
                </wp:positionH>
                <wp:positionV relativeFrom="paragraph">
                  <wp:posOffset>3531870</wp:posOffset>
                </wp:positionV>
                <wp:extent cx="201930" cy="334645"/>
                <wp:effectExtent l="635" t="0" r="26035" b="27305"/>
                <wp:wrapNone/>
                <wp:docPr id="137" name="任意多边形 137"/>
                <wp:cNvGraphicFramePr/>
                <a:graphic xmlns:a="http://schemas.openxmlformats.org/drawingml/2006/main">
                  <a:graphicData uri="http://schemas.microsoft.com/office/word/2010/wordprocessingShape">
                    <wps:wsp>
                      <wps:cNvSpPr/>
                      <wps:spPr>
                        <a:xfrm>
                          <a:off x="0" y="0"/>
                          <a:ext cx="201930" cy="334645"/>
                        </a:xfrm>
                        <a:custGeom>
                          <a:avLst/>
                          <a:gdLst/>
                          <a:ahLst/>
                          <a:cxnLst/>
                          <a:pathLst>
                            <a:path w="4390" h="4230">
                              <a:moveTo>
                                <a:pt x="4280" y="0"/>
                              </a:moveTo>
                              <a:lnTo>
                                <a:pt x="4290" y="500"/>
                              </a:lnTo>
                              <a:lnTo>
                                <a:pt x="4360" y="790"/>
                              </a:lnTo>
                              <a:lnTo>
                                <a:pt x="4390" y="1650"/>
                              </a:lnTo>
                              <a:lnTo>
                                <a:pt x="3740" y="1600"/>
                              </a:lnTo>
                              <a:lnTo>
                                <a:pt x="3280" y="3180"/>
                              </a:lnTo>
                              <a:lnTo>
                                <a:pt x="2720" y="3150"/>
                              </a:lnTo>
                              <a:lnTo>
                                <a:pt x="2640" y="3540"/>
                              </a:lnTo>
                              <a:lnTo>
                                <a:pt x="1520" y="3570"/>
                              </a:lnTo>
                              <a:lnTo>
                                <a:pt x="1550" y="4200"/>
                              </a:lnTo>
                              <a:lnTo>
                                <a:pt x="0" y="4230"/>
                              </a:lnTo>
                            </a:path>
                          </a:pathLst>
                        </a:custGeom>
                        <a:noFill/>
                        <a:ln w="222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43.1pt;margin-top:278.1pt;height:26.35pt;width:15.9pt;z-index:251712512;mso-width-relative:page;mso-height-relative:page;" filled="f" stroked="t" coordsize="4390,4230" o:gfxdata="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PRqpzW&#10;AAAACwEAAA8AAAAAAAAAAQAgAAAAIgAAAGRycy9kb3ducmV2LnhtbFBLAQIUABQAAAAIAIdO4kAd&#10;C6pvlAIAAA8GAAAOAAAAAAAAAAEAIAAAACUBAABkcnMvZTJvRG9jLnhtbFBLBQYAAAAABgAGAFkB&#10;AAArBgAAAAA=&#10;" path="m4280,0l4290,500,4360,790,4390,1650,3740,1600,3280,3180,2720,3150,2640,3540,1520,3570,1550,4200,0,4230e">
                <v:fill on="f" focussize="0,0"/>
                <v:stroke weight="1.75pt" color="#000000" joinstyle="round"/>
                <v:imagedata o:title=""/>
                <o:lock v:ext="edit" aspectratio="f"/>
              </v:shape>
            </w:pict>
          </mc:Fallback>
        </mc:AlternateContent>
      </w:r>
    </w:p>
    <w:p w14:paraId="6191CE67">
      <w:pPr>
        <w:widowControl/>
        <w:jc w:val="both"/>
        <w:rPr>
          <w:rFonts w:hint="default" w:ascii="Times New Roman" w:hAnsi="Times New Roman" w:eastAsia="宋体" w:cs="Times New Roman"/>
          <w:b/>
          <w:bCs/>
          <w:sz w:val="13"/>
          <w:szCs w:val="13"/>
          <w:lang w:val="en-US" w:eastAsia="zh-CN"/>
        </w:rPr>
      </w:pPr>
      <w:r>
        <w:rPr>
          <w:rFonts w:hint="default" w:ascii="Times New Roman" w:hAnsi="Times New Roman" w:eastAsia="宋体" w:cs="Times New Roman"/>
          <w:b/>
          <w:bCs/>
          <w:sz w:val="13"/>
          <w:szCs w:val="13"/>
          <w:lang w:val="en-US" w:eastAsia="zh-CN"/>
        </w:rPr>
        <w:t>备注：其中“1~</w:t>
      </w:r>
      <w:r>
        <w:rPr>
          <w:rFonts w:hint="eastAsia" w:cs="Times New Roman"/>
          <w:b/>
          <w:bCs/>
          <w:sz w:val="13"/>
          <w:szCs w:val="13"/>
          <w:lang w:val="en-US" w:eastAsia="zh-CN"/>
        </w:rPr>
        <w:t>13</w:t>
      </w:r>
      <w:r>
        <w:rPr>
          <w:rFonts w:hint="default" w:ascii="Times New Roman" w:hAnsi="Times New Roman" w:eastAsia="宋体" w:cs="Times New Roman"/>
          <w:b/>
          <w:bCs/>
          <w:sz w:val="13"/>
          <w:szCs w:val="13"/>
          <w:lang w:val="en-US" w:eastAsia="zh-CN"/>
        </w:rPr>
        <w:t>”分别为白蛇沟、焕然河、瓦村沟、暖水河、漫泗河、涝淄河</w:t>
      </w:r>
      <w:r>
        <w:rPr>
          <w:rFonts w:hint="eastAsia" w:cs="Times New Roman"/>
          <w:b/>
          <w:bCs/>
          <w:sz w:val="13"/>
          <w:szCs w:val="13"/>
          <w:lang w:val="en-US" w:eastAsia="zh-CN"/>
        </w:rPr>
        <w:t>、东猪龙河西支、东猪龙河东支</w:t>
      </w:r>
      <w:r>
        <w:rPr>
          <w:rFonts w:hint="default" w:ascii="Times New Roman" w:hAnsi="Times New Roman" w:eastAsia="宋体" w:cs="Times New Roman"/>
          <w:b/>
          <w:bCs/>
          <w:sz w:val="13"/>
          <w:szCs w:val="13"/>
          <w:lang w:val="en-US" w:eastAsia="zh-CN"/>
        </w:rPr>
        <w:t>位置</w:t>
      </w:r>
      <w:r>
        <w:rPr>
          <w:rFonts w:hint="eastAsia" w:cs="Times New Roman"/>
          <w:b/>
          <w:bCs/>
          <w:sz w:val="13"/>
          <w:szCs w:val="13"/>
          <w:lang w:val="en-US" w:eastAsia="zh-CN"/>
        </w:rPr>
        <w:t>、袁家河、天津路排涝沟、小旦村排涝沟、大高村排涝沟、三泉沟</w:t>
      </w:r>
      <w:r>
        <w:rPr>
          <w:rFonts w:hint="default" w:ascii="Times New Roman" w:hAnsi="Times New Roman" w:eastAsia="宋体" w:cs="Times New Roman"/>
          <w:b/>
          <w:bCs/>
          <w:sz w:val="13"/>
          <w:szCs w:val="13"/>
          <w:lang w:val="en-US" w:eastAsia="zh-CN"/>
        </w:rPr>
        <w:t>。</w:t>
      </w:r>
    </w:p>
    <w:p w14:paraId="3A14050B">
      <w:pPr>
        <w:pStyle w:val="19"/>
        <w:rPr>
          <w:rFonts w:hint="default" w:ascii="Times New Roman" w:hAnsi="Times New Roman" w:eastAsia="宋体" w:cs="Times New Roman"/>
          <w:b/>
          <w:bCs/>
          <w:sz w:val="13"/>
          <w:szCs w:val="13"/>
          <w:lang w:val="en-US" w:eastAsia="zh-CN"/>
        </w:rPr>
      </w:pPr>
    </w:p>
    <w:p w14:paraId="019B4B30">
      <w:pPr>
        <w:rPr>
          <w:rFonts w:hint="default" w:ascii="Times New Roman" w:hAnsi="Times New Roman" w:eastAsia="宋体" w:cs="Times New Roman"/>
          <w:b/>
          <w:bCs/>
          <w:lang w:val="en-US" w:eastAsia="zh-CN"/>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0B6DFA1F">
      <w:pPr>
        <w:pStyle w:val="19"/>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附件3 淄博市国土空间总体规划（2021-2035）</w:t>
      </w:r>
    </w:p>
    <w:p w14:paraId="67B1C3D1">
      <w:pPr>
        <w:rPr>
          <w:rFonts w:hint="default" w:ascii="Times New Roman" w:hAnsi="Times New Roman" w:eastAsia="宋体" w:cs="Times New Roman"/>
          <w:lang w:val="en-US" w:eastAsia="zh-CN"/>
        </w:rPr>
      </w:pPr>
      <w:r>
        <w:rPr>
          <w:sz w:val="21"/>
        </w:rPr>
        <mc:AlternateContent>
          <mc:Choice Requires="wps">
            <w:drawing>
              <wp:anchor distT="0" distB="0" distL="114300" distR="114300" simplePos="0" relativeHeight="251872256" behindDoc="0" locked="0" layoutInCell="1" allowOverlap="1">
                <wp:simplePos x="0" y="0"/>
                <wp:positionH relativeFrom="column">
                  <wp:posOffset>1422400</wp:posOffset>
                </wp:positionH>
                <wp:positionV relativeFrom="paragraph">
                  <wp:posOffset>8115935</wp:posOffset>
                </wp:positionV>
                <wp:extent cx="567055" cy="165735"/>
                <wp:effectExtent l="0" t="0" r="4445" b="5715"/>
                <wp:wrapNone/>
                <wp:docPr id="107" name="文本框 107"/>
                <wp:cNvGraphicFramePr/>
                <a:graphic xmlns:a="http://schemas.openxmlformats.org/drawingml/2006/main">
                  <a:graphicData uri="http://schemas.microsoft.com/office/word/2010/wordprocessingShape">
                    <wps:wsp>
                      <wps:cNvSpPr txBox="1"/>
                      <wps:spPr>
                        <a:xfrm>
                          <a:off x="0" y="0"/>
                          <a:ext cx="567055" cy="165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3B15252">
                            <w:pPr>
                              <w:rPr>
                                <w:rFonts w:hint="default" w:ascii="Times New Roman" w:hAnsi="Times New Roman" w:eastAsia="宋体" w:cs="Times New Roman"/>
                                <w:sz w:val="10"/>
                                <w:szCs w:val="10"/>
                                <w:lang w:eastAsia="zh-CN"/>
                              </w:rPr>
                            </w:pPr>
                            <w:r>
                              <w:rPr>
                                <w:rFonts w:hint="eastAsia" w:cs="Times New Roman"/>
                                <w:sz w:val="10"/>
                                <w:szCs w:val="10"/>
                                <w:lang w:eastAsia="zh-CN"/>
                              </w:rPr>
                              <w:t>河流流向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pt;margin-top:639.05pt;height:13.05pt;width:44.65pt;z-index:251872256;mso-width-relative:page;mso-height-relative:page;" fillcolor="#FFFFFF [3201]" filled="t" stroked="f" coordsize="21600,21600" o:gfxdata="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FV//XXAAAADQEAAA8A&#10;AAAAAAAAAQAgAAAAIgAAAGRycy9kb3ducmV2LnhtbFBLAQIUABQAAAAIAIdO4kAaXSiFUQIAAJIE&#10;AAAOAAAAAAAAAAEAIAAAACYBAABkcnMvZTJvRG9jLnhtbFBLBQYAAAAABgAGAFkBAADpBQAAAAA=&#10;">
                <v:fill on="t" focussize="0,0"/>
                <v:stroke on="f" weight="0.5pt"/>
                <v:imagedata o:title=""/>
                <o:lock v:ext="edit" aspectratio="f"/>
                <v:textbox>
                  <w:txbxContent>
                    <w:p w14:paraId="13B15252">
                      <w:pPr>
                        <w:rPr>
                          <w:rFonts w:hint="default" w:ascii="Times New Roman" w:hAnsi="Times New Roman" w:eastAsia="宋体" w:cs="Times New Roman"/>
                          <w:sz w:val="10"/>
                          <w:szCs w:val="10"/>
                          <w:lang w:eastAsia="zh-CN"/>
                        </w:rPr>
                      </w:pPr>
                      <w:r>
                        <w:rPr>
                          <w:rFonts w:hint="eastAsia" w:cs="Times New Roman"/>
                          <w:sz w:val="10"/>
                          <w:szCs w:val="10"/>
                          <w:lang w:eastAsia="zh-CN"/>
                        </w:rPr>
                        <w:t>河流流向</w:t>
                      </w:r>
                    </w:p>
                  </w:txbxContent>
                </v:textbox>
              </v:shape>
            </w:pict>
          </mc:Fallback>
        </mc:AlternateContent>
      </w:r>
      <w:r>
        <w:rPr>
          <w:sz w:val="21"/>
        </w:rPr>
        <mc:AlternateContent>
          <mc:Choice Requires="wps">
            <w:drawing>
              <wp:anchor distT="0" distB="0" distL="114300" distR="114300" simplePos="0" relativeHeight="251871232" behindDoc="0" locked="0" layoutInCell="1" allowOverlap="1">
                <wp:simplePos x="0" y="0"/>
                <wp:positionH relativeFrom="column">
                  <wp:posOffset>1430020</wp:posOffset>
                </wp:positionH>
                <wp:positionV relativeFrom="paragraph">
                  <wp:posOffset>7924800</wp:posOffset>
                </wp:positionV>
                <wp:extent cx="363855" cy="165735"/>
                <wp:effectExtent l="0" t="0" r="17145" b="5715"/>
                <wp:wrapNone/>
                <wp:docPr id="111" name="文本框 111"/>
                <wp:cNvGraphicFramePr/>
                <a:graphic xmlns:a="http://schemas.openxmlformats.org/drawingml/2006/main">
                  <a:graphicData uri="http://schemas.microsoft.com/office/word/2010/wordprocessingShape">
                    <wps:wsp>
                      <wps:cNvSpPr txBox="1"/>
                      <wps:spPr>
                        <a:xfrm>
                          <a:off x="2236470" y="8949055"/>
                          <a:ext cx="363855" cy="165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9E42786">
                            <w:pPr>
                              <w:rPr>
                                <w:rFonts w:hint="default" w:ascii="Times New Roman" w:hAnsi="Times New Roman" w:eastAsia="宋体" w:cs="Times New Roman"/>
                                <w:sz w:val="10"/>
                                <w:szCs w:val="10"/>
                                <w:lang w:eastAsia="zh-CN"/>
                              </w:rPr>
                            </w:pPr>
                            <w:r>
                              <w:rPr>
                                <w:rFonts w:hint="default" w:ascii="Times New Roman" w:hAnsi="Times New Roman" w:eastAsia="宋体" w:cs="Times New Roman"/>
                                <w:sz w:val="10"/>
                                <w:szCs w:val="10"/>
                                <w:lang w:eastAsia="zh-CN"/>
                              </w:rPr>
                              <w:t>河流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6pt;margin-top:624pt;height:13.05pt;width:28.65pt;z-index:251871232;mso-width-relative:page;mso-height-relative:page;" fillcolor="#FFFFFF [3201]" filled="t" stroked="f" coordsize="21600,21600" o:gfxdata="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MS&#10;al7WAAAADQEAAA8AAAAAAAAAAQAgAAAAIgAAAGRycy9kb3ducmV2LnhtbFBLAQIUABQAAAAIAIdO&#10;4kAlLc1MXgIAAJ4EAAAOAAAAAAAAAAEAIAAAACUBAABkcnMvZTJvRG9jLnhtbFBLBQYAAAAABgAG&#10;AFkBAAD1BQAAAAA=&#10;">
                <v:fill on="t" focussize="0,0"/>
                <v:stroke on="f" weight="0.5pt"/>
                <v:imagedata o:title=""/>
                <o:lock v:ext="edit" aspectratio="f"/>
                <v:textbox>
                  <w:txbxContent>
                    <w:p w14:paraId="69E42786">
                      <w:pPr>
                        <w:rPr>
                          <w:rFonts w:hint="default" w:ascii="Times New Roman" w:hAnsi="Times New Roman" w:eastAsia="宋体" w:cs="Times New Roman"/>
                          <w:sz w:val="10"/>
                          <w:szCs w:val="10"/>
                          <w:lang w:eastAsia="zh-CN"/>
                        </w:rPr>
                      </w:pPr>
                      <w:r>
                        <w:rPr>
                          <w:rFonts w:hint="default" w:ascii="Times New Roman" w:hAnsi="Times New Roman" w:eastAsia="宋体" w:cs="Times New Roman"/>
                          <w:sz w:val="10"/>
                          <w:szCs w:val="10"/>
                          <w:lang w:eastAsia="zh-CN"/>
                        </w:rPr>
                        <w:t>河流</w:t>
                      </w:r>
                    </w:p>
                  </w:txbxContent>
                </v:textbox>
              </v:shape>
            </w:pict>
          </mc:Fallback>
        </mc:AlternateContent>
      </w:r>
      <w:r>
        <w:rPr>
          <w:sz w:val="21"/>
        </w:rPr>
        <mc:AlternateContent>
          <mc:Choice Requires="wps">
            <w:drawing>
              <wp:anchor distT="0" distB="0" distL="114300" distR="114300" simplePos="0" relativeHeight="251870208" behindDoc="0" locked="0" layoutInCell="1" allowOverlap="1">
                <wp:simplePos x="0" y="0"/>
                <wp:positionH relativeFrom="column">
                  <wp:posOffset>1139825</wp:posOffset>
                </wp:positionH>
                <wp:positionV relativeFrom="paragraph">
                  <wp:posOffset>8002905</wp:posOffset>
                </wp:positionV>
                <wp:extent cx="268605" cy="0"/>
                <wp:effectExtent l="0" t="6350" r="0" b="6350"/>
                <wp:wrapNone/>
                <wp:docPr id="113" name="直接连接符 113"/>
                <wp:cNvGraphicFramePr/>
                <a:graphic xmlns:a="http://schemas.openxmlformats.org/drawingml/2006/main">
                  <a:graphicData uri="http://schemas.microsoft.com/office/word/2010/wordprocessingShape">
                    <wps:wsp>
                      <wps:cNvCnPr/>
                      <wps:spPr>
                        <a:xfrm>
                          <a:off x="1859915" y="8996680"/>
                          <a:ext cx="268605"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9.75pt;margin-top:630.15pt;height:0pt;width:21.15pt;z-index:251870208;mso-width-relative:page;mso-height-relative:page;" filled="f" stroked="t" coordsize="21600,21600" o:gfxdata="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WpNS9cAAAANAQAADwAAAAAAAAABACAA&#10;AAAiAAAAZHJzL2Rvd25yZXYueG1sUEsBAhQAFAAAAAgAh07iQCeeInUOAgAA+gMAAA4AAAAAAAAA&#10;AQAgAAAAJgEAAGRycy9lMm9Eb2MueG1sUEsFBgAAAAAGAAYAWQEAAKYFAAAAAA==&#10;">
                <v:fill on="f" focussize="0,0"/>
                <v:stroke weight="1pt" color="#8FAADC [1944]" miterlimit="8" joinstyle="miter"/>
                <v:imagedata o:title=""/>
                <o:lock v:ext="edit" aspectratio="f"/>
              </v:line>
            </w:pict>
          </mc:Fallback>
        </mc:AlternateContent>
      </w:r>
      <w:r>
        <w:rPr>
          <w:sz w:val="21"/>
        </w:rPr>
        <mc:AlternateContent>
          <mc:Choice Requires="wps">
            <w:drawing>
              <wp:anchor distT="0" distB="0" distL="114300" distR="114300" simplePos="0" relativeHeight="251869184" behindDoc="0" locked="0" layoutInCell="1" allowOverlap="1">
                <wp:simplePos x="0" y="0"/>
                <wp:positionH relativeFrom="column">
                  <wp:posOffset>1141095</wp:posOffset>
                </wp:positionH>
                <wp:positionV relativeFrom="paragraph">
                  <wp:posOffset>8185785</wp:posOffset>
                </wp:positionV>
                <wp:extent cx="288925" cy="3175"/>
                <wp:effectExtent l="0" t="48260" r="15875" b="62865"/>
                <wp:wrapNone/>
                <wp:docPr id="114" name="直接箭头连接符 114"/>
                <wp:cNvGraphicFramePr/>
                <a:graphic xmlns:a="http://schemas.openxmlformats.org/drawingml/2006/main">
                  <a:graphicData uri="http://schemas.microsoft.com/office/word/2010/wordprocessingShape">
                    <wps:wsp>
                      <wps:cNvCnPr/>
                      <wps:spPr>
                        <a:xfrm>
                          <a:off x="0" y="0"/>
                          <a:ext cx="288925" cy="3175"/>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9.85pt;margin-top:644.55pt;height:0.25pt;width:22.75pt;z-index:251869184;mso-width-relative:page;mso-height-relative:page;" filled="f" stroked="t" coordsize="21600,21600" o:gfxdata="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gKKxbZAAAADQEAAA8AAAAAAAAAAQAg&#10;AAAAIgAAAGRycy9kb3ducmV2LnhtbFBLAQIUABQAAAAIAIdO4kDaeRghDQIAAOUDAAAOAAAAAAAA&#10;AAEAIAAAACgBAABkcnMvZTJvRG9jLnhtbFBLBQYAAAAABgAGAFkBAACnBQ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7136" behindDoc="0" locked="0" layoutInCell="1" allowOverlap="1">
                <wp:simplePos x="0" y="0"/>
                <wp:positionH relativeFrom="column">
                  <wp:posOffset>4192270</wp:posOffset>
                </wp:positionH>
                <wp:positionV relativeFrom="paragraph">
                  <wp:posOffset>6423025</wp:posOffset>
                </wp:positionV>
                <wp:extent cx="195580" cy="130810"/>
                <wp:effectExtent l="0" t="0" r="13970" b="21590"/>
                <wp:wrapNone/>
                <wp:docPr id="115" name="直接箭头连接符 115"/>
                <wp:cNvGraphicFramePr/>
                <a:graphic xmlns:a="http://schemas.openxmlformats.org/drawingml/2006/main">
                  <a:graphicData uri="http://schemas.microsoft.com/office/word/2010/wordprocessingShape">
                    <wps:wsp>
                      <wps:cNvCnPr/>
                      <wps:spPr>
                        <a:xfrm flipH="1" flipV="1">
                          <a:off x="0" y="0"/>
                          <a:ext cx="195580" cy="13081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0.1pt;margin-top:505.75pt;height:10.3pt;width:15.4pt;z-index:251867136;mso-width-relative:page;mso-height-relative:page;" filled="f" stroked="t" coordsize="21600,21600" o:gfxdata="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a7qNNkAAAANAQAA&#10;DwAAAAAAAAABACAAAAAiAAAAZHJzL2Rvd25yZXYueG1sUEsBAhQAFAAAAAgAh07iQAKcaW8YAgAA&#10;+wMAAA4AAAAAAAAAAQAgAAAAKAEAAGRycy9lMm9Eb2MueG1sUEsFBgAAAAAGAAYAWQEAALIFAAAA&#10;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6112" behindDoc="0" locked="0" layoutInCell="1" allowOverlap="1">
                <wp:simplePos x="0" y="0"/>
                <wp:positionH relativeFrom="column">
                  <wp:posOffset>3368675</wp:posOffset>
                </wp:positionH>
                <wp:positionV relativeFrom="paragraph">
                  <wp:posOffset>6637655</wp:posOffset>
                </wp:positionV>
                <wp:extent cx="203200" cy="114300"/>
                <wp:effectExtent l="0" t="1270" r="6350" b="17780"/>
                <wp:wrapNone/>
                <wp:docPr id="118" name="直接箭头连接符 118"/>
                <wp:cNvGraphicFramePr/>
                <a:graphic xmlns:a="http://schemas.openxmlformats.org/drawingml/2006/main">
                  <a:graphicData uri="http://schemas.microsoft.com/office/word/2010/wordprocessingShape">
                    <wps:wsp>
                      <wps:cNvCnPr>
                        <a:stCxn id="253" idx="3"/>
                      </wps:cNvCnPr>
                      <wps:spPr>
                        <a:xfrm flipH="1" flipV="1">
                          <a:off x="0" y="0"/>
                          <a:ext cx="203200" cy="11430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65.25pt;margin-top:522.65pt;height:9pt;width:16pt;z-index:251866112;mso-width-relative:page;mso-height-relative:page;" filled="f" stroked="t" coordsize="21600,21600" o:gfxdata="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XR0SH2QAAAA0BAAAPAAAAAAAAAAEAIAAAACIAAABkcnMvZG93bnJldi54bWxQSwECFAAU&#10;AAAACACHTuJABI3SvykCAAAjBAAADgAAAAAAAAABACAAAAAoAQAAZHJzL2Uyb0RvYy54bWxQSwUG&#10;AAAAAAYABgBZAQAAwwU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5088" behindDoc="0" locked="0" layoutInCell="1" allowOverlap="1">
                <wp:simplePos x="0" y="0"/>
                <wp:positionH relativeFrom="column">
                  <wp:posOffset>3768090</wp:posOffset>
                </wp:positionH>
                <wp:positionV relativeFrom="paragraph">
                  <wp:posOffset>6148070</wp:posOffset>
                </wp:positionV>
                <wp:extent cx="110490" cy="227330"/>
                <wp:effectExtent l="5715" t="0" r="17145" b="20320"/>
                <wp:wrapNone/>
                <wp:docPr id="119" name="直接箭头连接符 119"/>
                <wp:cNvGraphicFramePr/>
                <a:graphic xmlns:a="http://schemas.openxmlformats.org/drawingml/2006/main">
                  <a:graphicData uri="http://schemas.microsoft.com/office/word/2010/wordprocessingShape">
                    <wps:wsp>
                      <wps:cNvCnPr/>
                      <wps:spPr>
                        <a:xfrm flipV="1">
                          <a:off x="0" y="0"/>
                          <a:ext cx="110490" cy="22733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6.7pt;margin-top:484.1pt;height:17.9pt;width:8.7pt;z-index:251865088;mso-width-relative:page;mso-height-relative:page;" filled="f" stroked="t" coordsize="21600,21600" o:gfxdata="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iBZ+z3AAAAAwBAAAP&#10;AAAAAAAAAAEAIAAAACIAAABkcnMvZG93bnJldi54bWxQSwECFAAUAAAACACHTuJAruMOCBQCAADx&#10;AwAADgAAAAAAAAABACAAAAArAQAAZHJzL2Uyb0RvYy54bWxQSwUGAAAAAAYABgBZAQAAsQU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4064" behindDoc="0" locked="0" layoutInCell="1" allowOverlap="1">
                <wp:simplePos x="0" y="0"/>
                <wp:positionH relativeFrom="column">
                  <wp:posOffset>5274310</wp:posOffset>
                </wp:positionH>
                <wp:positionV relativeFrom="paragraph">
                  <wp:posOffset>5407660</wp:posOffset>
                </wp:positionV>
                <wp:extent cx="19685" cy="241935"/>
                <wp:effectExtent l="38100" t="0" r="56515" b="5715"/>
                <wp:wrapNone/>
                <wp:docPr id="121" name="直接箭头连接符 121"/>
                <wp:cNvGraphicFramePr/>
                <a:graphic xmlns:a="http://schemas.openxmlformats.org/drawingml/2006/main">
                  <a:graphicData uri="http://schemas.microsoft.com/office/word/2010/wordprocessingShape">
                    <wps:wsp>
                      <wps:cNvCnPr/>
                      <wps:spPr>
                        <a:xfrm flipV="1">
                          <a:off x="0" y="0"/>
                          <a:ext cx="19685" cy="241935"/>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15.3pt;margin-top:425.8pt;height:19.05pt;width:1.55pt;z-index:251864064;mso-width-relative:page;mso-height-relative:page;" filled="f" stroked="t" coordsize="21600,21600" o:gfxdata="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GMVG9oAAAALAQAADwAA&#10;AAAAAAABACAAAAAiAAAAZHJzL2Rvd25yZXYueG1sUEsBAhQAFAAAAAgAh07iQGrBGjsUAgAA8AMA&#10;AA4AAAAAAAAAAQAgAAAAKQEAAGRycy9lMm9Eb2MueG1sUEsFBgAAAAAGAAYAWQEAAK8FA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3040" behindDoc="0" locked="0" layoutInCell="1" allowOverlap="1">
                <wp:simplePos x="0" y="0"/>
                <wp:positionH relativeFrom="column">
                  <wp:posOffset>4015105</wp:posOffset>
                </wp:positionH>
                <wp:positionV relativeFrom="paragraph">
                  <wp:posOffset>5662295</wp:posOffset>
                </wp:positionV>
                <wp:extent cx="87630" cy="238125"/>
                <wp:effectExtent l="5715" t="0" r="20955" b="9525"/>
                <wp:wrapNone/>
                <wp:docPr id="122" name="直接箭头连接符 122"/>
                <wp:cNvGraphicFramePr/>
                <a:graphic xmlns:a="http://schemas.openxmlformats.org/drawingml/2006/main">
                  <a:graphicData uri="http://schemas.microsoft.com/office/word/2010/wordprocessingShape">
                    <wps:wsp>
                      <wps:cNvCnPr/>
                      <wps:spPr>
                        <a:xfrm flipV="1">
                          <a:off x="0" y="0"/>
                          <a:ext cx="87630" cy="238125"/>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16.15pt;margin-top:445.85pt;height:18.75pt;width:6.9pt;z-index:251863040;mso-width-relative:page;mso-height-relative:page;" filled="f" stroked="t" coordsize="21600,21600" o:gfxdata="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6Te49wAAAALAQAADwAA&#10;AAAAAAABACAAAAAiAAAAZHJzL2Rvd25yZXYueG1sUEsBAhQAFAAAAAgAh07iQK7pR2ESAgAA8AMA&#10;AA4AAAAAAAAAAQAgAAAAKwEAAGRycy9lMm9Eb2MueG1sUEsFBgAAAAAGAAYAWQEAAK8FA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2016" behindDoc="0" locked="0" layoutInCell="1" allowOverlap="1">
                <wp:simplePos x="0" y="0"/>
                <wp:positionH relativeFrom="column">
                  <wp:posOffset>2054860</wp:posOffset>
                </wp:positionH>
                <wp:positionV relativeFrom="paragraph">
                  <wp:posOffset>5436235</wp:posOffset>
                </wp:positionV>
                <wp:extent cx="254000" cy="226060"/>
                <wp:effectExtent l="4445" t="0" r="8255" b="21590"/>
                <wp:wrapNone/>
                <wp:docPr id="123" name="直接箭头连接符 123"/>
                <wp:cNvGraphicFramePr/>
                <a:graphic xmlns:a="http://schemas.openxmlformats.org/drawingml/2006/main">
                  <a:graphicData uri="http://schemas.microsoft.com/office/word/2010/wordprocessingShape">
                    <wps:wsp>
                      <wps:cNvCnPr/>
                      <wps:spPr>
                        <a:xfrm flipV="1">
                          <a:off x="0" y="0"/>
                          <a:ext cx="254000" cy="22606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61.8pt;margin-top:428.05pt;height:17.8pt;width:20pt;z-index:251862016;mso-width-relative:page;mso-height-relative:page;" filled="f" stroked="t" coordsize="21600,21600" o:gfxdata="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KR7/tsAAAALAQAADwAA&#10;AAAAAAABACAAAAAiAAAAZHJzL2Rvd25yZXYueG1sUEsBAhQAFAAAAAgAh07iQNpin08TAgAA8QMA&#10;AA4AAAAAAAAAAQAgAAAAKgEAAGRycy9lMm9Eb2MueG1sUEsFBgAAAAAGAAYAWQEAAK8FA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60992" behindDoc="0" locked="0" layoutInCell="1" allowOverlap="1">
                <wp:simplePos x="0" y="0"/>
                <wp:positionH relativeFrom="column">
                  <wp:posOffset>1932305</wp:posOffset>
                </wp:positionH>
                <wp:positionV relativeFrom="paragraph">
                  <wp:posOffset>6163310</wp:posOffset>
                </wp:positionV>
                <wp:extent cx="60960" cy="294640"/>
                <wp:effectExtent l="31750" t="0" r="21590" b="10160"/>
                <wp:wrapNone/>
                <wp:docPr id="126" name="直接箭头连接符 126"/>
                <wp:cNvGraphicFramePr/>
                <a:graphic xmlns:a="http://schemas.openxmlformats.org/drawingml/2006/main">
                  <a:graphicData uri="http://schemas.microsoft.com/office/word/2010/wordprocessingShape">
                    <wps:wsp>
                      <wps:cNvCnPr/>
                      <wps:spPr>
                        <a:xfrm flipH="1" flipV="1">
                          <a:off x="0" y="0"/>
                          <a:ext cx="60960" cy="29464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52.15pt;margin-top:485.3pt;height:23.2pt;width:4.8pt;z-index:251860992;mso-width-relative:page;mso-height-relative:page;" filled="f" stroked="t" coordsize="21600,21600" o:gfxdata="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hCFhy2QAAAAwBAAAP&#10;AAAAAAAAAAEAIAAAACIAAABkcnMvZG93bnJldi54bWxQSwECFAAUAAAACACHTuJAQkyqjhcCAAD6&#10;AwAADgAAAAAAAAABACAAAAAoAQAAZHJzL2Uyb0RvYy54bWxQSwUGAAAAAAYABgBZAQAAsQU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59968" behindDoc="0" locked="0" layoutInCell="1" allowOverlap="1">
                <wp:simplePos x="0" y="0"/>
                <wp:positionH relativeFrom="column">
                  <wp:posOffset>2209165</wp:posOffset>
                </wp:positionH>
                <wp:positionV relativeFrom="paragraph">
                  <wp:posOffset>6296025</wp:posOffset>
                </wp:positionV>
                <wp:extent cx="69215" cy="273050"/>
                <wp:effectExtent l="6350" t="0" r="38735" b="12700"/>
                <wp:wrapNone/>
                <wp:docPr id="127" name="直接箭头连接符 127"/>
                <wp:cNvGraphicFramePr/>
                <a:graphic xmlns:a="http://schemas.openxmlformats.org/drawingml/2006/main">
                  <a:graphicData uri="http://schemas.microsoft.com/office/word/2010/wordprocessingShape">
                    <wps:wsp>
                      <wps:cNvCnPr/>
                      <wps:spPr>
                        <a:xfrm flipV="1">
                          <a:off x="2929255" y="7289800"/>
                          <a:ext cx="69215" cy="273050"/>
                        </a:xfrm>
                        <a:prstGeom prst="straightConnector1">
                          <a:avLst/>
                        </a:prstGeom>
                        <a:ln>
                          <a:solidFill>
                            <a:srgbClr val="92D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3.95pt;margin-top:495.75pt;height:21.5pt;width:5.45pt;z-index:251859968;mso-width-relative:page;mso-height-relative:page;" filled="f" stroked="t" coordsize="21600,21600" o:gfxdata="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QT/3jc&#10;AAAADAEAAA8AAAAAAAAAAQAgAAAAIgAAAGRycy9kb3ducmV2LnhtbFBLAQIUABQAAAAIAIdO4kAR&#10;FTzmHAIAAPwDAAAOAAAAAAAAAAEAIAAAACsBAABkcnMvZTJvRG9jLnhtbFBLBQYAAAAABgAGAFkB&#10;AAC5BQAAAAA=&#10;">
                <v:fill on="f" focussize="0,0"/>
                <v:stroke weight="1pt" color="#92D05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831296" behindDoc="0" locked="0" layoutInCell="1" allowOverlap="1">
                <wp:simplePos x="0" y="0"/>
                <wp:positionH relativeFrom="column">
                  <wp:posOffset>3545205</wp:posOffset>
                </wp:positionH>
                <wp:positionV relativeFrom="paragraph">
                  <wp:posOffset>5953125</wp:posOffset>
                </wp:positionV>
                <wp:extent cx="387985" cy="229235"/>
                <wp:effectExtent l="0" t="0" r="0" b="0"/>
                <wp:wrapNone/>
                <wp:docPr id="262" name="文本框 262"/>
                <wp:cNvGraphicFramePr/>
                <a:graphic xmlns:a="http://schemas.openxmlformats.org/drawingml/2006/main">
                  <a:graphicData uri="http://schemas.microsoft.com/office/word/2010/wordprocessingShape">
                    <wps:wsp>
                      <wps:cNvSpPr txBox="1"/>
                      <wps:spPr>
                        <a:xfrm>
                          <a:off x="4367530" y="6994525"/>
                          <a:ext cx="387985" cy="229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5C9DF1">
                            <w:pPr>
                              <w:rPr>
                                <w:rFonts w:hint="default" w:eastAsia="宋体"/>
                                <w:lang w:val="en-US" w:eastAsia="zh-CN"/>
                              </w:rPr>
                            </w:pPr>
                            <w:r>
                              <w:rPr>
                                <w:rFonts w:hint="eastAsia"/>
                                <w:lang w:val="en-US" w:eastAsia="zh-CN"/>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15pt;margin-top:468.75pt;height:18.05pt;width:30.55pt;z-index:251831296;mso-width-relative:page;mso-height-relative:page;" filled="f" stroked="f" coordsize="21600,21600" o:gfxdata="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QF5Gt0AAAALAQAADwAA&#10;AAAAAAABACAAAAAiAAAAZHJzL2Rvd25yZXYueG1sUEsBAhQAFAAAAAgAh07iQAekEkRKAgAAdQQA&#10;AA4AAAAAAAAAAQAgAAAALAEAAGRycy9lMm9Eb2MueG1sUEsFBgAAAAAGAAYAWQEAAOgFAAAAAA==&#10;">
                <v:fill on="f" focussize="0,0"/>
                <v:stroke on="f" weight="0.5pt"/>
                <v:imagedata o:title=""/>
                <o:lock v:ext="edit" aspectratio="f"/>
                <v:textbox>
                  <w:txbxContent>
                    <w:p w14:paraId="2A5C9DF1">
                      <w:pPr>
                        <w:rPr>
                          <w:rFonts w:hint="default" w:eastAsia="宋体"/>
                          <w:lang w:val="en-US" w:eastAsia="zh-CN"/>
                        </w:rPr>
                      </w:pPr>
                      <w:r>
                        <w:rPr>
                          <w:rFonts w:hint="eastAsia"/>
                          <w:lang w:val="en-US" w:eastAsia="zh-CN"/>
                        </w:rPr>
                        <w:t>13</w:t>
                      </w:r>
                    </w:p>
                  </w:txbxContent>
                </v:textbox>
              </v:shape>
            </w:pict>
          </mc:Fallback>
        </mc:AlternateContent>
      </w:r>
      <w:r>
        <w:rPr>
          <w:sz w:val="21"/>
        </w:rPr>
        <mc:AlternateContent>
          <mc:Choice Requires="wps">
            <w:drawing>
              <wp:anchor distT="0" distB="0" distL="114300" distR="114300" simplePos="0" relativeHeight="251830272" behindDoc="0" locked="0" layoutInCell="1" allowOverlap="1">
                <wp:simplePos x="0" y="0"/>
                <wp:positionH relativeFrom="column">
                  <wp:posOffset>3940175</wp:posOffset>
                </wp:positionH>
                <wp:positionV relativeFrom="paragraph">
                  <wp:posOffset>6497955</wp:posOffset>
                </wp:positionV>
                <wp:extent cx="390525" cy="209550"/>
                <wp:effectExtent l="0" t="0" r="0" b="0"/>
                <wp:wrapNone/>
                <wp:docPr id="261" name="文本框 261"/>
                <wp:cNvGraphicFramePr/>
                <a:graphic xmlns:a="http://schemas.openxmlformats.org/drawingml/2006/main">
                  <a:graphicData uri="http://schemas.microsoft.com/office/word/2010/wordprocessingShape">
                    <wps:wsp>
                      <wps:cNvSpPr txBox="1"/>
                      <wps:spPr>
                        <a:xfrm>
                          <a:off x="4728210" y="7532370"/>
                          <a:ext cx="39052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49CDED">
                            <w:pPr>
                              <w:rPr>
                                <w:rFonts w:hint="default" w:eastAsia="宋体"/>
                                <w:lang w:val="en-US" w:eastAsia="zh-CN"/>
                              </w:rPr>
                            </w:pPr>
                            <w:r>
                              <w:rPr>
                                <w:rFonts w:hint="eastAsia"/>
                                <w:lang w:val="en-US" w:eastAsia="zh-CN"/>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25pt;margin-top:511.65pt;height:16.5pt;width:30.75pt;z-index:251830272;mso-width-relative:page;mso-height-relative:page;" filled="f" stroked="f" coordsize="21600,21600" o:gfxdata="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dxHq7cAAAADQEAAA8AAAAA&#10;AAAAAQAgAAAAIgAAAGRycy9kb3ducmV2LnhtbFBLAQIUABQAAAAIAIdO4kCrPRNmSQIAAHUEAAAO&#10;AAAAAAAAAAEAIAAAACsBAABkcnMvZTJvRG9jLnhtbFBLBQYAAAAABgAGAFkBAADmBQAAAAA=&#10;">
                <v:fill on="f" focussize="0,0"/>
                <v:stroke on="f" weight="0.5pt"/>
                <v:imagedata o:title=""/>
                <o:lock v:ext="edit" aspectratio="f"/>
                <v:textbox>
                  <w:txbxContent>
                    <w:p w14:paraId="1F49CDED">
                      <w:pPr>
                        <w:rPr>
                          <w:rFonts w:hint="default" w:eastAsia="宋体"/>
                          <w:lang w:val="en-US" w:eastAsia="zh-CN"/>
                        </w:rPr>
                      </w:pPr>
                      <w:r>
                        <w:rPr>
                          <w:rFonts w:hint="eastAsia"/>
                          <w:lang w:val="en-US" w:eastAsia="zh-CN"/>
                        </w:rPr>
                        <w:t>11</w:t>
                      </w:r>
                    </w:p>
                  </w:txbxContent>
                </v:textbox>
              </v:shape>
            </w:pict>
          </mc:Fallback>
        </mc:AlternateContent>
      </w:r>
      <w:r>
        <w:rPr>
          <w:sz w:val="21"/>
        </w:rPr>
        <mc:AlternateContent>
          <mc:Choice Requires="wps">
            <w:drawing>
              <wp:anchor distT="0" distB="0" distL="114300" distR="114300" simplePos="0" relativeHeight="251829248" behindDoc="0" locked="0" layoutInCell="1" allowOverlap="1">
                <wp:simplePos x="0" y="0"/>
                <wp:positionH relativeFrom="column">
                  <wp:posOffset>2524125</wp:posOffset>
                </wp:positionH>
                <wp:positionV relativeFrom="paragraph">
                  <wp:posOffset>6280150</wp:posOffset>
                </wp:positionV>
                <wp:extent cx="353695" cy="269875"/>
                <wp:effectExtent l="0" t="0" r="0" b="0"/>
                <wp:wrapNone/>
                <wp:docPr id="260" name="文本框 260"/>
                <wp:cNvGraphicFramePr/>
                <a:graphic xmlns:a="http://schemas.openxmlformats.org/drawingml/2006/main">
                  <a:graphicData uri="http://schemas.microsoft.com/office/word/2010/wordprocessingShape">
                    <wps:wsp>
                      <wps:cNvSpPr txBox="1"/>
                      <wps:spPr>
                        <a:xfrm>
                          <a:off x="3312795" y="7294245"/>
                          <a:ext cx="353695"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75C7C2">
                            <w:pPr>
                              <w:rPr>
                                <w:rFonts w:hint="default" w:eastAsia="宋体"/>
                                <w:lang w:val="en-US" w:eastAsia="zh-CN"/>
                              </w:rPr>
                            </w:pPr>
                            <w:r>
                              <w:rPr>
                                <w:rFonts w:hint="eastAsia"/>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75pt;margin-top:494.5pt;height:21.25pt;width:27.85pt;z-index:251829248;mso-width-relative:page;mso-height-relative:page;" filled="f" stroked="f" coordsize="21600,21600" o:gfxdata="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TiYqTcAAAADAEAAA8AAAAA&#10;AAAAAQAgAAAAIgAAAGRycy9kb3ducmV2LnhtbFBLAQIUABQAAAAIAIdO4kBoNxv3SQIAAHUEAAAO&#10;AAAAAAAAAAEAIAAAACsBAABkcnMvZTJvRG9jLnhtbFBLBQYAAAAABgAGAFkBAADmBQAAAAA=&#10;">
                <v:fill on="f" focussize="0,0"/>
                <v:stroke on="f" weight="0.5pt"/>
                <v:imagedata o:title=""/>
                <o:lock v:ext="edit" aspectratio="f"/>
                <v:textbox>
                  <w:txbxContent>
                    <w:p w14:paraId="0675C7C2">
                      <w:pPr>
                        <w:rPr>
                          <w:rFonts w:hint="default" w:eastAsia="宋体"/>
                          <w:lang w:val="en-US" w:eastAsia="zh-CN"/>
                        </w:rPr>
                      </w:pPr>
                      <w:r>
                        <w:rPr>
                          <w:rFonts w:hint="eastAsia"/>
                          <w:lang w:val="en-US" w:eastAsia="zh-CN"/>
                        </w:rPr>
                        <w:t>10</w:t>
                      </w:r>
                    </w:p>
                  </w:txbxContent>
                </v:textbox>
              </v:shape>
            </w:pict>
          </mc:Fallback>
        </mc:AlternateContent>
      </w:r>
      <w:r>
        <w:rPr>
          <w:sz w:val="21"/>
        </w:rPr>
        <mc:AlternateContent>
          <mc:Choice Requires="wps">
            <w:drawing>
              <wp:anchor distT="0" distB="0" distL="114300" distR="114300" simplePos="0" relativeHeight="251828224" behindDoc="0" locked="0" layoutInCell="1" allowOverlap="1">
                <wp:simplePos x="0" y="0"/>
                <wp:positionH relativeFrom="column">
                  <wp:posOffset>1864360</wp:posOffset>
                </wp:positionH>
                <wp:positionV relativeFrom="paragraph">
                  <wp:posOffset>6626860</wp:posOffset>
                </wp:positionV>
                <wp:extent cx="234315" cy="257175"/>
                <wp:effectExtent l="0" t="0" r="0" b="0"/>
                <wp:wrapNone/>
                <wp:docPr id="259" name="文本框 259"/>
                <wp:cNvGraphicFramePr/>
                <a:graphic xmlns:a="http://schemas.openxmlformats.org/drawingml/2006/main">
                  <a:graphicData uri="http://schemas.microsoft.com/office/word/2010/wordprocessingShape">
                    <wps:wsp>
                      <wps:cNvSpPr txBox="1"/>
                      <wps:spPr>
                        <a:xfrm>
                          <a:off x="2836545" y="7620635"/>
                          <a:ext cx="23431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2031B7">
                            <w:pPr>
                              <w:rPr>
                                <w:rFonts w:hint="eastAsia" w:eastAsia="宋体"/>
                                <w:lang w:val="en-US" w:eastAsia="zh-CN"/>
                              </w:rPr>
                            </w:pPr>
                            <w:r>
                              <w:rPr>
                                <w:rFonts w:hint="eastAsia"/>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8pt;margin-top:521.8pt;height:20.25pt;width:18.45pt;z-index:251828224;mso-width-relative:page;mso-height-relative:page;" filled="f" stroked="f" coordsize="21600,21600" o:gfxdata="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IXFrN0AAAANAQAADwAA&#10;AAAAAAABACAAAAAiAAAAZHJzL2Rvd25yZXYueG1sUEsBAhQAFAAAAAgAh07iQFcoyvdKAgAAdQQA&#10;AA4AAAAAAAAAAQAgAAAALAEAAGRycy9lMm9Eb2MueG1sUEsFBgAAAAAGAAYAWQEAAOgFAAAAAA==&#10;">
                <v:fill on="f" focussize="0,0"/>
                <v:stroke on="f" weight="0.5pt"/>
                <v:imagedata o:title=""/>
                <o:lock v:ext="edit" aspectratio="f"/>
                <v:textbox>
                  <w:txbxContent>
                    <w:p w14:paraId="552031B7">
                      <w:pPr>
                        <w:rPr>
                          <w:rFonts w:hint="eastAsia" w:eastAsia="宋体"/>
                          <w:lang w:val="en-US" w:eastAsia="zh-CN"/>
                        </w:rPr>
                      </w:pPr>
                      <w:r>
                        <w:rPr>
                          <w:rFonts w:hint="eastAsia"/>
                          <w:lang w:val="en-US" w:eastAsia="zh-CN"/>
                        </w:rPr>
                        <w:t>9</w:t>
                      </w:r>
                    </w:p>
                  </w:txbxContent>
                </v:textbox>
              </v:shape>
            </w:pict>
          </mc:Fallback>
        </mc:AlternateContent>
      </w:r>
      <w:r>
        <w:rPr>
          <w:sz w:val="21"/>
        </w:rPr>
        <mc:AlternateContent>
          <mc:Choice Requires="wps">
            <w:drawing>
              <wp:anchor distT="0" distB="0" distL="114300" distR="114300" simplePos="0" relativeHeight="251827200" behindDoc="0" locked="0" layoutInCell="1" allowOverlap="1">
                <wp:simplePos x="0" y="0"/>
                <wp:positionH relativeFrom="column">
                  <wp:posOffset>4450080</wp:posOffset>
                </wp:positionH>
                <wp:positionV relativeFrom="paragraph">
                  <wp:posOffset>5368290</wp:posOffset>
                </wp:positionV>
                <wp:extent cx="197485" cy="209550"/>
                <wp:effectExtent l="0" t="0" r="0" b="0"/>
                <wp:wrapNone/>
                <wp:docPr id="258" name="文本框 258"/>
                <wp:cNvGraphicFramePr/>
                <a:graphic xmlns:a="http://schemas.openxmlformats.org/drawingml/2006/main">
                  <a:graphicData uri="http://schemas.microsoft.com/office/word/2010/wordprocessingShape">
                    <wps:wsp>
                      <wps:cNvSpPr txBox="1"/>
                      <wps:spPr>
                        <a:xfrm>
                          <a:off x="5170170" y="6362065"/>
                          <a:ext cx="19748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55BE83">
                            <w:pPr>
                              <w:rPr>
                                <w:rFonts w:hint="eastAsia" w:eastAsia="宋体"/>
                                <w:lang w:val="en-US" w:eastAsia="zh-CN"/>
                              </w:rPr>
                            </w:pPr>
                            <w:r>
                              <w:rPr>
                                <w:rFonts w:hint="eastAsia"/>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4pt;margin-top:422.7pt;height:16.5pt;width:15.55pt;z-index:251827200;mso-width-relative:page;mso-height-relative:page;" filled="f" stroked="f" coordsize="21600,21600" o:gfxdata="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5LTf9wAAAALAQAADwAAAAAA&#10;AAABACAAAAAiAAAAZHJzL2Rvd25yZXYueG1sUEsBAhQAFAAAAAgAh07iQFUnPWhIAgAAdQQAAA4A&#10;AAAAAAAAAQAgAAAAKwEAAGRycy9lMm9Eb2MueG1sUEsFBgAAAAAGAAYAWQEAAOUFAAAAAA==&#10;">
                <v:fill on="f" focussize="0,0"/>
                <v:stroke on="f" weight="0.5pt"/>
                <v:imagedata o:title=""/>
                <o:lock v:ext="edit" aspectratio="f"/>
                <v:textbox>
                  <w:txbxContent>
                    <w:p w14:paraId="0255BE83">
                      <w:pPr>
                        <w:rPr>
                          <w:rFonts w:hint="eastAsia" w:eastAsia="宋体"/>
                          <w:lang w:val="en-US" w:eastAsia="zh-CN"/>
                        </w:rPr>
                      </w:pPr>
                      <w:r>
                        <w:rPr>
                          <w:rFonts w:hint="eastAsia"/>
                          <w:lang w:val="en-US" w:eastAsia="zh-CN"/>
                        </w:rPr>
                        <w:t>8</w:t>
                      </w:r>
                    </w:p>
                  </w:txbxContent>
                </v:textbox>
              </v:shape>
            </w:pict>
          </mc:Fallback>
        </mc:AlternateContent>
      </w:r>
      <w:r>
        <w:rPr>
          <w:sz w:val="21"/>
        </w:rPr>
        <mc:AlternateContent>
          <mc:Choice Requires="wps">
            <w:drawing>
              <wp:anchor distT="0" distB="0" distL="114300" distR="114300" simplePos="0" relativeHeight="251826176" behindDoc="0" locked="0" layoutInCell="1" allowOverlap="1">
                <wp:simplePos x="0" y="0"/>
                <wp:positionH relativeFrom="column">
                  <wp:posOffset>4253230</wp:posOffset>
                </wp:positionH>
                <wp:positionV relativeFrom="paragraph">
                  <wp:posOffset>5810250</wp:posOffset>
                </wp:positionV>
                <wp:extent cx="292100" cy="209550"/>
                <wp:effectExtent l="0" t="0" r="0" b="0"/>
                <wp:wrapNone/>
                <wp:docPr id="257" name="文本框 257"/>
                <wp:cNvGraphicFramePr/>
                <a:graphic xmlns:a="http://schemas.openxmlformats.org/drawingml/2006/main">
                  <a:graphicData uri="http://schemas.microsoft.com/office/word/2010/wordprocessingShape">
                    <wps:wsp>
                      <wps:cNvSpPr txBox="1"/>
                      <wps:spPr>
                        <a:xfrm>
                          <a:off x="4973320" y="6804025"/>
                          <a:ext cx="29210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59EFCF">
                            <w:pPr>
                              <w:rPr>
                                <w:rFonts w:hint="eastAsia" w:eastAsia="宋体"/>
                                <w:lang w:val="en-US" w:eastAsia="zh-CN"/>
                              </w:rPr>
                            </w:pPr>
                            <w:r>
                              <w:rPr>
                                <w:rFonts w:hint="eastAsia"/>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9pt;margin-top:457.5pt;height:16.5pt;width:23pt;z-index:251826176;mso-width-relative:page;mso-height-relative:page;" filled="f" stroked="f" coordsize="21600,21600" o:gfxdata="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t7zLNsAAAALAQAADwAAAAAA&#10;AAABACAAAAAiAAAAZHJzL2Rvd25yZXYueG1sUEsBAhQAFAAAAAgAh07iQP775U9JAgAAdQQAAA4A&#10;AAAAAAAAAQAgAAAAKgEAAGRycy9lMm9Eb2MueG1sUEsFBgAAAAAGAAYAWQEAAOUFAAAAAA==&#10;">
                <v:fill on="f" focussize="0,0"/>
                <v:stroke on="f" weight="0.5pt"/>
                <v:imagedata o:title=""/>
                <o:lock v:ext="edit" aspectratio="f"/>
                <v:textbox>
                  <w:txbxContent>
                    <w:p w14:paraId="0859EFCF">
                      <w:pPr>
                        <w:rPr>
                          <w:rFonts w:hint="eastAsia" w:eastAsia="宋体"/>
                          <w:lang w:val="en-US" w:eastAsia="zh-CN"/>
                        </w:rPr>
                      </w:pPr>
                      <w:r>
                        <w:rPr>
                          <w:rFonts w:hint="eastAsia"/>
                          <w:lang w:val="en-US" w:eastAsia="zh-CN"/>
                        </w:rPr>
                        <w:t>7</w:t>
                      </w:r>
                    </w:p>
                  </w:txbxContent>
                </v:textbox>
              </v:shape>
            </w:pict>
          </mc:Fallback>
        </mc:AlternateContent>
      </w:r>
      <w:r>
        <w:rPr>
          <w:sz w:val="21"/>
        </w:rPr>
        <mc:AlternateContent>
          <mc:Choice Requires="wps">
            <w:drawing>
              <wp:anchor distT="0" distB="0" distL="114300" distR="114300" simplePos="0" relativeHeight="251825152" behindDoc="0" locked="0" layoutInCell="1" allowOverlap="1">
                <wp:simplePos x="0" y="0"/>
                <wp:positionH relativeFrom="column">
                  <wp:posOffset>4974590</wp:posOffset>
                </wp:positionH>
                <wp:positionV relativeFrom="paragraph">
                  <wp:posOffset>5347970</wp:posOffset>
                </wp:positionV>
                <wp:extent cx="295910" cy="262890"/>
                <wp:effectExtent l="0" t="0" r="0" b="0"/>
                <wp:wrapNone/>
                <wp:docPr id="256" name="文本框 256"/>
                <wp:cNvGraphicFramePr/>
                <a:graphic xmlns:a="http://schemas.openxmlformats.org/drawingml/2006/main">
                  <a:graphicData uri="http://schemas.microsoft.com/office/word/2010/wordprocessingShape">
                    <wps:wsp>
                      <wps:cNvSpPr txBox="1"/>
                      <wps:spPr>
                        <a:xfrm>
                          <a:off x="5973445" y="6389370"/>
                          <a:ext cx="295910" cy="26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8F33E1">
                            <w:pPr>
                              <w:rPr>
                                <w:rFonts w:hint="eastAsia" w:eastAsia="宋体"/>
                                <w:lang w:val="en-US" w:eastAsia="zh-CN"/>
                              </w:rPr>
                            </w:pPr>
                            <w:r>
                              <w:rPr>
                                <w:rFonts w:hint="eastAsia"/>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7pt;margin-top:421.1pt;height:20.7pt;width:23.3pt;z-index:251825152;mso-width-relative:page;mso-height-relative:page;" filled="f" stroked="f" coordsize="21600,21600" o:gfxdata="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PWgwbbAAAACwEAAA8AAAAA&#10;AAAAAQAgAAAAIgAAAGRycy9kb3ducmV2LnhtbFBLAQIUABQAAAAIAIdO4kCh9Xm0SgIAAHUEAAAO&#10;AAAAAAAAAAEAIAAAACoBAABkcnMvZTJvRG9jLnhtbFBLBQYAAAAABgAGAFkBAADmBQAAAAA=&#10;">
                <v:fill on="f" focussize="0,0"/>
                <v:stroke on="f" weight="0.5pt"/>
                <v:imagedata o:title=""/>
                <o:lock v:ext="edit" aspectratio="f"/>
                <v:textbox>
                  <w:txbxContent>
                    <w:p w14:paraId="488F33E1">
                      <w:pPr>
                        <w:rPr>
                          <w:rFonts w:hint="eastAsia" w:eastAsia="宋体"/>
                          <w:lang w:val="en-US" w:eastAsia="zh-CN"/>
                        </w:rPr>
                      </w:pPr>
                      <w:r>
                        <w:rPr>
                          <w:rFonts w:hint="eastAsia"/>
                          <w:lang w:val="en-US" w:eastAsia="zh-CN"/>
                        </w:rPr>
                        <w:t>6</w:t>
                      </w:r>
                    </w:p>
                  </w:txbxContent>
                </v:textbox>
              </v:shape>
            </w:pict>
          </mc:Fallback>
        </mc:AlternateContent>
      </w:r>
      <w:r>
        <w:rPr>
          <w:sz w:val="21"/>
        </w:rPr>
        <mc:AlternateContent>
          <mc:Choice Requires="wps">
            <w:drawing>
              <wp:anchor distT="0" distB="0" distL="114300" distR="114300" simplePos="0" relativeHeight="251824128" behindDoc="0" locked="0" layoutInCell="1" allowOverlap="1">
                <wp:simplePos x="0" y="0"/>
                <wp:positionH relativeFrom="column">
                  <wp:posOffset>4246245</wp:posOffset>
                </wp:positionH>
                <wp:positionV relativeFrom="paragraph">
                  <wp:posOffset>6490970</wp:posOffset>
                </wp:positionV>
                <wp:extent cx="285750" cy="258445"/>
                <wp:effectExtent l="0" t="0" r="0" b="0"/>
                <wp:wrapNone/>
                <wp:docPr id="255" name="文本框 255"/>
                <wp:cNvGraphicFramePr/>
                <a:graphic xmlns:a="http://schemas.openxmlformats.org/drawingml/2006/main">
                  <a:graphicData uri="http://schemas.microsoft.com/office/word/2010/wordprocessingShape">
                    <wps:wsp>
                      <wps:cNvSpPr txBox="1"/>
                      <wps:spPr>
                        <a:xfrm>
                          <a:off x="4728210" y="7117080"/>
                          <a:ext cx="285750"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094F5D">
                            <w:pPr>
                              <w:rPr>
                                <w:rFonts w:hint="eastAsia"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35pt;margin-top:511.1pt;height:20.35pt;width:22.5pt;z-index:251824128;mso-width-relative:page;mso-height-relative:page;" filled="f" stroked="f" coordsize="21600,21600" o:gfxdata="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W0uxNwAAAANAQAADwAAAAAA&#10;AAABACAAAAAiAAAAZHJzL2Rvd25yZXYueG1sUEsBAhQAFAAAAAgAh07iQHXwZ8tIAgAAdQQAAA4A&#10;AAAAAAAAAQAgAAAAKwEAAGRycy9lMm9Eb2MueG1sUEsFBgAAAAAGAAYAWQEAAOUFAAAAAA==&#10;">
                <v:fill on="f" focussize="0,0"/>
                <v:stroke on="f" weight="0.5pt"/>
                <v:imagedata o:title=""/>
                <o:lock v:ext="edit" aspectratio="f"/>
                <v:textbox>
                  <w:txbxContent>
                    <w:p w14:paraId="4D094F5D">
                      <w:pPr>
                        <w:rPr>
                          <w:rFonts w:hint="eastAsia" w:eastAsia="宋体"/>
                          <w:lang w:val="en-US" w:eastAsia="zh-CN"/>
                        </w:rPr>
                      </w:pPr>
                      <w:r>
                        <w:rPr>
                          <w:rFonts w:hint="eastAsia"/>
                          <w:lang w:val="en-US" w:eastAsia="zh-CN"/>
                        </w:rPr>
                        <w:t>5</w:t>
                      </w:r>
                    </w:p>
                  </w:txbxContent>
                </v:textbox>
              </v:shape>
            </w:pict>
          </mc:Fallback>
        </mc:AlternateContent>
      </w:r>
      <w:r>
        <w:rPr>
          <w:sz w:val="21"/>
        </w:rPr>
        <mc:AlternateContent>
          <mc:Choice Requires="wps">
            <w:drawing>
              <wp:anchor distT="0" distB="0" distL="114300" distR="114300" simplePos="0" relativeHeight="251823104" behindDoc="0" locked="0" layoutInCell="1" allowOverlap="1">
                <wp:simplePos x="0" y="0"/>
                <wp:positionH relativeFrom="column">
                  <wp:posOffset>3789680</wp:posOffset>
                </wp:positionH>
                <wp:positionV relativeFrom="paragraph">
                  <wp:posOffset>6647180</wp:posOffset>
                </wp:positionV>
                <wp:extent cx="285750" cy="217805"/>
                <wp:effectExtent l="0" t="0" r="0" b="0"/>
                <wp:wrapNone/>
                <wp:docPr id="254" name="文本框 254"/>
                <wp:cNvGraphicFramePr/>
                <a:graphic xmlns:a="http://schemas.openxmlformats.org/drawingml/2006/main">
                  <a:graphicData uri="http://schemas.microsoft.com/office/word/2010/wordprocessingShape">
                    <wps:wsp>
                      <wps:cNvSpPr txBox="1"/>
                      <wps:spPr>
                        <a:xfrm>
                          <a:off x="5027295" y="7382510"/>
                          <a:ext cx="285750" cy="217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A2FC76">
                            <w:pPr>
                              <w:rPr>
                                <w:rFonts w:hint="eastAsia" w:eastAsia="宋体"/>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4pt;margin-top:523.4pt;height:17.15pt;width:22.5pt;z-index:251823104;mso-width-relative:page;mso-height-relative:page;" filled="f" stroked="f" coordsize="21600,21600" o:gfxdata="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w18p12wAAAA0BAAAPAAAAAAAA&#10;AAEAIAAAACIAAABkcnMvZG93bnJldi54bWxQSwECFAAUAAAACACHTuJAFW7hEkgCAAB1BAAADgAA&#10;AAAAAAABACAAAAAqAQAAZHJzL2Uyb0RvYy54bWxQSwUGAAAAAAYABgBZAQAA5AUAAAAA&#10;">
                <v:fill on="f" focussize="0,0"/>
                <v:stroke on="f" weight="0.5pt"/>
                <v:imagedata o:title=""/>
                <o:lock v:ext="edit" aspectratio="f"/>
                <v:textbox>
                  <w:txbxContent>
                    <w:p w14:paraId="75A2FC76">
                      <w:pPr>
                        <w:rPr>
                          <w:rFonts w:hint="eastAsia" w:eastAsia="宋体"/>
                          <w:lang w:val="en-US" w:eastAsia="zh-CN"/>
                        </w:rPr>
                      </w:pPr>
                      <w:r>
                        <w:rPr>
                          <w:rFonts w:hint="eastAsia"/>
                          <w:lang w:val="en-US" w:eastAsia="zh-CN"/>
                        </w:rPr>
                        <w:t>4</w:t>
                      </w:r>
                    </w:p>
                  </w:txbxContent>
                </v:textbox>
              </v:shape>
            </w:pict>
          </mc:Fallback>
        </mc:AlternateContent>
      </w:r>
      <w:r>
        <w:rPr>
          <w:sz w:val="21"/>
        </w:rPr>
        <mc:AlternateContent>
          <mc:Choice Requires="wps">
            <w:drawing>
              <wp:anchor distT="0" distB="0" distL="114300" distR="114300" simplePos="0" relativeHeight="251822080" behindDoc="0" locked="0" layoutInCell="1" allowOverlap="1">
                <wp:simplePos x="0" y="0"/>
                <wp:positionH relativeFrom="column">
                  <wp:posOffset>3327400</wp:posOffset>
                </wp:positionH>
                <wp:positionV relativeFrom="paragraph">
                  <wp:posOffset>6633845</wp:posOffset>
                </wp:positionV>
                <wp:extent cx="244475" cy="236220"/>
                <wp:effectExtent l="0" t="0" r="0" b="0"/>
                <wp:wrapNone/>
                <wp:docPr id="253" name="文本框 253"/>
                <wp:cNvGraphicFramePr/>
                <a:graphic xmlns:a="http://schemas.openxmlformats.org/drawingml/2006/main">
                  <a:graphicData uri="http://schemas.microsoft.com/office/word/2010/wordprocessingShape">
                    <wps:wsp>
                      <wps:cNvSpPr txBox="1"/>
                      <wps:spPr>
                        <a:xfrm>
                          <a:off x="2884170" y="7579995"/>
                          <a:ext cx="244475"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F8AA4E">
                            <w:pPr>
                              <w:rPr>
                                <w:rFonts w:hint="eastAsia"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pt;margin-top:522.35pt;height:18.6pt;width:19.25pt;z-index:251822080;mso-width-relative:page;mso-height-relative:page;" filled="f" stroked="f" coordsize="21600,21600" o:gfxdata="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ljcU3QAAAA0BAAAP&#10;AAAAAAAAAAEAIAAAACIAAABkcnMvZG93bnJldi54bWxQSwECFAAUAAAACACHTuJAAzhgF0wCAAB1&#10;BAAADgAAAAAAAAABACAAAAAsAQAAZHJzL2Uyb0RvYy54bWxQSwUGAAAAAAYABgBZAQAA6gUAAAAA&#10;">
                <v:fill on="f" focussize="0,0"/>
                <v:stroke on="f" weight="0.5pt"/>
                <v:imagedata o:title=""/>
                <o:lock v:ext="edit" aspectratio="f"/>
                <v:textbox>
                  <w:txbxContent>
                    <w:p w14:paraId="48F8AA4E">
                      <w:pPr>
                        <w:rPr>
                          <w:rFonts w:hint="eastAsia" w:eastAsia="宋体"/>
                          <w:lang w:val="en-US" w:eastAsia="zh-CN"/>
                        </w:rPr>
                      </w:pPr>
                      <w:r>
                        <w:rPr>
                          <w:rFonts w:hint="eastAsia"/>
                          <w:lang w:val="en-US" w:eastAsia="zh-CN"/>
                        </w:rPr>
                        <w:t>3</w:t>
                      </w:r>
                    </w:p>
                  </w:txbxContent>
                </v:textbox>
              </v:shape>
            </w:pict>
          </mc:Fallback>
        </mc:AlternateContent>
      </w:r>
      <w:r>
        <w:rPr>
          <w:sz w:val="21"/>
        </w:rPr>
        <mc:AlternateContent>
          <mc:Choice Requires="wps">
            <w:drawing>
              <wp:anchor distT="0" distB="0" distL="114300" distR="114300" simplePos="0" relativeHeight="251821056" behindDoc="0" locked="0" layoutInCell="1" allowOverlap="1">
                <wp:simplePos x="0" y="0"/>
                <wp:positionH relativeFrom="column">
                  <wp:posOffset>1776095</wp:posOffset>
                </wp:positionH>
                <wp:positionV relativeFrom="paragraph">
                  <wp:posOffset>6246495</wp:posOffset>
                </wp:positionV>
                <wp:extent cx="223520" cy="243205"/>
                <wp:effectExtent l="0" t="0" r="0" b="0"/>
                <wp:wrapNone/>
                <wp:docPr id="252" name="文本框 252"/>
                <wp:cNvGraphicFramePr/>
                <a:graphic xmlns:a="http://schemas.openxmlformats.org/drawingml/2006/main">
                  <a:graphicData uri="http://schemas.microsoft.com/office/word/2010/wordprocessingShape">
                    <wps:wsp>
                      <wps:cNvSpPr txBox="1"/>
                      <wps:spPr>
                        <a:xfrm>
                          <a:off x="2564765" y="7273925"/>
                          <a:ext cx="223520"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054C09">
                            <w:pPr>
                              <w:rPr>
                                <w:rFonts w:hint="eastAsia" w:eastAsia="宋体"/>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85pt;margin-top:491.85pt;height:19.15pt;width:17.6pt;z-index:251821056;mso-width-relative:page;mso-height-relative:page;" filled="f" stroked="f" coordsize="21600,21600" o:gfxdata="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Cy63N0AAAAMAQAADwAA&#10;AAAAAAABACAAAAAiAAAAZHJzL2Rvd25yZXYueG1sUEsBAhQAFAAAAAgAh07iQJMmE+ZKAgAAdQQA&#10;AA4AAAAAAAAAAQAgAAAALAEAAGRycy9lMm9Eb2MueG1sUEsFBgAAAAAGAAYAWQEAAOgFAAAAAA==&#10;">
                <v:fill on="f" focussize="0,0"/>
                <v:stroke on="f" weight="0.5pt"/>
                <v:imagedata o:title=""/>
                <o:lock v:ext="edit" aspectratio="f"/>
                <v:textbox>
                  <w:txbxContent>
                    <w:p w14:paraId="1D054C09">
                      <w:pPr>
                        <w:rPr>
                          <w:rFonts w:hint="eastAsia" w:eastAsia="宋体"/>
                          <w:lang w:val="en-US" w:eastAsia="zh-CN"/>
                        </w:rPr>
                      </w:pPr>
                      <w:r>
                        <w:rPr>
                          <w:rFonts w:hint="eastAsia"/>
                          <w:lang w:val="en-US" w:eastAsia="zh-CN"/>
                        </w:rPr>
                        <w:t>2</w:t>
                      </w:r>
                    </w:p>
                  </w:txbxContent>
                </v:textbox>
              </v:shape>
            </w:pict>
          </mc:Fallback>
        </mc:AlternateContent>
      </w:r>
      <w:r>
        <w:rPr>
          <w:sz w:val="21"/>
        </w:rPr>
        <mc:AlternateContent>
          <mc:Choice Requires="wps">
            <w:drawing>
              <wp:anchor distT="0" distB="0" distL="114300" distR="114300" simplePos="0" relativeHeight="251820032" behindDoc="0" locked="0" layoutInCell="1" allowOverlap="1">
                <wp:simplePos x="0" y="0"/>
                <wp:positionH relativeFrom="column">
                  <wp:posOffset>1987550</wp:posOffset>
                </wp:positionH>
                <wp:positionV relativeFrom="paragraph">
                  <wp:posOffset>5184140</wp:posOffset>
                </wp:positionV>
                <wp:extent cx="360680" cy="217805"/>
                <wp:effectExtent l="0" t="0" r="0" b="0"/>
                <wp:wrapNone/>
                <wp:docPr id="250" name="文本框 250"/>
                <wp:cNvGraphicFramePr/>
                <a:graphic xmlns:a="http://schemas.openxmlformats.org/drawingml/2006/main">
                  <a:graphicData uri="http://schemas.microsoft.com/office/word/2010/wordprocessingShape">
                    <wps:wsp>
                      <wps:cNvSpPr txBox="1"/>
                      <wps:spPr>
                        <a:xfrm>
                          <a:off x="3244850" y="6334760"/>
                          <a:ext cx="360680" cy="217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685775">
                            <w:pP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5pt;margin-top:408.2pt;height:17.15pt;width:28.4pt;z-index:251820032;mso-width-relative:page;mso-height-relative:page;" filled="f" stroked="f" coordsize="21600,21600" o:gfxdata="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eD3IDcAAAACwEAAA8AAAAAAAAAAQAg&#10;AAAAIgAAAGRycy9kb3ducmV2LnhtbFBLAQIUABQAAAAIAIdO4kDBaI3yQwIAAHUEAAAOAAAAAAAA&#10;AAEAIAAAACsBAABkcnMvZTJvRG9jLnhtbFBLBQYAAAAABgAGAFkBAADgBQAAAAA=&#10;">
                <v:fill on="f" focussize="0,0"/>
                <v:stroke on="f" weight="0.5pt"/>
                <v:imagedata o:title=""/>
                <o:lock v:ext="edit" aspectratio="f"/>
                <v:textbox>
                  <w:txbxContent>
                    <w:p w14:paraId="34685775">
                      <w:pPr>
                        <w:rPr>
                          <w:rFonts w:hint="eastAsia" w:eastAsia="宋体"/>
                          <w:lang w:val="en-US" w:eastAsia="zh-CN"/>
                        </w:rPr>
                      </w:pPr>
                      <w:r>
                        <w:rPr>
                          <w:rFonts w:hint="eastAsia"/>
                          <w:lang w:val="en-US" w:eastAsia="zh-CN"/>
                        </w:rPr>
                        <w:t>1</w:t>
                      </w:r>
                    </w:p>
                  </w:txbxContent>
                </v:textbox>
              </v:shape>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1847215</wp:posOffset>
                </wp:positionH>
                <wp:positionV relativeFrom="paragraph">
                  <wp:posOffset>5114290</wp:posOffset>
                </wp:positionV>
                <wp:extent cx="816610" cy="56261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816610" cy="562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671922">
                            <w:pPr>
                              <w:rPr>
                                <w:rFonts w:hint="default" w:eastAsia="宋体"/>
                                <w:lang w:val="en-US" w:eastAsia="zh-CN"/>
                              </w:rPr>
                            </w:pPr>
                            <w:r>
                              <w:rPr>
                                <w:rFonts w:hint="eastAsia"/>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45pt;margin-top:402.7pt;height:44.3pt;width:64.3pt;z-index:251806720;mso-width-relative:page;mso-height-relative:page;" filled="f" stroked="f" coordsize="21600,21600" o:gfxdata="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8LncS2wAAAAsBAAAPAAAAAAAAAAEAIAAAACIAAABk&#10;cnMvZG93bnJldi54bWxQSwECFAAUAAAACACHTuJAYoHMYDwCAABpBAAADgAAAAAAAAABACAAAAAq&#10;AQAAZHJzL2Uyb0RvYy54bWxQSwUGAAAAAAYABgBZAQAA2AUAAAAA&#10;">
                <v:fill on="f" focussize="0,0"/>
                <v:stroke on="f" weight="0.5pt"/>
                <v:imagedata o:title=""/>
                <o:lock v:ext="edit" aspectratio="f"/>
                <v:textbox>
                  <w:txbxContent>
                    <w:p w14:paraId="18671922">
                      <w:pPr>
                        <w:rPr>
                          <w:rFonts w:hint="default" w:eastAsia="宋体"/>
                          <w:lang w:val="en-US" w:eastAsia="zh-CN"/>
                        </w:rPr>
                      </w:pPr>
                      <w:r>
                        <w:rPr>
                          <w:rFonts w:hint="eastAsia"/>
                          <w:lang w:val="en-US" w:eastAsia="zh-CN"/>
                        </w:rPr>
                        <w:t>12</w:t>
                      </w:r>
                    </w:p>
                  </w:txbxContent>
                </v:textbox>
              </v:shape>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1867535</wp:posOffset>
                </wp:positionH>
                <wp:positionV relativeFrom="paragraph">
                  <wp:posOffset>5229860</wp:posOffset>
                </wp:positionV>
                <wp:extent cx="421640" cy="25654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4216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DB41BE">
                            <w:pPr>
                              <w:rPr>
                                <w:rFonts w:hint="default" w:eastAsia="宋体"/>
                                <w:lang w:val="en-US" w:eastAsia="zh-CN"/>
                              </w:rPr>
                            </w:pPr>
                            <w:r>
                              <w:rPr>
                                <w:rFonts w:hint="eastAsia"/>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05pt;margin-top:411.8pt;height:20.2pt;width:33.2pt;z-index:251806720;mso-width-relative:page;mso-height-relative:page;" filled="f" stroked="f" coordsize="21600,21600" o:gfxdata="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&#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3SkTk3AAAAAsBAAAPAAAAAAAAAAEAIAAAACIAAABk&#10;cnMvZG93bnJldi54bWxQSwECFAAUAAAACACHTuJA4CDUATsCAABpBAAADgAAAAAAAAABACAAAAAr&#10;AQAAZHJzL2Uyb0RvYy54bWxQSwUGAAAAAAYABgBZAQAA2AUAAAAA&#10;">
                <v:fill on="f" focussize="0,0"/>
                <v:stroke on="f" weight="0.5pt"/>
                <v:imagedata o:title=""/>
                <o:lock v:ext="edit" aspectratio="f"/>
                <v:textbox>
                  <w:txbxContent>
                    <w:p w14:paraId="4ADB41BE">
                      <w:pPr>
                        <w:rPr>
                          <w:rFonts w:hint="default" w:eastAsia="宋体"/>
                          <w:lang w:val="en-US" w:eastAsia="zh-CN"/>
                        </w:rPr>
                      </w:pPr>
                      <w:r>
                        <w:rPr>
                          <w:rFonts w:hint="eastAsia"/>
                          <w:lang w:val="en-US" w:eastAsia="zh-CN"/>
                        </w:rPr>
                        <w:t>12</w:t>
                      </w:r>
                    </w:p>
                  </w:txbxContent>
                </v:textbox>
              </v:shape>
            </w:pict>
          </mc:Fallback>
        </mc:AlternateContent>
      </w:r>
      <w:r>
        <w:rPr>
          <w:sz w:val="21"/>
        </w:rPr>
        <mc:AlternateContent>
          <mc:Choice Requires="wps">
            <w:drawing>
              <wp:anchor distT="0" distB="0" distL="114300" distR="114300" simplePos="0" relativeHeight="251819008" behindDoc="0" locked="0" layoutInCell="1" allowOverlap="1">
                <wp:simplePos x="0" y="0"/>
                <wp:positionH relativeFrom="column">
                  <wp:posOffset>5457190</wp:posOffset>
                </wp:positionH>
                <wp:positionV relativeFrom="paragraph">
                  <wp:posOffset>5588000</wp:posOffset>
                </wp:positionV>
                <wp:extent cx="421640" cy="256540"/>
                <wp:effectExtent l="0" t="0" r="0" b="0"/>
                <wp:wrapNone/>
                <wp:docPr id="247" name="文本框 247"/>
                <wp:cNvGraphicFramePr/>
                <a:graphic xmlns:a="http://schemas.openxmlformats.org/drawingml/2006/main">
                  <a:graphicData uri="http://schemas.microsoft.com/office/word/2010/wordprocessingShape">
                    <wps:wsp>
                      <wps:cNvSpPr txBox="1"/>
                      <wps:spPr>
                        <a:xfrm>
                          <a:off x="6272530" y="6623050"/>
                          <a:ext cx="4216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5D4B7E">
                            <w:pPr>
                              <w:rPr>
                                <w:rFonts w:hint="default" w:eastAsia="宋体"/>
                                <w:lang w:val="en-US" w:eastAsia="zh-CN"/>
                              </w:rPr>
                            </w:pPr>
                            <w:r>
                              <w:rPr>
                                <w:rFonts w:hint="eastAsia"/>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7pt;margin-top:440pt;height:20.2pt;width:33.2pt;z-index:251819008;mso-width-relative:page;mso-height-relative:page;" filled="f" stroked="f" coordsize="21600,21600" o:gfxdata="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m9Fji9oAAAALAQAADwAAAAAAAAABACAA&#10;AAAiAAAAZHJzL2Rvd25yZXYueG1sUEsBAhQAFAAAAAgAh07iQHKMrblEAgAAdQQAAA4AAAAAAAAA&#10;AQAgAAAAKQEAAGRycy9lMm9Eb2MueG1sUEsFBgAAAAAGAAYAWQEAAN8FAAAAAA==&#10;">
                <v:fill on="f" focussize="0,0"/>
                <v:stroke on="f" weight="0.5pt"/>
                <v:imagedata o:title=""/>
                <o:lock v:ext="edit" aspectratio="f"/>
                <v:textbox>
                  <w:txbxContent>
                    <w:p w14:paraId="755D4B7E">
                      <w:pPr>
                        <w:rPr>
                          <w:rFonts w:hint="default" w:eastAsia="宋体"/>
                          <w:lang w:val="en-US" w:eastAsia="zh-CN"/>
                        </w:rPr>
                      </w:pPr>
                      <w:r>
                        <w:rPr>
                          <w:rFonts w:hint="eastAsia"/>
                          <w:lang w:val="en-US" w:eastAsia="zh-CN"/>
                        </w:rPr>
                        <w:t>12</w:t>
                      </w:r>
                    </w:p>
                  </w:txbxContent>
                </v:textbox>
              </v:shape>
            </w:pict>
          </mc:Fallback>
        </mc:AlternateContent>
      </w:r>
      <w:r>
        <w:rPr>
          <w:sz w:val="21"/>
        </w:rPr>
        <mc:AlternateContent>
          <mc:Choice Requires="wps">
            <w:drawing>
              <wp:anchor distT="0" distB="0" distL="114300" distR="114300" simplePos="0" relativeHeight="251817984" behindDoc="0" locked="0" layoutInCell="1" allowOverlap="1">
                <wp:simplePos x="0" y="0"/>
                <wp:positionH relativeFrom="column">
                  <wp:posOffset>2865120</wp:posOffset>
                </wp:positionH>
                <wp:positionV relativeFrom="paragraph">
                  <wp:posOffset>3515995</wp:posOffset>
                </wp:positionV>
                <wp:extent cx="2966085" cy="1013460"/>
                <wp:effectExtent l="1905" t="5715" r="3810" b="9525"/>
                <wp:wrapNone/>
                <wp:docPr id="246" name="直接连接符 246"/>
                <wp:cNvGraphicFramePr/>
                <a:graphic xmlns:a="http://schemas.openxmlformats.org/drawingml/2006/main">
                  <a:graphicData uri="http://schemas.microsoft.com/office/word/2010/wordprocessingShape">
                    <wps:wsp>
                      <wps:cNvCnPr/>
                      <wps:spPr>
                        <a:xfrm flipH="1" flipV="1">
                          <a:off x="3585210" y="4509770"/>
                          <a:ext cx="2966085" cy="101346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25.6pt;margin-top:276.85pt;height:79.8pt;width:233.55pt;z-index:251817984;mso-width-relative:page;mso-height-relative:page;" filled="f" stroked="t" coordsize="21600,21600" o:gfxdata="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BUSJ9gAAAALAQAADwAAAAAAAAABACAA&#10;AAAiAAAAZHJzL2Rvd25yZXYueG1sUEsBAhQAFAAAAAgAh07iQFC0HrsNAgAA3AMAAA4AAAAAAAAA&#10;AQAgAAAAJwEAAGRycy9lMm9Eb2MueG1sUEsFBgAAAAAGAAYAWQEAAKYFAAAAAA==&#10;">
                <v:fill on="f" focussize="0,0"/>
                <v:stroke weight="1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816960" behindDoc="0" locked="0" layoutInCell="1" allowOverlap="1">
                <wp:simplePos x="0" y="0"/>
                <wp:positionH relativeFrom="column">
                  <wp:posOffset>1388745</wp:posOffset>
                </wp:positionH>
                <wp:positionV relativeFrom="paragraph">
                  <wp:posOffset>3515995</wp:posOffset>
                </wp:positionV>
                <wp:extent cx="1463040" cy="1007110"/>
                <wp:effectExtent l="3810" t="5080" r="19050" b="16510"/>
                <wp:wrapNone/>
                <wp:docPr id="245" name="直接连接符 245"/>
                <wp:cNvGraphicFramePr/>
                <a:graphic xmlns:a="http://schemas.openxmlformats.org/drawingml/2006/main">
                  <a:graphicData uri="http://schemas.microsoft.com/office/word/2010/wordprocessingShape">
                    <wps:wsp>
                      <wps:cNvCnPr/>
                      <wps:spPr>
                        <a:xfrm flipV="1">
                          <a:off x="2013585" y="4509770"/>
                          <a:ext cx="1463040" cy="100711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09.35pt;margin-top:276.85pt;height:79.3pt;width:115.2pt;z-index:251816960;mso-width-relative:page;mso-height-relative:page;" filled="f" stroked="t" coordsize="21600,21600" o:gfxdata="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&#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6bFDG1wAAAAsBAAAPAAAAAAAAAAEAIAAAACIAAABk&#10;cnMvZG93bnJldi54bWxQSwECFAAUAAAACACHTuJA7wdSPQcCAADSAwAADgAAAAAAAAABACAAAAAm&#10;AQAAZHJzL2Uyb0RvYy54bWxQSwUGAAAAAAYABgBZAQAAnwUAAAAA&#10;">
                <v:fill on="f" focussize="0,0"/>
                <v:stroke weight="1pt" color="#5B9BD5 [3204]" miterlimit="8" joinstyle="miter"/>
                <v:imagedata o:title=""/>
                <o:lock v:ext="edit" aspectratio="f"/>
              </v:line>
            </w:pict>
          </mc:Fallback>
        </mc:AlternateContent>
      </w:r>
      <w:r>
        <w:rPr>
          <w:rFonts w:hint="default" w:ascii="Times New Roman" w:hAnsi="Times New Roman" w:eastAsia="宋体" w:cs="Times New Roman"/>
          <w:lang w:val="en-US" w:eastAsia="zh-CN"/>
        </w:rPr>
        <w:drawing>
          <wp:anchor distT="0" distB="0" distL="114300" distR="114300" simplePos="0" relativeHeight="251815936" behindDoc="0" locked="0" layoutInCell="1" allowOverlap="1">
            <wp:simplePos x="0" y="0"/>
            <wp:positionH relativeFrom="column">
              <wp:posOffset>1341755</wp:posOffset>
            </wp:positionH>
            <wp:positionV relativeFrom="paragraph">
              <wp:posOffset>4500880</wp:posOffset>
            </wp:positionV>
            <wp:extent cx="4566285" cy="3231515"/>
            <wp:effectExtent l="0" t="0" r="5715" b="6985"/>
            <wp:wrapNone/>
            <wp:docPr id="244" name="图片 244" descr="ef79c618e72b4a9aedb12a749c3a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ef79c618e72b4a9aedb12a749c3a878"/>
                    <pic:cNvPicPr>
                      <a:picLocks noChangeAspect="1"/>
                    </pic:cNvPicPr>
                  </pic:nvPicPr>
                  <pic:blipFill>
                    <a:blip r:embed="rId73"/>
                    <a:stretch>
                      <a:fillRect/>
                    </a:stretch>
                  </pic:blipFill>
                  <pic:spPr>
                    <a:xfrm>
                      <a:off x="0" y="0"/>
                      <a:ext cx="4566285" cy="3231515"/>
                    </a:xfrm>
                    <a:prstGeom prst="rect">
                      <a:avLst/>
                    </a:prstGeom>
                  </pic:spPr>
                </pic:pic>
              </a:graphicData>
            </a:graphic>
          </wp:anchor>
        </w:drawing>
      </w:r>
      <w:r>
        <w:rPr>
          <w:rFonts w:hint="default" w:ascii="Times New Roman" w:hAnsi="Times New Roman" w:eastAsia="宋体" w:cs="Times New Roman"/>
          <w:lang w:val="en-US" w:eastAsia="zh-CN"/>
        </w:rPr>
        <w:drawing>
          <wp:inline distT="0" distB="0" distL="114300" distR="114300">
            <wp:extent cx="6108065" cy="8651240"/>
            <wp:effectExtent l="0" t="0" r="6985" b="16510"/>
            <wp:docPr id="128" name="图片 128" descr="淄博市国土空间总体规划2021-203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淄博市国土空间总体规划2021-2035 (2)"/>
                    <pic:cNvPicPr>
                      <a:picLocks noChangeAspect="1"/>
                    </pic:cNvPicPr>
                  </pic:nvPicPr>
                  <pic:blipFill>
                    <a:blip r:embed="rId74"/>
                    <a:stretch>
                      <a:fillRect/>
                    </a:stretch>
                  </pic:blipFill>
                  <pic:spPr>
                    <a:xfrm>
                      <a:off x="0" y="0"/>
                      <a:ext cx="6108065" cy="8651240"/>
                    </a:xfrm>
                    <a:prstGeom prst="rect">
                      <a:avLst/>
                    </a:prstGeom>
                  </pic:spPr>
                </pic:pic>
              </a:graphicData>
            </a:graphic>
          </wp:inline>
        </w:drawing>
      </w:r>
    </w:p>
    <w:p w14:paraId="292C3EA4">
      <w:pPr>
        <w:rPr>
          <w:rFonts w:hint="default" w:ascii="Times New Roman" w:hAnsi="Times New Roman" w:eastAsia="宋体" w:cs="Times New Roman"/>
          <w:sz w:val="13"/>
          <w:szCs w:val="13"/>
        </w:rPr>
      </w:pPr>
      <w:r>
        <w:rPr>
          <w:rFonts w:hint="default" w:ascii="Times New Roman" w:hAnsi="Times New Roman" w:eastAsia="宋体" w:cs="Times New Roman"/>
          <w:b/>
          <w:bCs/>
          <w:sz w:val="13"/>
          <w:szCs w:val="13"/>
          <w:lang w:val="en-US" w:eastAsia="zh-CN"/>
        </w:rPr>
        <w:t>备注：其中“1~</w:t>
      </w:r>
      <w:r>
        <w:rPr>
          <w:rFonts w:hint="eastAsia" w:cs="Times New Roman"/>
          <w:b/>
          <w:bCs/>
          <w:sz w:val="13"/>
          <w:szCs w:val="13"/>
          <w:lang w:val="en-US" w:eastAsia="zh-CN"/>
        </w:rPr>
        <w:t>13</w:t>
      </w:r>
      <w:r>
        <w:rPr>
          <w:rFonts w:hint="default" w:ascii="Times New Roman" w:hAnsi="Times New Roman" w:eastAsia="宋体" w:cs="Times New Roman"/>
          <w:b/>
          <w:bCs/>
          <w:sz w:val="13"/>
          <w:szCs w:val="13"/>
          <w:lang w:val="en-US" w:eastAsia="zh-CN"/>
        </w:rPr>
        <w:t>”分别为白蛇沟、焕然河、瓦村沟、暖水河、漫泗河、涝淄河</w:t>
      </w:r>
      <w:r>
        <w:rPr>
          <w:rFonts w:hint="eastAsia" w:cs="Times New Roman"/>
          <w:b/>
          <w:bCs/>
          <w:sz w:val="13"/>
          <w:szCs w:val="13"/>
          <w:lang w:val="en-US" w:eastAsia="zh-CN"/>
        </w:rPr>
        <w:t>、东猪龙河西支、东猪龙河东支</w:t>
      </w:r>
      <w:r>
        <w:rPr>
          <w:rFonts w:hint="default" w:ascii="Times New Roman" w:hAnsi="Times New Roman" w:eastAsia="宋体" w:cs="Times New Roman"/>
          <w:b/>
          <w:bCs/>
          <w:sz w:val="13"/>
          <w:szCs w:val="13"/>
          <w:lang w:val="en-US" w:eastAsia="zh-CN"/>
        </w:rPr>
        <w:t>位置</w:t>
      </w:r>
      <w:r>
        <w:rPr>
          <w:rFonts w:hint="eastAsia" w:cs="Times New Roman"/>
          <w:b/>
          <w:bCs/>
          <w:sz w:val="13"/>
          <w:szCs w:val="13"/>
          <w:lang w:val="en-US" w:eastAsia="zh-CN"/>
        </w:rPr>
        <w:t>、袁家河、天津路排涝沟、小旦村排涝沟、大高村排涝沟、三泉沟</w:t>
      </w:r>
      <w:r>
        <w:rPr>
          <w:rFonts w:hint="default" w:ascii="Times New Roman" w:hAnsi="Times New Roman" w:eastAsia="宋体" w:cs="Times New Roman"/>
          <w:b/>
          <w:bCs/>
          <w:sz w:val="13"/>
          <w:szCs w:val="13"/>
          <w:lang w:val="en-US" w:eastAsia="zh-CN"/>
        </w:rPr>
        <w:t>。</w:t>
      </w:r>
    </w:p>
    <w:p w14:paraId="79E9B597">
      <w:pPr>
        <w:jc w:val="left"/>
        <w:rPr>
          <w:rFonts w:hint="default" w:ascii="Times New Roman" w:hAnsi="Times New Roman" w:eastAsia="宋体" w:cs="Times New Roman"/>
          <w:sz w:val="13"/>
          <w:szCs w:val="13"/>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linePitch="312" w:charSpace="0"/>
        </w:sectPr>
      </w:pPr>
    </w:p>
    <w:p w14:paraId="0D7E14A7">
      <w:pPr>
        <w:pStyle w:val="42"/>
        <w:ind w:left="0" w:leftChars="0" w:firstLine="0" w:firstLineChars="0"/>
        <w:jc w:val="left"/>
        <w:rPr>
          <w:rFonts w:hint="default" w:ascii="Times New Roman" w:hAnsi="Times New Roman" w:eastAsia="宋体" w:cs="Times New Roman"/>
          <w:b/>
          <w:bCs w:val="0"/>
          <w:kern w:val="0"/>
          <w:sz w:val="24"/>
          <w:szCs w:val="24"/>
          <w:highlight w:val="none"/>
          <w:lang w:val="en-US" w:eastAsia="zh-CN" w:bidi="ar-SA"/>
        </w:rPr>
      </w:pPr>
      <w:r>
        <w:rPr>
          <w:rFonts w:hint="default" w:ascii="Times New Roman" w:hAnsi="Times New Roman" w:eastAsia="宋体" w:cs="Times New Roman"/>
          <w:b/>
          <w:bCs w:val="0"/>
          <w:kern w:val="0"/>
          <w:sz w:val="24"/>
          <w:szCs w:val="24"/>
          <w:highlight w:val="none"/>
          <w:lang w:val="en-US" w:eastAsia="zh-CN" w:bidi="ar-SA"/>
        </w:rPr>
        <w:t>附图4 淄博市环境管控单元分类图</w:t>
      </w:r>
    </w:p>
    <w:p w14:paraId="3DFAB09E">
      <w:pPr>
        <w:pStyle w:val="19"/>
        <w:ind w:left="0" w:leftChars="0" w:firstLine="0" w:firstLineChars="0"/>
        <w:jc w:val="both"/>
        <w:rPr>
          <w:rFonts w:hint="eastAsia" w:ascii="Times New Roman" w:hAnsi="Times New Roman" w:eastAsia="宋体" w:cs="Times New Roman"/>
          <w:color w:val="000000"/>
          <w:sz w:val="32"/>
          <w:szCs w:val="32"/>
          <w:lang w:eastAsia="zh-CN"/>
        </w:rPr>
      </w:pPr>
      <w:r>
        <w:rPr>
          <w:sz w:val="21"/>
        </w:rPr>
        <mc:AlternateContent>
          <mc:Choice Requires="wps">
            <w:drawing>
              <wp:anchor distT="0" distB="0" distL="114300" distR="114300" simplePos="0" relativeHeight="251889664" behindDoc="0" locked="0" layoutInCell="1" allowOverlap="1">
                <wp:simplePos x="0" y="0"/>
                <wp:positionH relativeFrom="column">
                  <wp:posOffset>5046980</wp:posOffset>
                </wp:positionH>
                <wp:positionV relativeFrom="paragraph">
                  <wp:posOffset>5692140</wp:posOffset>
                </wp:positionV>
                <wp:extent cx="421640" cy="25654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4216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9C3CD2">
                            <w:pPr>
                              <w:rPr>
                                <w:rFonts w:hint="default" w:eastAsia="宋体"/>
                                <w:lang w:val="en-US" w:eastAsia="zh-CN"/>
                              </w:rPr>
                            </w:pPr>
                            <w:r>
                              <w:rPr>
                                <w:rFonts w:hint="eastAsia"/>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4pt;margin-top:448.2pt;height:20.2pt;width:33.2pt;z-index:251889664;mso-width-relative:page;mso-height-relative:page;" filled="f" stroked="f" coordsize="21600,21600" o:gfxdata="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&#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JhyQ3AAAAAsBAAAPAAAAAAAAAAEAIAAAACIAAABk&#10;cnMvZG93bnJldi54bWxQSwECFAAUAAAACACHTuJA+yKayzsCAABpBAAADgAAAAAAAAABACAAAAAr&#10;AQAAZHJzL2Uyb0RvYy54bWxQSwUGAAAAAAYABgBZAQAA2AUAAAAA&#10;">
                <v:fill on="f" focussize="0,0"/>
                <v:stroke on="f" weight="0.5pt"/>
                <v:imagedata o:title=""/>
                <o:lock v:ext="edit" aspectratio="f"/>
                <v:textbox>
                  <w:txbxContent>
                    <w:p w14:paraId="309C3CD2">
                      <w:pPr>
                        <w:rPr>
                          <w:rFonts w:hint="default" w:eastAsia="宋体"/>
                          <w:lang w:val="en-US" w:eastAsia="zh-CN"/>
                        </w:rPr>
                      </w:pPr>
                      <w:r>
                        <w:rPr>
                          <w:rFonts w:hint="eastAsia"/>
                          <w:lang w:val="en-US" w:eastAsia="zh-CN"/>
                        </w:rPr>
                        <w:t>12</w:t>
                      </w:r>
                    </w:p>
                  </w:txbxContent>
                </v:textbox>
              </v:shape>
            </w:pict>
          </mc:Fallback>
        </mc:AlternateContent>
      </w:r>
      <w:r>
        <w:rPr>
          <w:sz w:val="21"/>
        </w:rPr>
        <mc:AlternateContent>
          <mc:Choice Requires="wps">
            <w:drawing>
              <wp:anchor distT="0" distB="0" distL="114300" distR="114300" simplePos="0" relativeHeight="251888640" behindDoc="0" locked="0" layoutInCell="1" allowOverlap="1">
                <wp:simplePos x="0" y="0"/>
                <wp:positionH relativeFrom="column">
                  <wp:posOffset>4835525</wp:posOffset>
                </wp:positionH>
                <wp:positionV relativeFrom="paragraph">
                  <wp:posOffset>5518150</wp:posOffset>
                </wp:positionV>
                <wp:extent cx="295910" cy="26289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295910" cy="26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F59828">
                            <w:pPr>
                              <w:rPr>
                                <w:rFonts w:hint="eastAsia" w:eastAsia="宋体"/>
                                <w:lang w:val="en-US" w:eastAsia="zh-CN"/>
                              </w:rPr>
                            </w:pPr>
                            <w:r>
                              <w:rPr>
                                <w:rFonts w:hint="eastAsia"/>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75pt;margin-top:434.5pt;height:20.7pt;width:23.3pt;z-index:251888640;mso-width-relative:page;mso-height-relative:page;" filled="f" stroked="f" coordsize="21600,21600" o:gfxdata="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ssPTDcAAAACwEAAA8AAAAAAAAAAQAgAAAAIgAA&#10;AGRycy9kb3ducmV2LnhtbFBLAQIUABQAAAAIAIdO4kDyuD/dPQIAAGkEAAAOAAAAAAAAAAEAIAAA&#10;ACsBAABkcnMvZTJvRG9jLnhtbFBLBQYAAAAABgAGAFkBAADaBQAAAAA=&#10;">
                <v:fill on="f" focussize="0,0"/>
                <v:stroke on="f" weight="0.5pt"/>
                <v:imagedata o:title=""/>
                <o:lock v:ext="edit" aspectratio="f"/>
                <v:textbox>
                  <w:txbxContent>
                    <w:p w14:paraId="4CF59828">
                      <w:pPr>
                        <w:rPr>
                          <w:rFonts w:hint="eastAsia" w:eastAsia="宋体"/>
                          <w:lang w:val="en-US" w:eastAsia="zh-CN"/>
                        </w:rPr>
                      </w:pPr>
                      <w:r>
                        <w:rPr>
                          <w:rFonts w:hint="eastAsia"/>
                          <w:lang w:val="en-US" w:eastAsia="zh-CN"/>
                        </w:rPr>
                        <w:t>6</w:t>
                      </w:r>
                    </w:p>
                  </w:txbxContent>
                </v:textbox>
              </v:shape>
            </w:pict>
          </mc:Fallback>
        </mc:AlternateContent>
      </w:r>
      <w:r>
        <w:rPr>
          <w:sz w:val="21"/>
        </w:rPr>
        <mc:AlternateContent>
          <mc:Choice Requires="wps">
            <w:drawing>
              <wp:anchor distT="0" distB="0" distL="114300" distR="114300" simplePos="0" relativeHeight="251886592" behindDoc="0" locked="0" layoutInCell="1" allowOverlap="1">
                <wp:simplePos x="0" y="0"/>
                <wp:positionH relativeFrom="column">
                  <wp:posOffset>4340860</wp:posOffset>
                </wp:positionH>
                <wp:positionV relativeFrom="paragraph">
                  <wp:posOffset>6010275</wp:posOffset>
                </wp:positionV>
                <wp:extent cx="292100" cy="28956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292100" cy="289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4E3324">
                            <w:pPr>
                              <w:rPr>
                                <w:rFonts w:hint="eastAsia" w:eastAsia="宋体"/>
                                <w:lang w:val="en-US" w:eastAsia="zh-CN"/>
                              </w:rPr>
                            </w:pPr>
                            <w:r>
                              <w:rPr>
                                <w:rFonts w:hint="eastAsia"/>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8pt;margin-top:473.25pt;height:22.8pt;width:23pt;z-index:251886592;mso-width-relative:page;mso-height-relative:page;" filled="f" stroked="f" coordsize="21600,21600" o:gfxdata="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sqq62wAAAAsBAAAPAAAAAAAAAAEAIAAAACIAAABk&#10;cnMvZG93bnJldi54bWxQSwECFAAUAAAACACHTuJA1nQ8gDwCAABpBAAADgAAAAAAAAABACAAAAAq&#10;AQAAZHJzL2Uyb0RvYy54bWxQSwUGAAAAAAYABgBZAQAA2AUAAAAA&#10;">
                <v:fill on="f" focussize="0,0"/>
                <v:stroke on="f" weight="0.5pt"/>
                <v:imagedata o:title=""/>
                <o:lock v:ext="edit" aspectratio="f"/>
                <v:textbox>
                  <w:txbxContent>
                    <w:p w14:paraId="084E3324">
                      <w:pPr>
                        <w:rPr>
                          <w:rFonts w:hint="eastAsia" w:eastAsia="宋体"/>
                          <w:lang w:val="en-US" w:eastAsia="zh-CN"/>
                        </w:rPr>
                      </w:pPr>
                      <w:r>
                        <w:rPr>
                          <w:rFonts w:hint="eastAsia"/>
                          <w:lang w:val="en-US" w:eastAsia="zh-CN"/>
                        </w:rPr>
                        <w:t>7</w:t>
                      </w:r>
                    </w:p>
                  </w:txbxContent>
                </v:textbox>
              </v:shape>
            </w:pict>
          </mc:Fallback>
        </mc:AlternateContent>
      </w:r>
      <w:r>
        <w:rPr>
          <w:sz w:val="21"/>
        </w:rPr>
        <mc:AlternateContent>
          <mc:Choice Requires="wps">
            <w:drawing>
              <wp:anchor distT="0" distB="0" distL="114300" distR="114300" simplePos="0" relativeHeight="251883520" behindDoc="0" locked="0" layoutInCell="1" allowOverlap="1">
                <wp:simplePos x="0" y="0"/>
                <wp:positionH relativeFrom="column">
                  <wp:posOffset>3789680</wp:posOffset>
                </wp:positionH>
                <wp:positionV relativeFrom="paragraph">
                  <wp:posOffset>6569075</wp:posOffset>
                </wp:positionV>
                <wp:extent cx="285750" cy="313055"/>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285750" cy="313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88982A">
                            <w:pPr>
                              <w:rPr>
                                <w:rFonts w:hint="eastAsia" w:eastAsia="宋体"/>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4pt;margin-top:517.25pt;height:24.65pt;width:22.5pt;z-index:251883520;mso-width-relative:page;mso-height-relative:page;" filled="f" stroked="f" coordsize="21600,21600" o:gfxdata="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&#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siMWfcAAAADQEAAA8AAAAAAAAAAQAgAAAAIgAAAGRy&#10;cy9kb3ducmV2LnhtbFBLAQIUABQAAAAIAIdO4kC5dYiQOgIAAGkEAAAOAAAAAAAAAAEAIAAAACsB&#10;AABkcnMvZTJvRG9jLnhtbFBLBQYAAAAABgAGAFkBAADXBQAAAAA=&#10;">
                <v:fill on="f" focussize="0,0"/>
                <v:stroke on="f" weight="0.5pt"/>
                <v:imagedata o:title=""/>
                <o:lock v:ext="edit" aspectratio="f"/>
                <v:textbox>
                  <w:txbxContent>
                    <w:p w14:paraId="5788982A">
                      <w:pPr>
                        <w:rPr>
                          <w:rFonts w:hint="eastAsia" w:eastAsia="宋体"/>
                          <w:lang w:val="en-US" w:eastAsia="zh-CN"/>
                        </w:rPr>
                      </w:pPr>
                      <w:r>
                        <w:rPr>
                          <w:rFonts w:hint="eastAsia"/>
                          <w:lang w:val="en-US" w:eastAsia="zh-CN"/>
                        </w:rPr>
                        <w:t>4</w:t>
                      </w:r>
                    </w:p>
                  </w:txbxContent>
                </v:textbox>
              </v:shape>
            </w:pict>
          </mc:Fallback>
        </mc:AlternateContent>
      </w:r>
      <w:r>
        <w:rPr>
          <w:sz w:val="21"/>
        </w:rPr>
        <mc:AlternateContent>
          <mc:Choice Requires="wps">
            <w:drawing>
              <wp:anchor distT="0" distB="0" distL="114300" distR="114300" simplePos="0" relativeHeight="251880448" behindDoc="0" locked="0" layoutInCell="1" allowOverlap="1">
                <wp:simplePos x="0" y="0"/>
                <wp:positionH relativeFrom="column">
                  <wp:posOffset>2729230</wp:posOffset>
                </wp:positionH>
                <wp:positionV relativeFrom="paragraph">
                  <wp:posOffset>6334125</wp:posOffset>
                </wp:positionV>
                <wp:extent cx="353695" cy="26987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353695"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EC15E0">
                            <w:pPr>
                              <w:rPr>
                                <w:rFonts w:hint="default" w:eastAsia="宋体"/>
                                <w:lang w:val="en-US" w:eastAsia="zh-CN"/>
                              </w:rPr>
                            </w:pPr>
                            <w:r>
                              <w:rPr>
                                <w:rFonts w:hint="eastAsia"/>
                                <w:lang w:val="en-US" w:eastAsia="zh-CN"/>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9pt;margin-top:498.75pt;height:21.25pt;width:27.85pt;z-index:251880448;mso-width-relative:page;mso-height-relative:page;" filled="f" stroked="f" coordsize="21600,21600" o:gfxdata="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kB8I9wAAAAMAQAADwAAAAAAAAABACAAAAAiAAAA&#10;ZHJzL2Rvd25yZXYueG1sUEsBAhQAFAAAAAgAh07iQCL89/U8AgAAaQQAAA4AAAAAAAAAAQAgAAAA&#10;KwEAAGRycy9lMm9Eb2MueG1sUEsFBgAAAAAGAAYAWQEAANkFAAAAAA==&#10;">
                <v:fill on="f" focussize="0,0"/>
                <v:stroke on="f" weight="0.5pt"/>
                <v:imagedata o:title=""/>
                <o:lock v:ext="edit" aspectratio="f"/>
                <v:textbox>
                  <w:txbxContent>
                    <w:p w14:paraId="62EC15E0">
                      <w:pPr>
                        <w:rPr>
                          <w:rFonts w:hint="default" w:eastAsia="宋体"/>
                          <w:lang w:val="en-US" w:eastAsia="zh-CN"/>
                        </w:rPr>
                      </w:pPr>
                      <w:r>
                        <w:rPr>
                          <w:rFonts w:hint="eastAsia"/>
                          <w:lang w:val="en-US" w:eastAsia="zh-CN"/>
                        </w:rPr>
                        <w:t>10</w:t>
                      </w:r>
                    </w:p>
                  </w:txbxContent>
                </v:textbox>
              </v:shape>
            </w:pict>
          </mc:Fallback>
        </mc:AlternateContent>
      </w:r>
      <w:r>
        <w:rPr>
          <w:sz w:val="21"/>
        </w:rPr>
        <mc:AlternateContent>
          <mc:Choice Requires="wps">
            <w:drawing>
              <wp:anchor distT="0" distB="0" distL="114300" distR="114300" simplePos="0" relativeHeight="251878400" behindDoc="0" locked="0" layoutInCell="1" allowOverlap="1">
                <wp:simplePos x="0" y="0"/>
                <wp:positionH relativeFrom="column">
                  <wp:posOffset>2142490</wp:posOffset>
                </wp:positionH>
                <wp:positionV relativeFrom="paragraph">
                  <wp:posOffset>6189980</wp:posOffset>
                </wp:positionV>
                <wp:extent cx="223520" cy="24320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223520"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70BFC5">
                            <w:pPr>
                              <w:rPr>
                                <w:rFonts w:hint="eastAsia" w:eastAsia="宋体"/>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7pt;margin-top:487.4pt;height:19.15pt;width:17.6pt;z-index:251878400;mso-width-relative:page;mso-height-relative:page;" filled="f" stroked="f" coordsize="21600,21600" o:gfxdata="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&#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BgjIdwAAAAMAQAADwAAAAAAAAABACAAAAAiAAAA&#10;ZHJzL2Rvd25yZXYueG1sUEsBAhQAFAAAAAgAh07iQPhAKMo8AgAAaQQAAA4AAAAAAAAAAQAgAAAA&#10;KwEAAGRycy9lMm9Eb2MueG1sUEsFBgAAAAAGAAYAWQEAANkFAAAAAA==&#10;">
                <v:fill on="f" focussize="0,0"/>
                <v:stroke on="f" weight="0.5pt"/>
                <v:imagedata o:title=""/>
                <o:lock v:ext="edit" aspectratio="f"/>
                <v:textbox>
                  <w:txbxContent>
                    <w:p w14:paraId="1C70BFC5">
                      <w:pPr>
                        <w:rPr>
                          <w:rFonts w:hint="eastAsia" w:eastAsia="宋体"/>
                          <w:lang w:val="en-US" w:eastAsia="zh-CN"/>
                        </w:rPr>
                      </w:pPr>
                      <w:r>
                        <w:rPr>
                          <w:rFonts w:hint="eastAsia"/>
                          <w:lang w:val="en-US" w:eastAsia="zh-CN"/>
                        </w:rPr>
                        <w:t>2</w:t>
                      </w:r>
                    </w:p>
                  </w:txbxContent>
                </v:textbox>
              </v:shape>
            </w:pict>
          </mc:Fallback>
        </mc:AlternateContent>
      </w:r>
      <w:r>
        <w:rPr>
          <w:sz w:val="21"/>
        </w:rPr>
        <mc:AlternateContent>
          <mc:Choice Requires="wps">
            <w:drawing>
              <wp:anchor distT="0" distB="0" distL="114300" distR="114300" simplePos="0" relativeHeight="251879424" behindDoc="0" locked="0" layoutInCell="1" allowOverlap="1">
                <wp:simplePos x="0" y="0"/>
                <wp:positionH relativeFrom="column">
                  <wp:posOffset>2391410</wp:posOffset>
                </wp:positionH>
                <wp:positionV relativeFrom="paragraph">
                  <wp:posOffset>6570345</wp:posOffset>
                </wp:positionV>
                <wp:extent cx="234315" cy="25717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23431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FC255B">
                            <w:pPr>
                              <w:rPr>
                                <w:rFonts w:hint="eastAsia" w:eastAsia="宋体"/>
                                <w:lang w:val="en-US" w:eastAsia="zh-CN"/>
                              </w:rPr>
                            </w:pPr>
                            <w:r>
                              <w:rPr>
                                <w:rFonts w:hint="eastAsia"/>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3pt;margin-top:517.35pt;height:20.25pt;width:18.45pt;z-index:251879424;mso-width-relative:page;mso-height-relative:page;" filled="f" stroked="f" coordsize="21600,21600" o:gfxdata="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&#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yDHsPdAAAADQEAAA8AAAAAAAAAAQAgAAAAIgAA&#10;AGRycy9kb3ducmV2LnhtbFBLAQIUABQAAAAIAIdO4kCPZwKPPAIAAGkEAAAOAAAAAAAAAAEAIAAA&#10;ACwBAABkcnMvZTJvRG9jLnhtbFBLBQYAAAAABgAGAFkBAADaBQAAAAA=&#10;">
                <v:fill on="f" focussize="0,0"/>
                <v:stroke on="f" weight="0.5pt"/>
                <v:imagedata o:title=""/>
                <o:lock v:ext="edit" aspectratio="f"/>
                <v:textbox>
                  <w:txbxContent>
                    <w:p w14:paraId="5FFC255B">
                      <w:pPr>
                        <w:rPr>
                          <w:rFonts w:hint="eastAsia" w:eastAsia="宋体"/>
                          <w:lang w:val="en-US" w:eastAsia="zh-CN"/>
                        </w:rPr>
                      </w:pPr>
                      <w:r>
                        <w:rPr>
                          <w:rFonts w:hint="eastAsia"/>
                          <w:lang w:val="en-US" w:eastAsia="zh-CN"/>
                        </w:rPr>
                        <w:t>9</w:t>
                      </w:r>
                    </w:p>
                  </w:txbxContent>
                </v:textbox>
              </v:shape>
            </w:pict>
          </mc:Fallback>
        </mc:AlternateContent>
      </w:r>
      <w:r>
        <w:rPr>
          <w:sz w:val="21"/>
        </w:rPr>
        <mc:AlternateContent>
          <mc:Choice Requires="wps">
            <w:drawing>
              <wp:anchor distT="0" distB="0" distL="114300" distR="114300" simplePos="0" relativeHeight="251877376" behindDoc="0" locked="0" layoutInCell="1" allowOverlap="1">
                <wp:simplePos x="0" y="0"/>
                <wp:positionH relativeFrom="column">
                  <wp:posOffset>2237105</wp:posOffset>
                </wp:positionH>
                <wp:positionV relativeFrom="paragraph">
                  <wp:posOffset>5428615</wp:posOffset>
                </wp:positionV>
                <wp:extent cx="273685" cy="28384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273685"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7FEC5D">
                            <w:pPr>
                              <w:rPr>
                                <w:rFonts w:hint="eastAsia" w:eastAsia="宋体"/>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15pt;margin-top:427.45pt;height:22.35pt;width:21.55pt;z-index:251877376;mso-width-relative:page;mso-height-relative:page;" filled="f" stroked="f" coordsize="21600,21600" o:gfxdata="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7Cw+vcAAAACwEAAA8AAAAAAAAAAQAgAAAAIgAA&#10;AGRycy9kb3ducmV2LnhtbFBLAQIUABQAAAAIAIdO4kDkVW9SPQIAAGkEAAAOAAAAAAAAAAEAIAAA&#10;ACsBAABkcnMvZTJvRG9jLnhtbFBLBQYAAAAABgAGAFkBAADaBQAAAAA=&#10;">
                <v:fill on="f" focussize="0,0"/>
                <v:stroke on="f" weight="0.5pt"/>
                <v:imagedata o:title=""/>
                <o:lock v:ext="edit" aspectratio="f"/>
                <v:textbox>
                  <w:txbxContent>
                    <w:p w14:paraId="6F7FEC5D">
                      <w:pPr>
                        <w:rPr>
                          <w:rFonts w:hint="eastAsia" w:eastAsia="宋体"/>
                          <w:lang w:val="en-US" w:eastAsia="zh-CN"/>
                        </w:rPr>
                      </w:pPr>
                      <w:r>
                        <w:rPr>
                          <w:rFonts w:hint="eastAsia"/>
                          <w:lang w:val="en-US" w:eastAsia="zh-CN"/>
                        </w:rPr>
                        <w:t>1</w:t>
                      </w:r>
                    </w:p>
                  </w:txbxContent>
                </v:textbox>
              </v:shape>
            </w:pict>
          </mc:Fallback>
        </mc:AlternateContent>
      </w:r>
      <w:r>
        <w:rPr>
          <w:sz w:val="21"/>
        </w:rPr>
        <mc:AlternateContent>
          <mc:Choice Requires="wps">
            <w:drawing>
              <wp:anchor distT="0" distB="0" distL="114300" distR="114300" simplePos="0" relativeHeight="251881472" behindDoc="0" locked="0" layoutInCell="1" allowOverlap="1">
                <wp:simplePos x="0" y="0"/>
                <wp:positionH relativeFrom="column">
                  <wp:posOffset>3312795</wp:posOffset>
                </wp:positionH>
                <wp:positionV relativeFrom="paragraph">
                  <wp:posOffset>6416675</wp:posOffset>
                </wp:positionV>
                <wp:extent cx="244475" cy="23622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244475"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3BEE31">
                            <w:pPr>
                              <w:rPr>
                                <w:rFonts w:hint="eastAsia"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85pt;margin-top:505.25pt;height:18.6pt;width:19.25pt;z-index:251881472;mso-width-relative:page;mso-height-relative:page;" filled="f" stroked="f" coordsize="21600,21600" o:gfxdata="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xIuI3AAAAA0BAAAPAAAAAAAAAAEAIAAAACIA&#10;AABkcnMvZG93bnJldi54bWxQSwECFAAUAAAACACHTuJAAICpEz4CAABpBAAADgAAAAAAAAABACAA&#10;AAArAQAAZHJzL2Uyb0RvYy54bWxQSwUGAAAAAAYABgBZAQAA2wUAAAAA&#10;">
                <v:fill on="f" focussize="0,0"/>
                <v:stroke on="f" weight="0.5pt"/>
                <v:imagedata o:title=""/>
                <o:lock v:ext="edit" aspectratio="f"/>
                <v:textbox>
                  <w:txbxContent>
                    <w:p w14:paraId="013BEE31">
                      <w:pPr>
                        <w:rPr>
                          <w:rFonts w:hint="eastAsia" w:eastAsia="宋体"/>
                          <w:lang w:val="en-US" w:eastAsia="zh-CN"/>
                        </w:rPr>
                      </w:pPr>
                      <w:r>
                        <w:rPr>
                          <w:rFonts w:hint="eastAsia"/>
                          <w:lang w:val="en-US" w:eastAsia="zh-CN"/>
                        </w:rPr>
                        <w:t>3</w:t>
                      </w:r>
                    </w:p>
                  </w:txbxContent>
                </v:textbox>
              </v:shape>
            </w:pict>
          </mc:Fallback>
        </mc:AlternateContent>
      </w:r>
      <w:r>
        <w:rPr>
          <w:rFonts w:hint="eastAsia" w:ascii="Times New Roman" w:hAnsi="Times New Roman" w:eastAsia="宋体" w:cs="Times New Roman"/>
          <w:color w:val="000000"/>
          <w:sz w:val="32"/>
          <w:szCs w:val="32"/>
          <w:lang w:eastAsia="zh-CN"/>
        </w:rPr>
        <w:drawing>
          <wp:anchor distT="0" distB="0" distL="114300" distR="114300" simplePos="0" relativeHeight="251874304" behindDoc="0" locked="0" layoutInCell="1" allowOverlap="1">
            <wp:simplePos x="0" y="0"/>
            <wp:positionH relativeFrom="column">
              <wp:posOffset>1898650</wp:posOffset>
            </wp:positionH>
            <wp:positionV relativeFrom="paragraph">
              <wp:posOffset>4921250</wp:posOffset>
            </wp:positionV>
            <wp:extent cx="3467735" cy="2443480"/>
            <wp:effectExtent l="0" t="0" r="18415" b="13970"/>
            <wp:wrapNone/>
            <wp:docPr id="143" name="图片 143" descr="42946691c8d320109fa9830c8cc9b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42946691c8d320109fa9830c8cc9b4f"/>
                    <pic:cNvPicPr>
                      <a:picLocks noChangeAspect="1"/>
                    </pic:cNvPicPr>
                  </pic:nvPicPr>
                  <pic:blipFill>
                    <a:blip r:embed="rId75"/>
                    <a:stretch>
                      <a:fillRect/>
                    </a:stretch>
                  </pic:blipFill>
                  <pic:spPr>
                    <a:xfrm>
                      <a:off x="0" y="0"/>
                      <a:ext cx="3467735" cy="2443480"/>
                    </a:xfrm>
                    <a:prstGeom prst="rect">
                      <a:avLst/>
                    </a:prstGeom>
                  </pic:spPr>
                </pic:pic>
              </a:graphicData>
            </a:graphic>
          </wp:anchor>
        </w:drawing>
      </w:r>
      <w:r>
        <w:rPr>
          <w:sz w:val="21"/>
        </w:rPr>
        <mc:AlternateContent>
          <mc:Choice Requires="wps">
            <w:drawing>
              <wp:anchor distT="0" distB="0" distL="114300" distR="114300" simplePos="0" relativeHeight="251868160" behindDoc="0" locked="0" layoutInCell="1" allowOverlap="1">
                <wp:simplePos x="0" y="0"/>
                <wp:positionH relativeFrom="column">
                  <wp:posOffset>3238500</wp:posOffset>
                </wp:positionH>
                <wp:positionV relativeFrom="paragraph">
                  <wp:posOffset>6817360</wp:posOffset>
                </wp:positionV>
                <wp:extent cx="446405" cy="36449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446405" cy="3644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B19364">
                            <w:pPr>
                              <w:rPr>
                                <w:rFonts w:hint="eastAsia" w:eastAsia="宋体"/>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536.8pt;height:28.7pt;width:35.15pt;z-index:251868160;mso-width-relative:page;mso-height-relative:page;" filled="f" stroked="f" coordsize="21600,21600" o:gfxdata="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TJVSp3AAAAA0BAAAPAAAAAAAAAAEAIAAAACIA&#10;AABkcnMvZG93bnJldi54bWxQSwECFAAUAAAACACHTuJAkTIw7j4CAABpBAAADgAAAAAAAAABACAA&#10;AAArAQAAZHJzL2Uyb0RvYy54bWxQSwUGAAAAAAYABgBZAQAA2wUAAAAA&#10;">
                <v:fill on="f" focussize="0,0"/>
                <v:stroke on="f" weight="0.5pt"/>
                <v:imagedata o:title=""/>
                <o:lock v:ext="edit" aspectratio="f"/>
                <v:textbox>
                  <w:txbxContent>
                    <w:p w14:paraId="26B19364">
                      <w:pPr>
                        <w:rPr>
                          <w:rFonts w:hint="eastAsia" w:eastAsia="宋体"/>
                          <w:lang w:val="en-US" w:eastAsia="zh-CN"/>
                        </w:rPr>
                      </w:pPr>
                      <w:r>
                        <w:rPr>
                          <w:rFonts w:hint="eastAsia"/>
                          <w:lang w:val="en-US" w:eastAsia="zh-CN"/>
                        </w:rPr>
                        <w:t>4</w:t>
                      </w:r>
                    </w:p>
                  </w:txbxContent>
                </v:textbox>
              </v:shape>
            </w:pict>
          </mc:Fallback>
        </mc:AlternateContent>
      </w:r>
      <w:r>
        <w:rPr>
          <w:sz w:val="21"/>
        </w:rPr>
        <mc:AlternateContent>
          <mc:Choice Requires="wps">
            <w:drawing>
              <wp:anchor distT="0" distB="0" distL="114300" distR="114300" simplePos="0" relativeHeight="251882496" behindDoc="0" locked="0" layoutInCell="1" allowOverlap="1">
                <wp:simplePos x="0" y="0"/>
                <wp:positionH relativeFrom="column">
                  <wp:posOffset>3537585</wp:posOffset>
                </wp:positionH>
                <wp:positionV relativeFrom="paragraph">
                  <wp:posOffset>6080125</wp:posOffset>
                </wp:positionV>
                <wp:extent cx="387985" cy="324485"/>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387985"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976F77">
                            <w:pPr>
                              <w:rPr>
                                <w:rFonts w:hint="default" w:eastAsia="宋体"/>
                                <w:lang w:val="en-US" w:eastAsia="zh-CN"/>
                              </w:rPr>
                            </w:pPr>
                            <w:r>
                              <w:rPr>
                                <w:rFonts w:hint="eastAsia"/>
                                <w:lang w:val="en-US" w:eastAsia="zh-CN"/>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55pt;margin-top:478.75pt;height:25.55pt;width:30.55pt;z-index:251882496;mso-width-relative:page;mso-height-relative:page;" filled="f" stroked="f" coordsize="21600,21600" o:gfxdata="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A7MbNwAAAAMAQAADwAAAAAAAAABACAAAAAiAAAA&#10;ZHJzL2Rvd25yZXYueG1sUEsBAhQAFAAAAAgAh07iQCWP3sY8AgAAaQQAAA4AAAAAAAAAAQAgAAAA&#10;KwEAAGRycy9lMm9Eb2MueG1sUEsFBgAAAAAGAAYAWQEAANkFAAAAAA==&#10;">
                <v:fill on="f" focussize="0,0"/>
                <v:stroke on="f" weight="0.5pt"/>
                <v:imagedata o:title=""/>
                <o:lock v:ext="edit" aspectratio="f"/>
                <v:textbox>
                  <w:txbxContent>
                    <w:p w14:paraId="01976F77">
                      <w:pPr>
                        <w:rPr>
                          <w:rFonts w:hint="default" w:eastAsia="宋体"/>
                          <w:lang w:val="en-US" w:eastAsia="zh-CN"/>
                        </w:rPr>
                      </w:pPr>
                      <w:r>
                        <w:rPr>
                          <w:rFonts w:hint="eastAsia"/>
                          <w:lang w:val="en-US" w:eastAsia="zh-CN"/>
                        </w:rPr>
                        <w:t>13</w:t>
                      </w:r>
                    </w:p>
                  </w:txbxContent>
                </v:textbox>
              </v:shape>
            </w:pict>
          </mc:Fallback>
        </mc:AlternateContent>
      </w:r>
      <w:r>
        <w:rPr>
          <w:sz w:val="21"/>
        </w:rPr>
        <mc:AlternateContent>
          <mc:Choice Requires="wps">
            <w:drawing>
              <wp:anchor distT="0" distB="0" distL="114300" distR="114300" simplePos="0" relativeHeight="251885568" behindDoc="0" locked="0" layoutInCell="1" allowOverlap="1">
                <wp:simplePos x="0" y="0"/>
                <wp:positionH relativeFrom="column">
                  <wp:posOffset>4128770</wp:posOffset>
                </wp:positionH>
                <wp:positionV relativeFrom="paragraph">
                  <wp:posOffset>6507480</wp:posOffset>
                </wp:positionV>
                <wp:extent cx="285750" cy="258445"/>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285750"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729FC9">
                            <w:pPr>
                              <w:rPr>
                                <w:rFonts w:hint="eastAsia"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1pt;margin-top:512.4pt;height:20.35pt;width:22.5pt;z-index:251885568;mso-width-relative:page;mso-height-relative:page;" filled="f" stroked="f" coordsize="21600,21600" o:gfxdata="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Yk+YyNsAAAANAQAADwAAAAAAAAABACAAAAAiAAAAZHJz&#10;L2Rvd25yZXYueG1sUEsBAhQAFAAAAAgAh07iQIvLzyo6AgAAaQQAAA4AAAAAAAAAAQAgAAAAKgEA&#10;AGRycy9lMm9Eb2MueG1sUEsFBgAAAAAGAAYAWQEAANYFAAAAAA==&#10;">
                <v:fill on="f" focussize="0,0"/>
                <v:stroke on="f" weight="0.5pt"/>
                <v:imagedata o:title=""/>
                <o:lock v:ext="edit" aspectratio="f"/>
                <v:textbox>
                  <w:txbxContent>
                    <w:p w14:paraId="35729FC9">
                      <w:pPr>
                        <w:rPr>
                          <w:rFonts w:hint="eastAsia" w:eastAsia="宋体"/>
                          <w:lang w:val="en-US" w:eastAsia="zh-CN"/>
                        </w:rPr>
                      </w:pPr>
                      <w:r>
                        <w:rPr>
                          <w:rFonts w:hint="eastAsia"/>
                          <w:lang w:val="en-US" w:eastAsia="zh-CN"/>
                        </w:rPr>
                        <w:t>5</w:t>
                      </w:r>
                    </w:p>
                  </w:txbxContent>
                </v:textbox>
              </v:shape>
            </w:pict>
          </mc:Fallback>
        </mc:AlternateContent>
      </w:r>
      <w:r>
        <w:rPr>
          <w:sz w:val="21"/>
        </w:rPr>
        <mc:AlternateContent>
          <mc:Choice Requires="wps">
            <w:drawing>
              <wp:anchor distT="0" distB="0" distL="114300" distR="114300" simplePos="0" relativeHeight="251884544" behindDoc="0" locked="0" layoutInCell="1" allowOverlap="1">
                <wp:simplePos x="0" y="0"/>
                <wp:positionH relativeFrom="column">
                  <wp:posOffset>3888105</wp:posOffset>
                </wp:positionH>
                <wp:positionV relativeFrom="paragraph">
                  <wp:posOffset>6544310</wp:posOffset>
                </wp:positionV>
                <wp:extent cx="390525" cy="29718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39052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5E7436">
                            <w:pPr>
                              <w:rPr>
                                <w:rFonts w:hint="default" w:eastAsia="宋体"/>
                                <w:lang w:val="en-US" w:eastAsia="zh-CN"/>
                              </w:rPr>
                            </w:pPr>
                            <w:r>
                              <w:rPr>
                                <w:rFonts w:hint="eastAsia"/>
                                <w:lang w:val="en-US" w:eastAsia="zh-CN"/>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15pt;margin-top:515.3pt;height:23.4pt;width:30.75pt;z-index:251884544;mso-width-relative:page;mso-height-relative:page;" filled="f" stroked="f" coordsize="21600,21600" o:gfxdata="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2qoXHdwAAAANAQAADwAAAAAAAAABACAAAAAi&#10;AAAAZHJzL2Rvd25yZXYueG1sUEsBAhQAFAAAAAgAh07iQLGd9Ro/AgAAaQQAAA4AAAAAAAAAAQAg&#10;AAAAKwEAAGRycy9lMm9Eb2MueG1sUEsFBgAAAAAGAAYAWQEAANwFAAAAAA==&#10;">
                <v:fill on="f" focussize="0,0"/>
                <v:stroke on="f" weight="0.5pt"/>
                <v:imagedata o:title=""/>
                <o:lock v:ext="edit" aspectratio="f"/>
                <v:textbox>
                  <w:txbxContent>
                    <w:p w14:paraId="3B5E7436">
                      <w:pPr>
                        <w:rPr>
                          <w:rFonts w:hint="default" w:eastAsia="宋体"/>
                          <w:lang w:val="en-US" w:eastAsia="zh-CN"/>
                        </w:rPr>
                      </w:pPr>
                      <w:r>
                        <w:rPr>
                          <w:rFonts w:hint="eastAsia"/>
                          <w:lang w:val="en-US" w:eastAsia="zh-CN"/>
                        </w:rPr>
                        <w:t>11</w:t>
                      </w:r>
                    </w:p>
                  </w:txbxContent>
                </v:textbox>
              </v:shape>
            </w:pict>
          </mc:Fallback>
        </mc:AlternateContent>
      </w:r>
      <w:r>
        <w:rPr>
          <w:sz w:val="21"/>
        </w:rPr>
        <mc:AlternateContent>
          <mc:Choice Requires="wps">
            <w:drawing>
              <wp:anchor distT="0" distB="0" distL="114300" distR="114300" simplePos="0" relativeHeight="251887616" behindDoc="0" locked="0" layoutInCell="1" allowOverlap="1">
                <wp:simplePos x="0" y="0"/>
                <wp:positionH relativeFrom="column">
                  <wp:posOffset>4215765</wp:posOffset>
                </wp:positionH>
                <wp:positionV relativeFrom="paragraph">
                  <wp:posOffset>5619750</wp:posOffset>
                </wp:positionV>
                <wp:extent cx="329565" cy="274955"/>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3295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2A8D18">
                            <w:pPr>
                              <w:rPr>
                                <w:rFonts w:hint="eastAsia" w:eastAsia="宋体"/>
                                <w:lang w:val="en-US" w:eastAsia="zh-CN"/>
                              </w:rPr>
                            </w:pPr>
                            <w:r>
                              <w:rPr>
                                <w:rFonts w:hint="eastAsia"/>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95pt;margin-top:442.5pt;height:21.65pt;width:25.95pt;z-index:251887616;mso-width-relative:page;mso-height-relative:page;" filled="f" stroked="f" coordsize="21600,21600" o:gfxdata="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&#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tJn9HcAAAACwEAAA8AAAAAAAAAAQAgAAAAIgAA&#10;AGRycy9kb3ducmV2LnhtbFBLAQIUABQAAAAIAIdO4kC5iLhWPQIAAGkEAAAOAAAAAAAAAAEAIAAA&#10;ACsBAABkcnMvZTJvRG9jLnhtbFBLBQYAAAAABgAGAFkBAADaBQAAAAA=&#10;">
                <v:fill on="f" focussize="0,0"/>
                <v:stroke on="f" weight="0.5pt"/>
                <v:imagedata o:title=""/>
                <o:lock v:ext="edit" aspectratio="f"/>
                <v:textbox>
                  <w:txbxContent>
                    <w:p w14:paraId="572A8D18">
                      <w:pPr>
                        <w:rPr>
                          <w:rFonts w:hint="eastAsia" w:eastAsia="宋体"/>
                          <w:lang w:val="en-US" w:eastAsia="zh-CN"/>
                        </w:rPr>
                      </w:pPr>
                      <w:r>
                        <w:rPr>
                          <w:rFonts w:hint="eastAsia"/>
                          <w:lang w:val="en-US" w:eastAsia="zh-CN"/>
                        </w:rPr>
                        <w:t>8</w:t>
                      </w:r>
                    </w:p>
                  </w:txbxContent>
                </v:textbox>
              </v:shape>
            </w:pict>
          </mc:Fallback>
        </mc:AlternateContent>
      </w:r>
      <w:r>
        <w:rPr>
          <w:sz w:val="32"/>
        </w:rPr>
        <mc:AlternateContent>
          <mc:Choice Requires="wps">
            <w:drawing>
              <wp:anchor distT="0" distB="0" distL="114300" distR="114300" simplePos="0" relativeHeight="251876352" behindDoc="0" locked="0" layoutInCell="1" allowOverlap="1">
                <wp:simplePos x="0" y="0"/>
                <wp:positionH relativeFrom="column">
                  <wp:posOffset>2946400</wp:posOffset>
                </wp:positionH>
                <wp:positionV relativeFrom="paragraph">
                  <wp:posOffset>3403600</wp:posOffset>
                </wp:positionV>
                <wp:extent cx="2425065" cy="1569720"/>
                <wp:effectExtent l="3175" t="5080" r="10160" b="6350"/>
                <wp:wrapNone/>
                <wp:docPr id="154" name="直接连接符 154"/>
                <wp:cNvGraphicFramePr/>
                <a:graphic xmlns:a="http://schemas.openxmlformats.org/drawingml/2006/main">
                  <a:graphicData uri="http://schemas.microsoft.com/office/word/2010/wordprocessingShape">
                    <wps:wsp>
                      <wps:cNvCnPr/>
                      <wps:spPr>
                        <a:xfrm flipH="1" flipV="1">
                          <a:off x="3834765" y="4460240"/>
                          <a:ext cx="2425065" cy="156972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32pt;margin-top:268pt;height:123.6pt;width:190.95pt;z-index:251876352;mso-width-relative:page;mso-height-relative:page;" filled="f" stroked="t" coordsize="21600,21600" o:gfxdata="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TgE0t2QAAAAsBAAAPAAAAAAAAAAEAIAAA&#10;ACIAAABkcnMvZG93bnJldi54bWxQSwECFAAUAAAACACHTuJAwVbPSwsCAADcAwAADgAAAAAAAAAB&#10;ACAAAAAoAQAAZHJzL2Uyb0RvYy54bWxQSwUGAAAAAAYABgBZAQAApQUAAAAA&#10;">
                <v:fill on="f" focussize="0,0"/>
                <v:stroke weight="1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51875328" behindDoc="0" locked="0" layoutInCell="1" allowOverlap="1">
                <wp:simplePos x="0" y="0"/>
                <wp:positionH relativeFrom="column">
                  <wp:posOffset>1920240</wp:posOffset>
                </wp:positionH>
                <wp:positionV relativeFrom="paragraph">
                  <wp:posOffset>3418205</wp:posOffset>
                </wp:positionV>
                <wp:extent cx="923290" cy="1569720"/>
                <wp:effectExtent l="5715" t="3175" r="23495" b="8255"/>
                <wp:wrapNone/>
                <wp:docPr id="155" name="直接连接符 155"/>
                <wp:cNvGraphicFramePr/>
                <a:graphic xmlns:a="http://schemas.openxmlformats.org/drawingml/2006/main">
                  <a:graphicData uri="http://schemas.microsoft.com/office/word/2010/wordprocessingShape">
                    <wps:wsp>
                      <wps:cNvCnPr/>
                      <wps:spPr>
                        <a:xfrm flipV="1">
                          <a:off x="2926080" y="4445635"/>
                          <a:ext cx="923290" cy="156972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51.2pt;margin-top:269.15pt;height:123.6pt;width:72.7pt;z-index:251875328;mso-width-relative:page;mso-height-relative:page;" filled="f" stroked="t" coordsize="21600,21600" o:gfxdata="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9rHG1wAAAAsBAAAPAAAAAAAAAAEAIAAAACIAAABk&#10;cnMvZG93bnJldi54bWxQSwECFAAUAAAACACHTuJAGPVjkQcCAADRAwAADgAAAAAAAAABACAAAAAm&#10;AQAAZHJzL2Uyb0RvYy54bWxQSwUGAAAAAAYABgBZAQAAnwUAAAAA&#10;">
                <v:fill on="f" focussize="0,0"/>
                <v:stroke weight="1pt" color="#5B9BD5 [3204]" miterlimit="8" joinstyle="miter"/>
                <v:imagedata o:title=""/>
                <o:lock v:ext="edit" aspectratio="f"/>
              </v:line>
            </w:pict>
          </mc:Fallback>
        </mc:AlternateContent>
      </w:r>
      <w:r>
        <w:rPr>
          <w:rFonts w:hint="eastAsia"/>
        </w:rPr>
        <w:drawing>
          <wp:anchor distT="0" distB="0" distL="0" distR="0" simplePos="0" relativeHeight="251873280" behindDoc="0" locked="0" layoutInCell="1" allowOverlap="1">
            <wp:simplePos x="0" y="0"/>
            <wp:positionH relativeFrom="column">
              <wp:posOffset>806450</wp:posOffset>
            </wp:positionH>
            <wp:positionV relativeFrom="paragraph">
              <wp:posOffset>2673985</wp:posOffset>
            </wp:positionV>
            <wp:extent cx="880745" cy="459740"/>
            <wp:effectExtent l="0" t="0" r="0" b="16510"/>
            <wp:wrapNone/>
            <wp:docPr id="1270938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38101" name="图片 1"/>
                    <pic:cNvPicPr>
                      <a:picLocks noChangeAspect="1" noChangeArrowheads="1"/>
                    </pic:cNvPicPr>
                  </pic:nvPicPr>
                  <pic:blipFill>
                    <a:blip r:embed="rId76" cstate="print">
                      <a:clrChange>
                        <a:clrFrom>
                          <a:srgbClr val="F0F0F0"/>
                        </a:clrFrom>
                        <a:clrTo>
                          <a:srgbClr val="F0F0F0">
                            <a:alpha val="0"/>
                          </a:srgbClr>
                        </a:clrTo>
                      </a:clrChange>
                      <a:extLst>
                        <a:ext uri="{28A0092B-C50C-407E-A947-70E740481C1C}">
                          <a14:useLocalDpi xmlns:a14="http://schemas.microsoft.com/office/drawing/2010/main" val="0"/>
                        </a:ext>
                      </a:extLst>
                    </a:blip>
                    <a:srcRect l="12110" t="20629" r="4356" b="21081"/>
                    <a:stretch>
                      <a:fillRect/>
                    </a:stretch>
                  </pic:blipFill>
                  <pic:spPr>
                    <a:xfrm>
                      <a:off x="0" y="0"/>
                      <a:ext cx="880745" cy="459740"/>
                    </a:xfrm>
                    <a:prstGeom prst="rect">
                      <a:avLst/>
                    </a:prstGeom>
                    <a:noFill/>
                    <a:ln>
                      <a:noFill/>
                    </a:ln>
                  </pic:spPr>
                </pic:pic>
              </a:graphicData>
            </a:graphic>
          </wp:anchor>
        </w:drawing>
      </w:r>
      <w:r>
        <w:rPr>
          <w:rFonts w:hint="default" w:ascii="Times New Roman" w:hAnsi="Times New Roman" w:eastAsia="宋体" w:cs="Times New Roman"/>
          <w:color w:val="000000"/>
          <w:sz w:val="32"/>
          <w:szCs w:val="32"/>
          <w:lang w:eastAsia="zh-CN"/>
        </w:rPr>
        <w:drawing>
          <wp:inline distT="0" distB="0" distL="114300" distR="114300">
            <wp:extent cx="5381625" cy="7620000"/>
            <wp:effectExtent l="0" t="0" r="9525" b="0"/>
            <wp:docPr id="156" name="图片 156" descr="微信图片_2023050508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微信图片_20230505084356"/>
                    <pic:cNvPicPr>
                      <a:picLocks noChangeAspect="1"/>
                    </pic:cNvPicPr>
                  </pic:nvPicPr>
                  <pic:blipFill>
                    <a:blip r:embed="rId77">
                      <a:lum contrast="6000"/>
                    </a:blip>
                    <a:stretch>
                      <a:fillRect/>
                    </a:stretch>
                  </pic:blipFill>
                  <pic:spPr>
                    <a:xfrm>
                      <a:off x="0" y="0"/>
                      <a:ext cx="5381625" cy="7620000"/>
                    </a:xfrm>
                    <a:prstGeom prst="rect">
                      <a:avLst/>
                    </a:prstGeom>
                    <a:noFill/>
                    <a:ln>
                      <a:noFill/>
                    </a:ln>
                  </pic:spPr>
                </pic:pic>
              </a:graphicData>
            </a:graphic>
          </wp:inline>
        </w:drawing>
      </w:r>
    </w:p>
    <w:p w14:paraId="7C4D2694">
      <w:pPr>
        <w:jc w:val="left"/>
        <w:rPr>
          <w:rFonts w:hint="default" w:ascii="Times New Roman" w:hAnsi="Times New Roman" w:eastAsia="宋体" w:cs="Times New Roman"/>
          <w:b/>
          <w:bCs/>
          <w:lang w:val="en-US" w:eastAsia="zh-CN"/>
        </w:rPr>
      </w:pPr>
      <w:r>
        <w:rPr>
          <w:rFonts w:hint="default" w:ascii="Times New Roman" w:hAnsi="Times New Roman" w:eastAsia="宋体" w:cs="Times New Roman"/>
          <w:b/>
          <w:bCs/>
          <w:sz w:val="13"/>
          <w:szCs w:val="13"/>
          <w:lang w:val="en-US" w:eastAsia="zh-CN"/>
        </w:rPr>
        <w:t>备注：其中“1~</w:t>
      </w:r>
      <w:r>
        <w:rPr>
          <w:rFonts w:hint="eastAsia" w:cs="Times New Roman"/>
          <w:b/>
          <w:bCs/>
          <w:sz w:val="13"/>
          <w:szCs w:val="13"/>
          <w:lang w:val="en-US" w:eastAsia="zh-CN"/>
        </w:rPr>
        <w:t>13</w:t>
      </w:r>
      <w:r>
        <w:rPr>
          <w:rFonts w:hint="default" w:ascii="Times New Roman" w:hAnsi="Times New Roman" w:eastAsia="宋体" w:cs="Times New Roman"/>
          <w:b/>
          <w:bCs/>
          <w:sz w:val="13"/>
          <w:szCs w:val="13"/>
          <w:lang w:val="en-US" w:eastAsia="zh-CN"/>
        </w:rPr>
        <w:t>”分别为白蛇沟、焕然河、瓦村沟、暖水河、漫泗河、涝淄河</w:t>
      </w:r>
      <w:r>
        <w:rPr>
          <w:rFonts w:hint="eastAsia" w:cs="Times New Roman"/>
          <w:b/>
          <w:bCs/>
          <w:sz w:val="13"/>
          <w:szCs w:val="13"/>
          <w:lang w:val="en-US" w:eastAsia="zh-CN"/>
        </w:rPr>
        <w:t>、东猪龙河西支、东猪龙河东支</w:t>
      </w:r>
      <w:r>
        <w:rPr>
          <w:rFonts w:hint="default" w:ascii="Times New Roman" w:hAnsi="Times New Roman" w:eastAsia="宋体" w:cs="Times New Roman"/>
          <w:b/>
          <w:bCs/>
          <w:sz w:val="13"/>
          <w:szCs w:val="13"/>
          <w:lang w:val="en-US" w:eastAsia="zh-CN"/>
        </w:rPr>
        <w:t>位置</w:t>
      </w:r>
      <w:r>
        <w:rPr>
          <w:rFonts w:hint="eastAsia" w:cs="Times New Roman"/>
          <w:b/>
          <w:bCs/>
          <w:sz w:val="13"/>
          <w:szCs w:val="13"/>
          <w:lang w:val="en-US" w:eastAsia="zh-CN"/>
        </w:rPr>
        <w:t>、袁家河、天津路排涝沟、小旦村排涝沟、大高村排涝沟、三泉沟</w:t>
      </w:r>
      <w:r>
        <w:rPr>
          <w:rFonts w:hint="default" w:ascii="Times New Roman" w:hAnsi="Times New Roman" w:eastAsia="宋体" w:cs="Times New Roman"/>
          <w:b/>
          <w:bCs/>
          <w:sz w:val="13"/>
          <w:szCs w:val="13"/>
          <w:lang w:val="en-US" w:eastAsia="zh-CN"/>
        </w:rPr>
        <w:t>。</w:t>
      </w:r>
    </w:p>
    <w:p w14:paraId="3E68B494">
      <w:pPr>
        <w:rPr>
          <w:rFonts w:hint="default" w:ascii="Times New Roman" w:hAnsi="Times New Roman" w:eastAsia="宋体" w:cs="Times New Roman"/>
        </w:rPr>
        <w:sectPr>
          <w:pgSz w:w="11906" w:h="16838"/>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59767379">
      <w:pPr>
        <w:pStyle w:val="42"/>
        <w:ind w:left="0" w:leftChars="0" w:firstLine="0" w:firstLineChars="0"/>
        <w:jc w:val="left"/>
        <w:rPr>
          <w:rFonts w:hint="eastAsia" w:cs="Times New Roman"/>
          <w:b/>
          <w:bCs w:val="0"/>
          <w:kern w:val="0"/>
          <w:sz w:val="24"/>
          <w:szCs w:val="24"/>
          <w:highlight w:val="none"/>
          <w:lang w:val="en-US" w:eastAsia="zh-CN" w:bidi="ar-SA"/>
        </w:rPr>
      </w:pPr>
      <w:r>
        <w:rPr>
          <w:rFonts w:hint="default"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5</w:t>
      </w:r>
      <w:r>
        <w:rPr>
          <w:rFonts w:hint="default" w:ascii="Times New Roman" w:hAnsi="Times New Roman" w:eastAsia="宋体" w:cs="Times New Roman"/>
          <w:b/>
          <w:bCs w:val="0"/>
          <w:kern w:val="0"/>
          <w:sz w:val="24"/>
          <w:szCs w:val="24"/>
          <w:highlight w:val="none"/>
          <w:lang w:val="en-US" w:eastAsia="zh-CN" w:bidi="ar-SA"/>
        </w:rPr>
        <w:t xml:space="preserve"> </w:t>
      </w:r>
      <w:r>
        <w:rPr>
          <w:rFonts w:hint="eastAsia" w:cs="Times New Roman"/>
          <w:b/>
          <w:bCs w:val="0"/>
          <w:kern w:val="0"/>
          <w:sz w:val="24"/>
          <w:szCs w:val="24"/>
          <w:highlight w:val="none"/>
          <w:lang w:val="en-US" w:eastAsia="zh-CN" w:bidi="ar-SA"/>
        </w:rPr>
        <w:t>淄博市市域主体功能分区图</w:t>
      </w:r>
    </w:p>
    <w:p w14:paraId="1A601D4B">
      <w:pPr>
        <w:pStyle w:val="42"/>
        <w:ind w:left="0" w:leftChars="0" w:firstLine="0" w:firstLineChars="0"/>
        <w:jc w:val="left"/>
        <w:rPr>
          <w:rFonts w:hint="default" w:cs="Times New Roman"/>
          <w:b/>
          <w:bCs w:val="0"/>
          <w:kern w:val="0"/>
          <w:sz w:val="24"/>
          <w:szCs w:val="24"/>
          <w:highlight w:val="none"/>
          <w:lang w:val="en-US" w:eastAsia="zh-CN" w:bidi="ar-SA"/>
        </w:rPr>
      </w:pPr>
      <w:r>
        <w:drawing>
          <wp:inline distT="0" distB="0" distL="114300" distR="114300">
            <wp:extent cx="6112510" cy="8657590"/>
            <wp:effectExtent l="0" t="0" r="2540" b="10160"/>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pic:cNvPicPr>
                  </pic:nvPicPr>
                  <pic:blipFill>
                    <a:blip r:embed="rId78"/>
                    <a:stretch>
                      <a:fillRect/>
                    </a:stretch>
                  </pic:blipFill>
                  <pic:spPr>
                    <a:xfrm>
                      <a:off x="0" y="0"/>
                      <a:ext cx="6112510" cy="8657590"/>
                    </a:xfrm>
                    <a:prstGeom prst="rect">
                      <a:avLst/>
                    </a:prstGeom>
                    <a:noFill/>
                    <a:ln>
                      <a:noFill/>
                    </a:ln>
                  </pic:spPr>
                </pic:pic>
              </a:graphicData>
            </a:graphic>
          </wp:inline>
        </w:drawing>
      </w:r>
    </w:p>
    <w:p w14:paraId="044D2384">
      <w:pPr>
        <w:pStyle w:val="2"/>
        <w:ind w:left="0" w:leftChars="0" w:firstLine="0" w:firstLineChars="0"/>
        <w:rPr>
          <w:rFonts w:hint="default"/>
        </w:rPr>
        <w:sectPr>
          <w:pgSz w:w="11906" w:h="16838"/>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3A17D471">
      <w:pPr>
        <w:jc w:val="left"/>
        <w:rPr>
          <w:rFonts w:hint="eastAsia" w:ascii="Times New Roman" w:hAnsi="Times New Roman" w:cs="Times New Roman"/>
          <w:b/>
          <w:bCs w:val="0"/>
          <w:kern w:val="0"/>
          <w:sz w:val="24"/>
          <w:szCs w:val="24"/>
          <w:highlight w:val="none"/>
          <w:lang w:val="en-US" w:eastAsia="zh-CN" w:bidi="ar-SA"/>
        </w:rPr>
      </w:pPr>
      <w:r>
        <w:rPr>
          <w:rFonts w:hint="eastAsia"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6</w:t>
      </w:r>
      <w:r>
        <w:rPr>
          <w:rFonts w:hint="eastAsia" w:ascii="Times New Roman" w:hAnsi="Times New Roman" w:eastAsia="宋体" w:cs="Times New Roman"/>
          <w:b/>
          <w:bCs w:val="0"/>
          <w:kern w:val="0"/>
          <w:sz w:val="24"/>
          <w:szCs w:val="24"/>
          <w:highlight w:val="none"/>
          <w:lang w:val="en-US" w:eastAsia="zh-CN" w:bidi="ar-SA"/>
        </w:rPr>
        <w:t xml:space="preserve"> </w:t>
      </w:r>
      <w:r>
        <w:rPr>
          <w:rFonts w:hint="eastAsia" w:ascii="Times New Roman" w:hAnsi="Times New Roman" w:cs="Times New Roman"/>
          <w:b/>
          <w:bCs w:val="0"/>
          <w:kern w:val="0"/>
          <w:sz w:val="24"/>
          <w:szCs w:val="24"/>
          <w:highlight w:val="none"/>
          <w:lang w:val="en-US" w:eastAsia="zh-CN" w:bidi="ar-SA"/>
        </w:rPr>
        <w:t>山东省功能区划图</w:t>
      </w:r>
    </w:p>
    <w:p w14:paraId="5CFEF29E">
      <w:pPr>
        <w:pStyle w:val="2"/>
        <w:rPr>
          <w:rFonts w:hint="eastAsia"/>
          <w:lang w:val="en-US" w:eastAsia="zh-CN"/>
        </w:rPr>
      </w:pPr>
      <w:r>
        <w:rPr>
          <w:rFonts w:hint="eastAsia" w:ascii="Times New Roman" w:hAnsi="Times New Roman" w:eastAsia="黑体" w:cs="Times New Roman"/>
          <w:bCs/>
          <w:color w:val="auto"/>
          <w:kern w:val="0"/>
          <w:highlight w:val="none"/>
          <w:lang w:val="en-US" w:eastAsia="zh-CN"/>
        </w:rPr>
        <w:drawing>
          <wp:inline distT="0" distB="0" distL="114300" distR="114300">
            <wp:extent cx="7678420" cy="5160010"/>
            <wp:effectExtent l="0" t="0" r="17780" b="2540"/>
            <wp:docPr id="3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
                    <pic:cNvPicPr>
                      <a:picLocks noChangeAspect="1"/>
                    </pic:cNvPicPr>
                  </pic:nvPicPr>
                  <pic:blipFill>
                    <a:blip r:embed="rId79"/>
                    <a:stretch>
                      <a:fillRect/>
                    </a:stretch>
                  </pic:blipFill>
                  <pic:spPr>
                    <a:xfrm>
                      <a:off x="0" y="0"/>
                      <a:ext cx="7678420" cy="5160010"/>
                    </a:xfrm>
                    <a:prstGeom prst="rect">
                      <a:avLst/>
                    </a:prstGeom>
                    <a:noFill/>
                    <a:ln>
                      <a:noFill/>
                    </a:ln>
                  </pic:spPr>
                </pic:pic>
              </a:graphicData>
            </a:graphic>
          </wp:inline>
        </w:drawing>
      </w:r>
      <w:r>
        <w:rPr>
          <w:sz w:val="21"/>
        </w:rPr>
        <mc:AlternateContent>
          <mc:Choice Requires="wps">
            <w:drawing>
              <wp:anchor distT="0" distB="0" distL="114300" distR="114300" simplePos="0" relativeHeight="251858944" behindDoc="0" locked="0" layoutInCell="1" allowOverlap="1">
                <wp:simplePos x="0" y="0"/>
                <wp:positionH relativeFrom="column">
                  <wp:posOffset>3481705</wp:posOffset>
                </wp:positionH>
                <wp:positionV relativeFrom="paragraph">
                  <wp:posOffset>1287145</wp:posOffset>
                </wp:positionV>
                <wp:extent cx="1391920" cy="330200"/>
                <wp:effectExtent l="6350" t="6350" r="11430" b="673100"/>
                <wp:wrapNone/>
                <wp:docPr id="158" name="矩形标注 158"/>
                <wp:cNvGraphicFramePr/>
                <a:graphic xmlns:a="http://schemas.openxmlformats.org/drawingml/2006/main">
                  <a:graphicData uri="http://schemas.microsoft.com/office/word/2010/wordprocessingShape">
                    <wps:wsp>
                      <wps:cNvSpPr/>
                      <wps:spPr>
                        <a:xfrm>
                          <a:off x="4201795" y="2205355"/>
                          <a:ext cx="1391920" cy="330200"/>
                        </a:xfrm>
                        <a:prstGeom prst="wedgeRectCallout">
                          <a:avLst>
                            <a:gd name="adj1" fmla="val -42974"/>
                            <a:gd name="adj2" fmla="val 242115"/>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5DD0B2C">
                            <w:pPr>
                              <w:jc w:val="center"/>
                              <w:rPr>
                                <w:rFonts w:hint="eastAsia" w:eastAsia="宋体"/>
                                <w:b/>
                                <w:bCs/>
                                <w:color w:val="0000FF"/>
                                <w:lang w:eastAsia="zh-CN"/>
                              </w:rPr>
                            </w:pPr>
                            <w:r>
                              <w:rPr>
                                <w:rFonts w:hint="eastAsia"/>
                                <w:b/>
                                <w:bCs/>
                                <w:color w:val="0000FF"/>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4.15pt;margin-top:101.35pt;height:26pt;width:109.6pt;z-index:251858944;v-text-anchor:middle;mso-width-relative:page;mso-height-relative:page;" filled="f" stroked="t" coordsize="21600,21600" o:gfxdata="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C1Ks5NkAAAALAQAADwAAAAAAAAAB&#10;ACAAAAAiAAAAZHJzL2Rvd25yZXYueG1sUEsBAhQAFAAAAAgAh07iQEgjV7m6AgAASwUAAA4AAAAA&#10;AAAAAQAgAAAAKAEAAGRycy9lMm9Eb2MueG1sUEsFBgAAAAAGAAYAWQEAAFQGAAAAAA==&#10;" adj="1518,63097">
                <v:fill on="f" focussize="0,0"/>
                <v:stroke weight="1pt" color="#FF0000 [2404]" miterlimit="8" joinstyle="miter"/>
                <v:imagedata o:title=""/>
                <o:lock v:ext="edit" aspectratio="f"/>
                <v:textbox>
                  <w:txbxContent>
                    <w:p w14:paraId="55DD0B2C">
                      <w:pPr>
                        <w:jc w:val="center"/>
                        <w:rPr>
                          <w:rFonts w:hint="eastAsia" w:eastAsia="宋体"/>
                          <w:b/>
                          <w:bCs/>
                          <w:color w:val="0000FF"/>
                          <w:lang w:eastAsia="zh-CN"/>
                        </w:rPr>
                      </w:pPr>
                      <w:r>
                        <w:rPr>
                          <w:rFonts w:hint="eastAsia"/>
                          <w:b/>
                          <w:bCs/>
                          <w:color w:val="0000FF"/>
                          <w:lang w:eastAsia="zh-CN"/>
                        </w:rPr>
                        <w:t>项目位置</w:t>
                      </w:r>
                    </w:p>
                  </w:txbxContent>
                </v:textbox>
              </v:shape>
            </w:pict>
          </mc:Fallback>
        </mc:AlternateContent>
      </w:r>
    </w:p>
    <w:p w14:paraId="73178E77">
      <w:pPr>
        <w:jc w:val="left"/>
        <w:rPr>
          <w:rFonts w:hint="eastAsia" w:ascii="Times New Roman" w:hAnsi="Times New Roman" w:eastAsia="宋体" w:cs="Times New Roman"/>
          <w:b/>
          <w:bCs w:val="0"/>
          <w:kern w:val="0"/>
          <w:sz w:val="24"/>
          <w:szCs w:val="24"/>
          <w:highlight w:val="none"/>
          <w:lang w:val="en-US" w:eastAsia="zh-CN" w:bidi="ar-SA"/>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1818EEEC">
      <w:pPr>
        <w:jc w:val="left"/>
        <w:rPr>
          <w:rFonts w:hint="eastAsia" w:ascii="Times New Roman" w:hAnsi="Times New Roman" w:eastAsia="宋体" w:cs="Times New Roman"/>
          <w:b/>
          <w:bCs w:val="0"/>
          <w:kern w:val="0"/>
          <w:sz w:val="24"/>
          <w:szCs w:val="24"/>
          <w:highlight w:val="none"/>
          <w:lang w:val="en-US" w:eastAsia="zh-CN" w:bidi="ar-SA"/>
        </w:rPr>
      </w:pPr>
      <w:r>
        <w:rPr>
          <w:rFonts w:hint="eastAsia"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7</w:t>
      </w:r>
      <w:r>
        <w:rPr>
          <w:rFonts w:hint="eastAsia" w:ascii="Times New Roman" w:hAnsi="Times New Roman" w:eastAsia="宋体" w:cs="Times New Roman"/>
          <w:b/>
          <w:bCs w:val="0"/>
          <w:kern w:val="0"/>
          <w:sz w:val="24"/>
          <w:szCs w:val="24"/>
          <w:highlight w:val="none"/>
          <w:lang w:val="en-US" w:eastAsia="zh-CN" w:bidi="ar-SA"/>
        </w:rPr>
        <w:t xml:space="preserve"> 河道底泥现状监测布点图</w:t>
      </w:r>
    </w:p>
    <w:p w14:paraId="5B79A938">
      <w:pPr>
        <w:pStyle w:val="2"/>
        <w:ind w:left="0" w:leftChars="0" w:firstLine="0" w:firstLineChars="0"/>
        <w:jc w:val="both"/>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r>
        <w:rPr>
          <w:sz w:val="21"/>
        </w:rPr>
        <mc:AlternateContent>
          <mc:Choice Requires="wps">
            <w:drawing>
              <wp:anchor distT="0" distB="0" distL="114300" distR="114300" simplePos="0" relativeHeight="251778048" behindDoc="0" locked="0" layoutInCell="1" allowOverlap="1">
                <wp:simplePos x="0" y="0"/>
                <wp:positionH relativeFrom="column">
                  <wp:posOffset>2360930</wp:posOffset>
                </wp:positionH>
                <wp:positionV relativeFrom="paragraph">
                  <wp:posOffset>3167380</wp:posOffset>
                </wp:positionV>
                <wp:extent cx="1154430" cy="27749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15443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A295D6">
                            <w:pPr>
                              <w:rPr>
                                <w:rFonts w:hint="eastAsia" w:eastAsia="宋体"/>
                                <w:b/>
                                <w:bCs/>
                                <w:color w:val="FFC000"/>
                                <w:lang w:val="en-US" w:eastAsia="zh-CN"/>
                              </w:rPr>
                            </w:pPr>
                            <w:r>
                              <w:rPr>
                                <w:rFonts w:hint="eastAsia"/>
                                <w:b/>
                                <w:bCs/>
                                <w:color w:val="FFC000"/>
                                <w:lang w:val="en-US" w:eastAsia="zh-CN"/>
                              </w:rPr>
                              <w:t>天津路排涝沟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9pt;margin-top:249.4pt;height:21.85pt;width:90.9pt;z-index:251778048;mso-width-relative:page;mso-height-relative:page;" filled="f" stroked="f" coordsize="21600,21600" o:gfxdata="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xfEmvcAAAACwEAAA8AAAAAAAAAAQAgAAAAIgAA&#10;AGRycy9kb3ducmV2LnhtbFBLAQIUABQAAAAIAIdO4kA0HhtpPQIAAGoEAAAOAAAAAAAAAAEAIAAA&#10;ACsBAABkcnMvZTJvRG9jLnhtbFBLBQYAAAAABgAGAFkBAADaBQAAAAA=&#10;">
                <v:fill on="f" focussize="0,0"/>
                <v:stroke on="f" weight="0.5pt"/>
                <v:imagedata o:title=""/>
                <o:lock v:ext="edit" aspectratio="f"/>
                <v:textbox>
                  <w:txbxContent>
                    <w:p w14:paraId="2AA295D6">
                      <w:pPr>
                        <w:rPr>
                          <w:rFonts w:hint="eastAsia" w:eastAsia="宋体"/>
                          <w:b/>
                          <w:bCs/>
                          <w:color w:val="FFC000"/>
                          <w:lang w:val="en-US" w:eastAsia="zh-CN"/>
                        </w:rPr>
                      </w:pPr>
                      <w:r>
                        <w:rPr>
                          <w:rFonts w:hint="eastAsia"/>
                          <w:b/>
                          <w:bCs/>
                          <w:color w:val="FFC000"/>
                          <w:lang w:val="en-US" w:eastAsia="zh-CN"/>
                        </w:rPr>
                        <w:t>天津路排涝沟</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7586345</wp:posOffset>
                </wp:positionH>
                <wp:positionV relativeFrom="paragraph">
                  <wp:posOffset>4815840</wp:posOffset>
                </wp:positionV>
                <wp:extent cx="135890" cy="102235"/>
                <wp:effectExtent l="23495" t="16510" r="31115" b="33655"/>
                <wp:wrapNone/>
                <wp:docPr id="179" name="五角星 179"/>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97.35pt;margin-top:379.2pt;height:8.05pt;width:10.7pt;z-index:251796480;v-text-anchor:middle;mso-width-relative:page;mso-height-relative:page;" fillcolor="#FFFF00" filled="t" stroked="t" coordsize="135890,102235" o:gfxdata="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&#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EjxAD2wAAAA0BAAAPAAAAAAAAAAEAIAAAACIAAABk&#10;cnMvZG93bnJldi54bWxQSwECFAAUAAAACACHTuJA4KaRwnUCAAD7BAAADgAAAAAAAAABACAAAAAq&#10;AQAAZHJzL2Uyb0RvYy54bWxQSwUGAAAAAAYABgBZAQAAEQY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7491095</wp:posOffset>
                </wp:positionH>
                <wp:positionV relativeFrom="paragraph">
                  <wp:posOffset>4737100</wp:posOffset>
                </wp:positionV>
                <wp:extent cx="1096010" cy="311150"/>
                <wp:effectExtent l="0" t="0" r="0" b="0"/>
                <wp:wrapNone/>
                <wp:docPr id="178" name="文本框 178"/>
                <wp:cNvGraphicFramePr/>
                <a:graphic xmlns:a="http://schemas.openxmlformats.org/drawingml/2006/main">
                  <a:graphicData uri="http://schemas.microsoft.com/office/word/2010/wordprocessingShape">
                    <wps:wsp>
                      <wps:cNvSpPr txBox="1"/>
                      <wps:spPr>
                        <a:xfrm>
                          <a:off x="8470265" y="5737225"/>
                          <a:ext cx="109601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A9BAD6">
                            <w:pPr>
                              <w:ind w:firstLine="420" w:firstLineChars="200"/>
                              <w:rPr>
                                <w:rFonts w:hint="eastAsia" w:eastAsia="宋体"/>
                                <w:highlight w:val="yellow"/>
                                <w:lang w:eastAsia="zh-CN"/>
                              </w:rPr>
                            </w:pPr>
                            <w:r>
                              <w:rPr>
                                <w:rFonts w:hint="eastAsia"/>
                                <w:highlight w:val="yellow"/>
                                <w:lang w:eastAsia="zh-CN"/>
                              </w:rPr>
                              <w:t>采样点位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85pt;margin-top:373pt;height:24.5pt;width:86.3pt;z-index:251795456;mso-width-relative:page;mso-height-relative:page;" filled="f" stroked="f" coordsize="21600,21600" o:gfxdata="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fnlFz3QAAAA0BAAAPAAAA&#10;AAAAAAEAIAAAACIAAABkcnMvZG93bnJldi54bWxQSwECFAAUAAAACACHTuJAHoLqtkkCAAB2BAAA&#10;DgAAAAAAAAABACAAAAAsAQAAZHJzL2Uyb0RvYy54bWxQSwUGAAAAAAYABgBZAQAA5wUAAAAA&#10;">
                <v:fill on="f" focussize="0,0"/>
                <v:stroke on="f" weight="0.5pt"/>
                <v:imagedata o:title=""/>
                <o:lock v:ext="edit" aspectratio="f"/>
                <v:textbox>
                  <w:txbxContent>
                    <w:p w14:paraId="06A9BAD6">
                      <w:pPr>
                        <w:ind w:firstLine="420" w:firstLineChars="200"/>
                        <w:rPr>
                          <w:rFonts w:hint="eastAsia" w:eastAsia="宋体"/>
                          <w:highlight w:val="yellow"/>
                          <w:lang w:eastAsia="zh-CN"/>
                        </w:rPr>
                      </w:pPr>
                      <w:r>
                        <w:rPr>
                          <w:rFonts w:hint="eastAsia"/>
                          <w:highlight w:val="yellow"/>
                          <w:lang w:eastAsia="zh-CN"/>
                        </w:rPr>
                        <w:t>采样点位</w:t>
                      </w:r>
                    </w:p>
                  </w:txbxContent>
                </v:textbox>
              </v:shape>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8066405</wp:posOffset>
                </wp:positionH>
                <wp:positionV relativeFrom="paragraph">
                  <wp:posOffset>1771650</wp:posOffset>
                </wp:positionV>
                <wp:extent cx="135890" cy="102235"/>
                <wp:effectExtent l="23495" t="16510" r="31115" b="33655"/>
                <wp:wrapNone/>
                <wp:docPr id="177" name="五角星 177"/>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35.15pt;margin-top:139.5pt;height:8.05pt;width:10.7pt;z-index:251794432;v-text-anchor:middle;mso-width-relative:page;mso-height-relative:page;" fillcolor="#FFFF00" filled="t" stroked="t" coordsize="135890,102235" o:gfxdata="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WY6XdoAAAANAQAADwAAAAAAAAABACAAAAAiAAAAZHJz&#10;L2Rvd25yZXYueG1sUEsBAhQAFAAAAAgAh07iQCxkK4F0AgAA+wQAAA4AAAAAAAAAAQAgAAAAKQEA&#10;AGRycy9lMm9Eb2MueG1sUEsFBgAAAAAGAAYAWQEAAA8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93408" behindDoc="0" locked="0" layoutInCell="1" allowOverlap="1">
                <wp:simplePos x="0" y="0"/>
                <wp:positionH relativeFrom="column">
                  <wp:posOffset>7447280</wp:posOffset>
                </wp:positionH>
                <wp:positionV relativeFrom="paragraph">
                  <wp:posOffset>1309370</wp:posOffset>
                </wp:positionV>
                <wp:extent cx="135890" cy="102235"/>
                <wp:effectExtent l="23495" t="16510" r="31115" b="33655"/>
                <wp:wrapNone/>
                <wp:docPr id="176" name="五角星 176"/>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86.4pt;margin-top:103.1pt;height:8.05pt;width:10.7pt;z-index:251793408;v-text-anchor:middle;mso-width-relative:page;mso-height-relative:page;" fillcolor="#FFFF00" filled="t" stroked="t" coordsize="135890,102235" o:gfxdata="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2RStzdoAAAANAQAADwAAAAAAAAABACAAAAAiAAAAZHJz&#10;L2Rvd25yZXYueG1sUEsBAhQAFAAAAAgAh07iQFbE2Yx0AgAA+wQAAA4AAAAAAAAAAQAgAAAAKQEA&#10;AGRycy9lMm9Eb2MueG1sUEsFBgAAAAAGAAYAWQEAAA8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5820410</wp:posOffset>
                </wp:positionH>
                <wp:positionV relativeFrom="paragraph">
                  <wp:posOffset>1553845</wp:posOffset>
                </wp:positionV>
                <wp:extent cx="135890" cy="102235"/>
                <wp:effectExtent l="23495" t="16510" r="31115" b="33655"/>
                <wp:wrapNone/>
                <wp:docPr id="175" name="五角星 175"/>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8.3pt;margin-top:122.35pt;height:8.05pt;width:10.7pt;z-index:251792384;v-text-anchor:middle;mso-width-relative:page;mso-height-relative:page;" fillcolor="#FFFF00" filled="t" stroked="t" coordsize="135890,102235" o:gfxdata="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5Q+NTaAAAACwEAAA8AAAAAAAAAAQAgAAAAIgAAAGRy&#10;cy9kb3ducmV2LnhtbFBLAQIUABQAAAAIAIdO4kDYJM6adQIAAPsEAAAOAAAAAAAAAAEAIAAAACkB&#10;AABkcnMvZTJvRG9jLnhtbFBLBQYAAAAABgAGAFkBAAAQBg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5398770</wp:posOffset>
                </wp:positionH>
                <wp:positionV relativeFrom="paragraph">
                  <wp:posOffset>1921510</wp:posOffset>
                </wp:positionV>
                <wp:extent cx="135890" cy="102235"/>
                <wp:effectExtent l="23495" t="16510" r="31115" b="33655"/>
                <wp:wrapNone/>
                <wp:docPr id="174" name="五角星 174"/>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5.1pt;margin-top:151.3pt;height:8.05pt;width:10.7pt;z-index:251791360;v-text-anchor:middle;mso-width-relative:page;mso-height-relative:page;" fillcolor="#FFFF00" filled="t" stroked="t" coordsize="135890,102235" o:gfxdata="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x4O7n2QAAAAsBAAAPAAAAAAAAAAEAIAAAACIAAABkcnMv&#10;ZG93bnJldi54bWxQSwECFAAUAAAACACHTuJAooQ8l3QCAAD7BAAADgAAAAAAAAABACAAAAAoAQAA&#10;ZHJzL2Uyb0RvYy54bWxQSwUGAAAAAAYABgBZAQAADgY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90336" behindDoc="0" locked="0" layoutInCell="1" allowOverlap="1">
                <wp:simplePos x="0" y="0"/>
                <wp:positionH relativeFrom="column">
                  <wp:posOffset>5269230</wp:posOffset>
                </wp:positionH>
                <wp:positionV relativeFrom="paragraph">
                  <wp:posOffset>3118485</wp:posOffset>
                </wp:positionV>
                <wp:extent cx="135890" cy="102235"/>
                <wp:effectExtent l="23495" t="16510" r="31115" b="33655"/>
                <wp:wrapNone/>
                <wp:docPr id="173" name="五角星 173"/>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4.9pt;margin-top:245.55pt;height:8.05pt;width:10.7pt;z-index:251790336;v-text-anchor:middle;mso-width-relative:page;mso-height-relative:page;" fillcolor="#FFFF00" filled="t" stroked="t" coordsize="135890,102235" o:gfxdata="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oNCHHaAAAACwEAAA8AAAAAAAAAAQAgAAAAIgAAAGRy&#10;cy9kb3ducmV2LnhtbFBLAQIUABQAAAAIAIdO4kDE5eG2dQIAAPsEAAAOAAAAAAAAAAEAIAAAACkB&#10;AABkcnMvZTJvRG9jLnhtbFBLBQYAAAAABgAGAFkBAAAQBg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9312" behindDoc="0" locked="0" layoutInCell="1" allowOverlap="1">
                <wp:simplePos x="0" y="0"/>
                <wp:positionH relativeFrom="column">
                  <wp:posOffset>5405755</wp:posOffset>
                </wp:positionH>
                <wp:positionV relativeFrom="paragraph">
                  <wp:posOffset>3227705</wp:posOffset>
                </wp:positionV>
                <wp:extent cx="135890" cy="102235"/>
                <wp:effectExtent l="23495" t="16510" r="31115" b="33655"/>
                <wp:wrapNone/>
                <wp:docPr id="172" name="五角星 172"/>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5.65pt;margin-top:254.15pt;height:8.05pt;width:10.7pt;z-index:251789312;v-text-anchor:middle;mso-width-relative:page;mso-height-relative:page;" fillcolor="#FFFF00" filled="t" stroked="t" coordsize="135890,102235" o:gfxdata="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Sit+DaAAAACwEAAA8AAAAAAAAAAQAgAAAAIgAAAGRy&#10;cy9kb3ducmV2LnhtbFBLAQIUABQAAAAIAIdO4kC+RRO7dQIAAPsEAAAOAAAAAAAAAAEAIAAAACkB&#10;AABkcnMvZTJvRG9jLnhtbFBLBQYAAAAABgAGAFkBAAAQBg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8288" behindDoc="0" locked="0" layoutInCell="1" allowOverlap="1">
                <wp:simplePos x="0" y="0"/>
                <wp:positionH relativeFrom="column">
                  <wp:posOffset>4909185</wp:posOffset>
                </wp:positionH>
                <wp:positionV relativeFrom="paragraph">
                  <wp:posOffset>3159760</wp:posOffset>
                </wp:positionV>
                <wp:extent cx="135890" cy="102235"/>
                <wp:effectExtent l="23495" t="16510" r="31115" b="33655"/>
                <wp:wrapNone/>
                <wp:docPr id="171" name="五角星 171"/>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6.55pt;margin-top:248.8pt;height:8.05pt;width:10.7pt;z-index:251788288;v-text-anchor:middle;mso-width-relative:page;mso-height-relative:page;" fillcolor="#FFFF00" filled="t" stroked="t" coordsize="135890,102235" o:gfxdata="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5+Dv/bAAAACwEAAA8AAAAAAAAAAQAgAAAAIgAAAGRy&#10;cy9kb3ducmV2LnhtbFBLAQIUABQAAAAIAIdO4kAwpQStdAIAAPsEAAAOAAAAAAAAAAEAIAAAACoB&#10;AABkcnMvZTJvRG9jLnhtbFBLBQYAAAAABgAGAFkBAAAQBg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3895090</wp:posOffset>
                </wp:positionH>
                <wp:positionV relativeFrom="paragraph">
                  <wp:posOffset>3112135</wp:posOffset>
                </wp:positionV>
                <wp:extent cx="135890" cy="102235"/>
                <wp:effectExtent l="23495" t="16510" r="31115" b="33655"/>
                <wp:wrapNone/>
                <wp:docPr id="170" name="五角星 170"/>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6.7pt;margin-top:245.05pt;height:8.05pt;width:10.7pt;z-index:251787264;v-text-anchor:middle;mso-width-relative:page;mso-height-relative:page;" fillcolor="#FFFF00" filled="t" stroked="t" coordsize="135890,102235" o:gfxdata="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lNBStoAAAALAQAADwAAAAAAAAABACAAAAAiAAAAZHJz&#10;L2Rvd25yZXYueG1sUEsBAhQAFAAAAAgAh07iQEoF9qB0AgAA+wQAAA4AAAAAAAAAAQAgAAAAKQEA&#10;AGRycy9lMm9Eb2MueG1sUEsFBgAAAAAGAAYAWQEAAA8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6240" behindDoc="0" locked="0" layoutInCell="1" allowOverlap="1">
                <wp:simplePos x="0" y="0"/>
                <wp:positionH relativeFrom="column">
                  <wp:posOffset>4779645</wp:posOffset>
                </wp:positionH>
                <wp:positionV relativeFrom="paragraph">
                  <wp:posOffset>2166620</wp:posOffset>
                </wp:positionV>
                <wp:extent cx="135890" cy="102235"/>
                <wp:effectExtent l="23495" t="16510" r="31115" b="33655"/>
                <wp:wrapNone/>
                <wp:docPr id="169" name="五角星 169"/>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6.35pt;margin-top:170.6pt;height:8.05pt;width:10.7pt;z-index:251786240;v-text-anchor:middle;mso-width-relative:page;mso-height-relative:page;" fillcolor="#FFFF00" filled="t" stroked="t" coordsize="135890,102235" o:gfxdata="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w6B//bAAAACwEAAA8AAAAAAAAAAQAgAAAAIgAAAGRy&#10;cy9kb3ducmV2LnhtbFBLAQIUABQAAAAIAIdO4kBizExydAIAAPsEAAAOAAAAAAAAAAEAIAAAACoB&#10;AABkcnMvZTJvRG9jLnhtbFBLBQYAAAAABgAGAFkBAAAQBg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5216" behindDoc="0" locked="0" layoutInCell="1" allowOverlap="1">
                <wp:simplePos x="0" y="0"/>
                <wp:positionH relativeFrom="column">
                  <wp:posOffset>2146935</wp:posOffset>
                </wp:positionH>
                <wp:positionV relativeFrom="paragraph">
                  <wp:posOffset>2383790</wp:posOffset>
                </wp:positionV>
                <wp:extent cx="135890" cy="102235"/>
                <wp:effectExtent l="23495" t="16510" r="31115" b="33655"/>
                <wp:wrapNone/>
                <wp:docPr id="168" name="五角星 168"/>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9.05pt;margin-top:187.7pt;height:8.05pt;width:10.7pt;z-index:251785216;v-text-anchor:middle;mso-width-relative:page;mso-height-relative:page;" fillcolor="#FFFF00" filled="t" stroked="t" coordsize="135890,102235" o:gfxdata="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BNtG9oAAAALAQAADwAAAAAAAAABACAAAAAiAAAAZHJz&#10;L2Rvd25yZXYueG1sUEsBAhQAFAAAAAgAh07iQBhsvn90AgAA+wQAAA4AAAAAAAAAAQAgAAAAKQEA&#10;AGRycy9lMm9Eb2MueG1sUEsFBgAAAAAGAAYAWQEAAA8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4192" behindDoc="0" locked="0" layoutInCell="1" allowOverlap="1">
                <wp:simplePos x="0" y="0"/>
                <wp:positionH relativeFrom="column">
                  <wp:posOffset>1806575</wp:posOffset>
                </wp:positionH>
                <wp:positionV relativeFrom="paragraph">
                  <wp:posOffset>2663190</wp:posOffset>
                </wp:positionV>
                <wp:extent cx="135890" cy="102235"/>
                <wp:effectExtent l="23495" t="16510" r="31115" b="33655"/>
                <wp:wrapNone/>
                <wp:docPr id="167" name="五角星 167"/>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2.25pt;margin-top:209.7pt;height:8.05pt;width:10.7pt;z-index:251784192;v-text-anchor:middle;mso-width-relative:page;mso-height-relative:page;" fillcolor="#FFFF00" filled="t" stroked="t" coordsize="135890,102235" o:gfxdata="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L9x/NoAAAALAQAADwAAAAAAAAABACAAAAAiAAAAZHJz&#10;L2Rvd25yZXYueG1sUEsBAhQAFAAAAAgAh07iQK4O9jF0AgAA+wQAAA4AAAAAAAAAAQAgAAAAKQEA&#10;AGRycy9lMm9Eb2MueG1sUEsFBgAAAAAGAAYAWQEAAA8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3168" behindDoc="0" locked="0" layoutInCell="1" allowOverlap="1">
                <wp:simplePos x="0" y="0"/>
                <wp:positionH relativeFrom="column">
                  <wp:posOffset>908685</wp:posOffset>
                </wp:positionH>
                <wp:positionV relativeFrom="paragraph">
                  <wp:posOffset>2731135</wp:posOffset>
                </wp:positionV>
                <wp:extent cx="135890" cy="102235"/>
                <wp:effectExtent l="23495" t="16510" r="31115" b="33655"/>
                <wp:wrapNone/>
                <wp:docPr id="166" name="五角星 166"/>
                <wp:cNvGraphicFramePr/>
                <a:graphic xmlns:a="http://schemas.openxmlformats.org/drawingml/2006/main">
                  <a:graphicData uri="http://schemas.microsoft.com/office/word/2010/wordprocessingShape">
                    <wps:wsp>
                      <wps:cNvSpPr/>
                      <wps:spPr>
                        <a:xfrm>
                          <a:off x="0" y="0"/>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71.55pt;margin-top:215.05pt;height:8.05pt;width:10.7pt;z-index:251783168;v-text-anchor:middle;mso-width-relative:page;mso-height-relative:page;" fillcolor="#FFFF00" filled="t" stroked="t" coordsize="135890,102235" o:gfxdata="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3CkKu2QAAAAsBAAAPAAAAAAAAAAEAIAAAACIAAABkcnMv&#10;ZG93bnJldi54bWxQSwECFAAUAAAACACHTuJA1K4EPHQCAAD7BAAADgAAAAAAAAABACAAAAAoAQAA&#10;ZHJzL2Uyb0RvYy54bWxQSwUGAAAAAAYABgBZAQAADgY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1919605</wp:posOffset>
                </wp:positionH>
                <wp:positionV relativeFrom="paragraph">
                  <wp:posOffset>1082040</wp:posOffset>
                </wp:positionV>
                <wp:extent cx="135890" cy="102235"/>
                <wp:effectExtent l="23495" t="16510" r="31115" b="33655"/>
                <wp:wrapNone/>
                <wp:docPr id="165" name="五角星 165"/>
                <wp:cNvGraphicFramePr/>
                <a:graphic xmlns:a="http://schemas.openxmlformats.org/drawingml/2006/main">
                  <a:graphicData uri="http://schemas.microsoft.com/office/word/2010/wordprocessingShape">
                    <wps:wsp>
                      <wps:cNvSpPr/>
                      <wps:spPr>
                        <a:xfrm>
                          <a:off x="2660015" y="2013585"/>
                          <a:ext cx="135890" cy="10223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1.15pt;margin-top:85.2pt;height:8.05pt;width:10.7pt;z-index:251782144;v-text-anchor:middle;mso-width-relative:page;mso-height-relative:page;" fillcolor="#FFFF00" filled="t" stroked="t" coordsize="135890,102235" o:gfxdata="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PbpgUNoAAAALAQAADwAAAAAAAAAB&#10;ACAAAAAiAAAAZHJzL2Rvd25yZXYueG1sUEsBAhQAFAAAAAgAh07iQLf8seGAAgAABwUAAA4AAAAA&#10;AAAAAQAgAAAAKQEAAGRycy9lMm9Eb2MueG1sUEsFBgAAAAAGAAYAWQEAABsGAAAAAA==&#10;" path="m0,39050l51905,39050,67945,0,83984,39050,135889,39050,93897,63184,109937,102234,67945,78100,25952,102234,41992,63184xe">
                <v:path o:connectlocs="67945,0;0,39050;25952,102234;109937,102234;135889,39050" o:connectangles="247,164,82,82,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81120" behindDoc="0" locked="0" layoutInCell="1" allowOverlap="1">
                <wp:simplePos x="0" y="0"/>
                <wp:positionH relativeFrom="column">
                  <wp:posOffset>1245235</wp:posOffset>
                </wp:positionH>
                <wp:positionV relativeFrom="paragraph">
                  <wp:posOffset>1248410</wp:posOffset>
                </wp:positionV>
                <wp:extent cx="767080" cy="277495"/>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9729BE">
                            <w:pPr>
                              <w:rPr>
                                <w:rFonts w:hint="eastAsia" w:eastAsia="宋体"/>
                                <w:b/>
                                <w:bCs/>
                                <w:color w:val="FFC000"/>
                                <w:lang w:val="en-US" w:eastAsia="zh-CN"/>
                              </w:rPr>
                            </w:pPr>
                            <w:r>
                              <w:rPr>
                                <w:rFonts w:hint="eastAsia"/>
                                <w:b/>
                                <w:bCs/>
                                <w:color w:val="FFC000"/>
                                <w:lang w:val="en-US" w:eastAsia="zh-CN"/>
                              </w:rPr>
                              <w:t>白蛇沟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05pt;margin-top:98.3pt;height:21.85pt;width:60.4pt;z-index:251781120;mso-width-relative:page;mso-height-relative:page;" filled="f" stroked="f" coordsize="21600,21600" o:gfxdata="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&#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JU3BNsAAAALAQAADwAAAAAAAAABACAAAAAiAAAA&#10;ZHJzL2Rvd25yZXYueG1sUEsBAhQAFAAAAAgAh07iQO80N3w9AgAAaQQAAA4AAAAAAAAAAQAgAAAA&#10;KgEAAGRycy9lMm9Eb2MueG1sUEsFBgAAAAAGAAYAWQEAANkFAAAAAA==&#10;">
                <v:fill on="f" focussize="0,0"/>
                <v:stroke on="f" weight="0.5pt"/>
                <v:imagedata o:title=""/>
                <o:lock v:ext="edit" aspectratio="f"/>
                <v:textbox>
                  <w:txbxContent>
                    <w:p w14:paraId="479729BE">
                      <w:pPr>
                        <w:rPr>
                          <w:rFonts w:hint="eastAsia" w:eastAsia="宋体"/>
                          <w:b/>
                          <w:bCs/>
                          <w:color w:val="FFC000"/>
                          <w:lang w:val="en-US" w:eastAsia="zh-CN"/>
                        </w:rPr>
                      </w:pPr>
                      <w:r>
                        <w:rPr>
                          <w:rFonts w:hint="eastAsia"/>
                          <w:b/>
                          <w:bCs/>
                          <w:color w:val="FFC000"/>
                          <w:lang w:val="en-US" w:eastAsia="zh-CN"/>
                        </w:rPr>
                        <w:t>白蛇沟</w:t>
                      </w:r>
                    </w:p>
                  </w:txbxContent>
                </v:textbox>
              </v:shape>
            </w:pict>
          </mc:Fallback>
        </mc:AlternateContent>
      </w:r>
      <w:r>
        <w:rPr>
          <w:sz w:val="21"/>
        </w:rPr>
        <mc:AlternateContent>
          <mc:Choice Requires="wps">
            <w:drawing>
              <wp:anchor distT="0" distB="0" distL="114300" distR="114300" simplePos="0" relativeHeight="251780096" behindDoc="0" locked="0" layoutInCell="1" allowOverlap="1">
                <wp:simplePos x="0" y="0"/>
                <wp:positionH relativeFrom="column">
                  <wp:posOffset>1000760</wp:posOffset>
                </wp:positionH>
                <wp:positionV relativeFrom="paragraph">
                  <wp:posOffset>2820035</wp:posOffset>
                </wp:positionV>
                <wp:extent cx="767080" cy="277495"/>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C99EDB">
                            <w:pPr>
                              <w:rPr>
                                <w:rFonts w:hint="eastAsia" w:eastAsia="宋体"/>
                                <w:b/>
                                <w:bCs/>
                                <w:color w:val="FFC000"/>
                                <w:lang w:val="en-US" w:eastAsia="zh-CN"/>
                              </w:rPr>
                            </w:pPr>
                            <w:r>
                              <w:rPr>
                                <w:rFonts w:hint="eastAsia"/>
                                <w:b/>
                                <w:bCs/>
                                <w:color w:val="FFC000"/>
                                <w:lang w:val="en-US" w:eastAsia="zh-CN"/>
                              </w:rPr>
                              <w:t>焕然河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8pt;margin-top:222.05pt;height:21.85pt;width:60.4pt;z-index:251780096;mso-width-relative:page;mso-height-relative:page;" filled="f" stroked="f" coordsize="21600,21600" o:gfxdata="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&#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IR2iNsAAAALAQAADwAAAAAAAAABACAAAAAiAAAA&#10;ZHJzL2Rvd25yZXYueG1sUEsBAhQAFAAAAAgAh07iQEwaf/49AgAAaQQAAA4AAAAAAAAAAQAgAAAA&#10;KgEAAGRycy9lMm9Eb2MueG1sUEsFBgAAAAAGAAYAWQEAANkFAAAAAA==&#10;">
                <v:fill on="f" focussize="0,0"/>
                <v:stroke on="f" weight="0.5pt"/>
                <v:imagedata o:title=""/>
                <o:lock v:ext="edit" aspectratio="f"/>
                <v:textbox>
                  <w:txbxContent>
                    <w:p w14:paraId="0EC99EDB">
                      <w:pPr>
                        <w:rPr>
                          <w:rFonts w:hint="eastAsia" w:eastAsia="宋体"/>
                          <w:b/>
                          <w:bCs/>
                          <w:color w:val="FFC000"/>
                          <w:lang w:val="en-US" w:eastAsia="zh-CN"/>
                        </w:rPr>
                      </w:pPr>
                      <w:r>
                        <w:rPr>
                          <w:rFonts w:hint="eastAsia"/>
                          <w:b/>
                          <w:bCs/>
                          <w:color w:val="FFC000"/>
                          <w:lang w:val="en-US" w:eastAsia="zh-CN"/>
                        </w:rPr>
                        <w:t>焕然河</w:t>
                      </w:r>
                    </w:p>
                  </w:txbxContent>
                </v:textbox>
              </v:shape>
            </w:pict>
          </mc:Fallback>
        </mc:AlternateContent>
      </w:r>
      <w:r>
        <w:rPr>
          <w:sz w:val="21"/>
        </w:rPr>
        <mc:AlternateContent>
          <mc:Choice Requires="wps">
            <w:drawing>
              <wp:anchor distT="0" distB="0" distL="114300" distR="114300" simplePos="0" relativeHeight="251779072" behindDoc="0" locked="0" layoutInCell="1" allowOverlap="1">
                <wp:simplePos x="0" y="0"/>
                <wp:positionH relativeFrom="column">
                  <wp:posOffset>1510665</wp:posOffset>
                </wp:positionH>
                <wp:positionV relativeFrom="paragraph">
                  <wp:posOffset>3330575</wp:posOffset>
                </wp:positionV>
                <wp:extent cx="767080" cy="277495"/>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F4E9C5">
                            <w:pPr>
                              <w:rPr>
                                <w:rFonts w:hint="eastAsia" w:eastAsia="宋体"/>
                                <w:b/>
                                <w:bCs/>
                                <w:color w:val="FFC000"/>
                                <w:lang w:val="en-US" w:eastAsia="zh-CN"/>
                              </w:rPr>
                            </w:pPr>
                            <w:r>
                              <w:rPr>
                                <w:rFonts w:hint="eastAsia"/>
                                <w:b/>
                                <w:bCs/>
                                <w:color w:val="FFC000"/>
                                <w:lang w:val="en-US" w:eastAsia="zh-CN"/>
                              </w:rPr>
                              <w:t>袁家河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95pt;margin-top:262.25pt;height:21.85pt;width:60.4pt;z-index:251779072;mso-width-relative:page;mso-height-relative:page;" filled="f" stroked="f" coordsize="21600,21600" o:gfxdata="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pcLa/cAAAACwEAAA8AAAAAAAAAAQAgAAAAIgAA&#10;AGRycy9kb3ducmV2LnhtbFBLAQIUABQAAAAIAIdO4kDBFWfIPQIAAGkEAAAOAAAAAAAAAAEAIAAA&#10;ACsBAABkcnMvZTJvRG9jLnhtbFBLBQYAAAAABgAGAFkBAADaBQAAAAA=&#10;">
                <v:fill on="f" focussize="0,0"/>
                <v:stroke on="f" weight="0.5pt"/>
                <v:imagedata o:title=""/>
                <o:lock v:ext="edit" aspectratio="f"/>
                <v:textbox>
                  <w:txbxContent>
                    <w:p w14:paraId="3DF4E9C5">
                      <w:pPr>
                        <w:rPr>
                          <w:rFonts w:hint="eastAsia" w:eastAsia="宋体"/>
                          <w:b/>
                          <w:bCs/>
                          <w:color w:val="FFC000"/>
                          <w:lang w:val="en-US" w:eastAsia="zh-CN"/>
                        </w:rPr>
                      </w:pPr>
                      <w:r>
                        <w:rPr>
                          <w:rFonts w:hint="eastAsia"/>
                          <w:b/>
                          <w:bCs/>
                          <w:color w:val="FFC000"/>
                          <w:lang w:val="en-US" w:eastAsia="zh-CN"/>
                        </w:rPr>
                        <w:t>袁家河</w:t>
                      </w:r>
                    </w:p>
                  </w:txbxContent>
                </v:textbox>
              </v:shap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4919980</wp:posOffset>
                </wp:positionH>
                <wp:positionV relativeFrom="paragraph">
                  <wp:posOffset>3241675</wp:posOffset>
                </wp:positionV>
                <wp:extent cx="1012190" cy="27749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01219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447CDC">
                            <w:pPr>
                              <w:rPr>
                                <w:rFonts w:hint="eastAsia" w:eastAsia="宋体"/>
                                <w:b/>
                                <w:bCs/>
                                <w:color w:val="FFC000"/>
                                <w:lang w:val="en-US" w:eastAsia="zh-CN"/>
                              </w:rPr>
                            </w:pPr>
                            <w:r>
                              <w:rPr>
                                <w:rFonts w:hint="eastAsia"/>
                                <w:b/>
                                <w:bCs/>
                                <w:color w:val="FFC000"/>
                                <w:lang w:val="en-US" w:eastAsia="zh-CN"/>
                              </w:rPr>
                              <w:t>小旦村排涝沟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7.4pt;margin-top:255.25pt;height:21.85pt;width:79.7pt;z-index:251777024;mso-width-relative:page;mso-height-relative:page;" filled="f" stroked="f" coordsize="21600,21600" o:gfxdata="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&#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t1if9wAAAALAQAADwAAAAAAAAABACAAAAAiAAAA&#10;ZHJzL2Rvd25yZXYueG1sUEsBAhQAFAAAAAgAh07iQBko5G88AgAAagQAAA4AAAAAAAAAAQAgAAAA&#10;KwEAAGRycy9lMm9Eb2MueG1sUEsFBgAAAAAGAAYAWQEAANkFAAAAAA==&#10;">
                <v:fill on="f" focussize="0,0"/>
                <v:stroke on="f" weight="0.5pt"/>
                <v:imagedata o:title=""/>
                <o:lock v:ext="edit" aspectratio="f"/>
                <v:textbox>
                  <w:txbxContent>
                    <w:p w14:paraId="7D447CDC">
                      <w:pPr>
                        <w:rPr>
                          <w:rFonts w:hint="eastAsia" w:eastAsia="宋体"/>
                          <w:b/>
                          <w:bCs/>
                          <w:color w:val="FFC000"/>
                          <w:lang w:val="en-US" w:eastAsia="zh-CN"/>
                        </w:rPr>
                      </w:pPr>
                      <w:r>
                        <w:rPr>
                          <w:rFonts w:hint="eastAsia"/>
                          <w:b/>
                          <w:bCs/>
                          <w:color w:val="FFC000"/>
                          <w:lang w:val="en-US" w:eastAsia="zh-CN"/>
                        </w:rPr>
                        <w:t>小旦村排涝沟</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4810125</wp:posOffset>
                </wp:positionH>
                <wp:positionV relativeFrom="paragraph">
                  <wp:posOffset>3465830</wp:posOffset>
                </wp:positionV>
                <wp:extent cx="767080" cy="27749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7EBD8E">
                            <w:pPr>
                              <w:rPr>
                                <w:rFonts w:hint="eastAsia" w:eastAsia="宋体"/>
                                <w:b/>
                                <w:bCs/>
                                <w:color w:val="FFC000"/>
                                <w:lang w:val="en-US" w:eastAsia="zh-CN"/>
                              </w:rPr>
                            </w:pPr>
                            <w:r>
                              <w:rPr>
                                <w:rFonts w:hint="eastAsia"/>
                                <w:b/>
                                <w:bCs/>
                                <w:color w:val="FFC000"/>
                                <w:lang w:val="en-US" w:eastAsia="zh-CN"/>
                              </w:rPr>
                              <w:t>暖水河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75pt;margin-top:272.9pt;height:21.85pt;width:60.4pt;z-index:251776000;mso-width-relative:page;mso-height-relative:page;" filled="f" stroked="f" coordsize="21600,21600" o:gfxdata="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&#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MiGtNsAAAALAQAADwAAAAAAAAABACAAAAAiAAAA&#10;ZHJzL2Rvd25yZXYueG1sUEsBAhQAFAAAAAgAh07iQIhRz5c9AgAAaQQAAA4AAAAAAAAAAQAgAAAA&#10;KgEAAGRycy9lMm9Eb2MueG1sUEsFBgAAAAAGAAYAWQEAANkFAAAAAA==&#10;">
                <v:fill on="f" focussize="0,0"/>
                <v:stroke on="f" weight="0.5pt"/>
                <v:imagedata o:title=""/>
                <o:lock v:ext="edit" aspectratio="f"/>
                <v:textbox>
                  <w:txbxContent>
                    <w:p w14:paraId="7C7EBD8E">
                      <w:pPr>
                        <w:rPr>
                          <w:rFonts w:hint="eastAsia" w:eastAsia="宋体"/>
                          <w:b/>
                          <w:bCs/>
                          <w:color w:val="FFC000"/>
                          <w:lang w:val="en-US" w:eastAsia="zh-CN"/>
                        </w:rPr>
                      </w:pPr>
                      <w:r>
                        <w:rPr>
                          <w:rFonts w:hint="eastAsia"/>
                          <w:b/>
                          <w:bCs/>
                          <w:color w:val="FFC000"/>
                          <w:lang w:val="en-US" w:eastAsia="zh-CN"/>
                        </w:rPr>
                        <w:t>暖水河</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3882390</wp:posOffset>
                </wp:positionH>
                <wp:positionV relativeFrom="paragraph">
                  <wp:posOffset>3470275</wp:posOffset>
                </wp:positionV>
                <wp:extent cx="767080" cy="277495"/>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AEF0BD">
                            <w:pPr>
                              <w:rPr>
                                <w:rFonts w:hint="eastAsia" w:eastAsia="宋体"/>
                                <w:b/>
                                <w:bCs/>
                                <w:color w:val="FFC000"/>
                                <w:lang w:val="en-US" w:eastAsia="zh-CN"/>
                              </w:rPr>
                            </w:pPr>
                            <w:r>
                              <w:rPr>
                                <w:rFonts w:hint="eastAsia"/>
                                <w:b/>
                                <w:bCs/>
                                <w:color w:val="FFC000"/>
                                <w:lang w:val="en-US" w:eastAsia="zh-CN"/>
                              </w:rPr>
                              <w:t>瓦村沟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7pt;margin-top:273.25pt;height:21.85pt;width:60.4pt;z-index:251774976;mso-width-relative:page;mso-height-relative:page;" filled="f" stroked="f" coordsize="21600,21600" o:gfxdata="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&#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yFvi9wAAAALAQAADwAAAAAAAAABACAAAAAiAAAA&#10;ZHJzL2Rvd25yZXYueG1sUEsBAhQAFAAAAAgAh07iQCN+7Do8AgAAaQQAAA4AAAAAAAAAAQAgAAAA&#10;KwEAAGRycy9lMm9Eb2MueG1sUEsFBgAAAAAGAAYAWQEAANkFAAAAAA==&#10;">
                <v:fill on="f" focussize="0,0"/>
                <v:stroke on="f" weight="0.5pt"/>
                <v:imagedata o:title=""/>
                <o:lock v:ext="edit" aspectratio="f"/>
                <v:textbox>
                  <w:txbxContent>
                    <w:p w14:paraId="47AEF0BD">
                      <w:pPr>
                        <w:rPr>
                          <w:rFonts w:hint="eastAsia" w:eastAsia="宋体"/>
                          <w:b/>
                          <w:bCs/>
                          <w:color w:val="FFC000"/>
                          <w:lang w:val="en-US" w:eastAsia="zh-CN"/>
                        </w:rPr>
                      </w:pPr>
                      <w:r>
                        <w:rPr>
                          <w:rFonts w:hint="eastAsia"/>
                          <w:b/>
                          <w:bCs/>
                          <w:color w:val="FFC000"/>
                          <w:lang w:val="en-US" w:eastAsia="zh-CN"/>
                        </w:rPr>
                        <w:t>瓦村沟</w:t>
                      </w:r>
                    </w:p>
                  </w:txbxContent>
                </v:textbox>
              </v:shape>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5542280</wp:posOffset>
                </wp:positionH>
                <wp:positionV relativeFrom="paragraph">
                  <wp:posOffset>2994025</wp:posOffset>
                </wp:positionV>
                <wp:extent cx="815975" cy="277495"/>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81597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18EBA2">
                            <w:pPr>
                              <w:rPr>
                                <w:rFonts w:hint="eastAsia" w:eastAsia="宋体"/>
                                <w:b/>
                                <w:bCs/>
                                <w:color w:val="FFC000"/>
                                <w:lang w:val="en-US" w:eastAsia="zh-CN"/>
                              </w:rPr>
                            </w:pPr>
                            <w:r>
                              <w:rPr>
                                <w:rFonts w:hint="eastAsia"/>
                                <w:b/>
                                <w:bCs/>
                                <w:color w:val="FFC000"/>
                                <w:lang w:val="en-US" w:eastAsia="zh-CN"/>
                              </w:rPr>
                              <w:t>漫泗河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4pt;margin-top:235.75pt;height:21.85pt;width:64.25pt;z-index:251773952;mso-width-relative:page;mso-height-relative:page;" filled="f" stroked="f" coordsize="21600,21600" o:gfxdata="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&#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l6AIPcAAAADAEAAA8AAAAAAAAAAQAgAAAAIgAA&#10;AGRycy9kb3ducmV2LnhtbFBLAQIUABQAAAAIAIdO4kAl8BgzPQIAAGkEAAAOAAAAAAAAAAEAIAAA&#10;ACsBAABkcnMvZTJvRG9jLnhtbFBLBQYAAAAABgAGAFkBAADaBQAAAAA=&#10;">
                <v:fill on="f" focussize="0,0"/>
                <v:stroke on="f" weight="0.5pt"/>
                <v:imagedata o:title=""/>
                <o:lock v:ext="edit" aspectratio="f"/>
                <v:textbox>
                  <w:txbxContent>
                    <w:p w14:paraId="2C18EBA2">
                      <w:pPr>
                        <w:rPr>
                          <w:rFonts w:hint="eastAsia" w:eastAsia="宋体"/>
                          <w:b/>
                          <w:bCs/>
                          <w:color w:val="FFC000"/>
                          <w:lang w:val="en-US" w:eastAsia="zh-CN"/>
                        </w:rPr>
                      </w:pPr>
                      <w:r>
                        <w:rPr>
                          <w:rFonts w:hint="eastAsia"/>
                          <w:b/>
                          <w:bCs/>
                          <w:color w:val="FFC000"/>
                          <w:lang w:val="en-US" w:eastAsia="zh-CN"/>
                        </w:rPr>
                        <w:t>漫泗河</w:t>
                      </w:r>
                    </w:p>
                  </w:txbxContent>
                </v:textbox>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4276725</wp:posOffset>
                </wp:positionH>
                <wp:positionV relativeFrom="paragraph">
                  <wp:posOffset>2394585</wp:posOffset>
                </wp:positionV>
                <wp:extent cx="801370" cy="27749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80137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324F6">
                            <w:pPr>
                              <w:rPr>
                                <w:rFonts w:hint="eastAsia" w:eastAsia="宋体"/>
                                <w:b/>
                                <w:bCs/>
                                <w:color w:val="FFC000"/>
                                <w:lang w:val="en-US" w:eastAsia="zh-CN"/>
                              </w:rPr>
                            </w:pPr>
                            <w:r>
                              <w:rPr>
                                <w:rFonts w:hint="eastAsia"/>
                                <w:b/>
                                <w:bCs/>
                                <w:color w:val="FFC000"/>
                                <w:lang w:val="en-US" w:eastAsia="zh-CN"/>
                              </w:rPr>
                              <w:t>三泉沟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75pt;margin-top:188.55pt;height:21.85pt;width:63.1pt;z-index:251772928;mso-width-relative:page;mso-height-relative:page;" filled="f" stroked="f" coordsize="21600,21600" o:gfxdata="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vmxm23QAAAAsBAAAPAAAAAAAAAAEAIAAAACIA&#10;AABkcnMvZG93bnJldi54bWxQSwECFAAUAAAACACHTuJADio5aj0CAABpBAAADgAAAAAAAAABACAA&#10;AAAsAQAAZHJzL2Uyb0RvYy54bWxQSwUGAAAAAAYABgBZAQAA2wUAAAAA&#10;">
                <v:fill on="f" focussize="0,0"/>
                <v:stroke on="f" weight="0.5pt"/>
                <v:imagedata o:title=""/>
                <o:lock v:ext="edit" aspectratio="f"/>
                <v:textbox>
                  <w:txbxContent>
                    <w:p w14:paraId="3EA324F6">
                      <w:pPr>
                        <w:rPr>
                          <w:rFonts w:hint="eastAsia" w:eastAsia="宋体"/>
                          <w:b/>
                          <w:bCs/>
                          <w:color w:val="FFC000"/>
                          <w:lang w:val="en-US" w:eastAsia="zh-CN"/>
                        </w:rPr>
                      </w:pPr>
                      <w:r>
                        <w:rPr>
                          <w:rFonts w:hint="eastAsia"/>
                          <w:b/>
                          <w:bCs/>
                          <w:color w:val="FFC000"/>
                          <w:lang w:val="en-US" w:eastAsia="zh-CN"/>
                        </w:rPr>
                        <w:t>三泉沟</w:t>
                      </w:r>
                    </w:p>
                  </w:txbxContent>
                </v:textbox>
              </v:shape>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5437505</wp:posOffset>
                </wp:positionH>
                <wp:positionV relativeFrom="paragraph">
                  <wp:posOffset>2113280</wp:posOffset>
                </wp:positionV>
                <wp:extent cx="1162050" cy="277495"/>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AC6C36">
                            <w:pPr>
                              <w:rPr>
                                <w:rFonts w:hint="eastAsia" w:eastAsia="宋体"/>
                                <w:b/>
                                <w:bCs/>
                                <w:color w:val="FFC000"/>
                                <w:lang w:val="en-US" w:eastAsia="zh-CN"/>
                              </w:rPr>
                            </w:pPr>
                            <w:r>
                              <w:rPr>
                                <w:rFonts w:hint="eastAsia"/>
                                <w:b/>
                                <w:bCs/>
                                <w:color w:val="FFC000"/>
                                <w:lang w:val="en-US" w:eastAsia="zh-CN"/>
                              </w:rPr>
                              <w:t>东猪龙河西支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15pt;margin-top:166.4pt;height:21.85pt;width:91.5pt;z-index:251771904;mso-width-relative:page;mso-height-relative:page;" filled="f" stroked="f" coordsize="21600,21600" o:gfxdata="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p/jfq2wAAAAwBAAAPAAAAAAAAAAEAIAAAACIAAABk&#10;cnMvZG93bnJldi54bWxQSwECFAAUAAAACACHTuJAR9AUKzwCAABqBAAADgAAAAAAAAABACAAAAAq&#10;AQAAZHJzL2Uyb0RvYy54bWxQSwUGAAAAAAYABgBZAQAA2AUAAAAA&#10;">
                <v:fill on="f" focussize="0,0"/>
                <v:stroke on="f" weight="0.5pt"/>
                <v:imagedata o:title=""/>
                <o:lock v:ext="edit" aspectratio="f"/>
                <v:textbox>
                  <w:txbxContent>
                    <w:p w14:paraId="31AC6C36">
                      <w:pPr>
                        <w:rPr>
                          <w:rFonts w:hint="eastAsia" w:eastAsia="宋体"/>
                          <w:b/>
                          <w:bCs/>
                          <w:color w:val="FFC000"/>
                          <w:lang w:val="en-US" w:eastAsia="zh-CN"/>
                        </w:rPr>
                      </w:pPr>
                      <w:r>
                        <w:rPr>
                          <w:rFonts w:hint="eastAsia"/>
                          <w:b/>
                          <w:bCs/>
                          <w:color w:val="FFC000"/>
                          <w:lang w:val="en-US" w:eastAsia="zh-CN"/>
                        </w:rPr>
                        <w:t>东猪龙河西支</w:t>
                      </w:r>
                    </w:p>
                  </w:txbxContent>
                </v:textbox>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5768340</wp:posOffset>
                </wp:positionH>
                <wp:positionV relativeFrom="paragraph">
                  <wp:posOffset>1396365</wp:posOffset>
                </wp:positionV>
                <wp:extent cx="1162050" cy="277495"/>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B9CCED">
                            <w:pPr>
                              <w:rPr>
                                <w:rFonts w:hint="eastAsia" w:eastAsia="宋体"/>
                                <w:b/>
                                <w:bCs/>
                                <w:color w:val="FFC000"/>
                                <w:lang w:val="en-US" w:eastAsia="zh-CN"/>
                              </w:rPr>
                            </w:pPr>
                            <w:r>
                              <w:rPr>
                                <w:rFonts w:hint="eastAsia"/>
                                <w:b/>
                                <w:bCs/>
                                <w:color w:val="FFC000"/>
                                <w:lang w:val="en-US" w:eastAsia="zh-CN"/>
                              </w:rPr>
                              <w:t>东猪龙河东支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2pt;margin-top:109.95pt;height:21.85pt;width:91.5pt;z-index:251769856;mso-width-relative:page;mso-height-relative:page;" filled="f" stroked="f" coordsize="21600,21600" o:gfxdata="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MZgg/bAAAADAEAAA8AAAAAAAAAAQAgAAAAIgAAAGRy&#10;cy9kb3ducmV2LnhtbFBLAQIUABQAAAAIAIdO4kC0p9t6OwIAAGoEAAAOAAAAAAAAAAEAIAAAACoB&#10;AABkcnMvZTJvRG9jLnhtbFBLBQYAAAAABgAGAFkBAADXBQAAAAA=&#10;">
                <v:fill on="f" focussize="0,0"/>
                <v:stroke on="f" weight="0.5pt"/>
                <v:imagedata o:title=""/>
                <o:lock v:ext="edit" aspectratio="f"/>
                <v:textbox>
                  <w:txbxContent>
                    <w:p w14:paraId="71B9CCED">
                      <w:pPr>
                        <w:rPr>
                          <w:rFonts w:hint="eastAsia" w:eastAsia="宋体"/>
                          <w:b/>
                          <w:bCs/>
                          <w:color w:val="FFC000"/>
                          <w:lang w:val="en-US" w:eastAsia="zh-CN"/>
                        </w:rPr>
                      </w:pPr>
                      <w:r>
                        <w:rPr>
                          <w:rFonts w:hint="eastAsia"/>
                          <w:b/>
                          <w:bCs/>
                          <w:color w:val="FFC000"/>
                          <w:lang w:val="en-US" w:eastAsia="zh-CN"/>
                        </w:rPr>
                        <w:t>东猪龙河东支</w:t>
                      </w:r>
                    </w:p>
                  </w:txbxContent>
                </v:textbox>
              </v:shap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6997065</wp:posOffset>
                </wp:positionH>
                <wp:positionV relativeFrom="paragraph">
                  <wp:posOffset>1591310</wp:posOffset>
                </wp:positionV>
                <wp:extent cx="645795" cy="27749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64579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932BDC">
                            <w:pPr>
                              <w:rPr>
                                <w:rFonts w:hint="eastAsia" w:eastAsia="宋体"/>
                                <w:b/>
                                <w:bCs/>
                                <w:color w:val="FFC000"/>
                                <w:lang w:eastAsia="zh-CN"/>
                              </w:rPr>
                            </w:pPr>
                            <w:r>
                              <w:rPr>
                                <w:rFonts w:hint="eastAsia"/>
                                <w:b/>
                                <w:bCs/>
                                <w:color w:val="FFC000"/>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0.95pt;margin-top:125.3pt;height:21.85pt;width:50.85pt;z-index:251770880;mso-width-relative:page;mso-height-relative:page;" filled="f" stroked="f" coordsize="21600,21600" o:gfxdata="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yOymS3AAAAA0BAAAPAAAAAAAAAAEAIAAAACIAAABk&#10;cnMvZG93bnJldi54bWxQSwECFAAUAAAACACHTuJA3TpxNjsCAABpBAAADgAAAAAAAAABACAAAAAr&#10;AQAAZHJzL2Uyb0RvYy54bWxQSwUGAAAAAAYABgBZAQAA2AUAAAAA&#10;">
                <v:fill on="f" focussize="0,0"/>
                <v:stroke on="f" weight="0.5pt"/>
                <v:imagedata o:title=""/>
                <o:lock v:ext="edit" aspectratio="f"/>
                <v:textbox>
                  <w:txbxContent>
                    <w:p w14:paraId="30932BDC">
                      <w:pPr>
                        <w:rPr>
                          <w:rFonts w:hint="eastAsia" w:eastAsia="宋体"/>
                          <w:b/>
                          <w:bCs/>
                          <w:color w:val="FFC000"/>
                          <w:lang w:eastAsia="zh-CN"/>
                        </w:rPr>
                      </w:pPr>
                      <w:r>
                        <w:rPr>
                          <w:rFonts w:hint="eastAsia"/>
                          <w:b/>
                          <w:bCs/>
                          <w:color w:val="FFC000"/>
                          <w:lang w:eastAsia="zh-CN"/>
                        </w:rPr>
                        <w:t>涝淄河</w:t>
                      </w:r>
                    </w:p>
                  </w:txbxContent>
                </v:textbox>
              </v:shape>
            </w:pict>
          </mc:Fallback>
        </mc:AlternateContent>
      </w:r>
      <w:r>
        <w:rPr>
          <w:sz w:val="21"/>
        </w:rPr>
        <mc:AlternateContent>
          <mc:Choice Requires="wps">
            <w:drawing>
              <wp:anchor distT="0" distB="0" distL="114300" distR="114300" simplePos="0" relativeHeight="251768832" behindDoc="0" locked="0" layoutInCell="1" allowOverlap="1">
                <wp:simplePos x="0" y="0"/>
                <wp:positionH relativeFrom="column">
                  <wp:posOffset>8056245</wp:posOffset>
                </wp:positionH>
                <wp:positionV relativeFrom="paragraph">
                  <wp:posOffset>1805940</wp:posOffset>
                </wp:positionV>
                <wp:extent cx="1040765" cy="277495"/>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104076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B81D6B">
                            <w:pPr>
                              <w:rPr>
                                <w:rFonts w:hint="eastAsia" w:eastAsia="宋体"/>
                                <w:b/>
                                <w:bCs/>
                                <w:color w:val="FFC000"/>
                                <w:lang w:eastAsia="zh-CN"/>
                              </w:rPr>
                            </w:pPr>
                            <w:r>
                              <w:rPr>
                                <w:rFonts w:hint="eastAsia"/>
                                <w:b/>
                                <w:bCs/>
                                <w:color w:val="FFC000"/>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35pt;margin-top:142.2pt;height:21.85pt;width:81.95pt;z-index:251768832;mso-width-relative:page;mso-height-relative:page;" filled="f" stroked="f" coordsize="21600,21600" o:gfxdata="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LACMHcAAAADQEAAA8AAAAAAAAAAQAgAAAAIgAA&#10;AGRycy9kb3ducmV2LnhtbFBLAQIUABQAAAAIAIdO4kCZRabYPQIAAGoEAAAOAAAAAAAAAAEAIAAA&#10;ACsBAABkcnMvZTJvRG9jLnhtbFBLBQYAAAAABgAGAFkBAADaBQAAAAA=&#10;">
                <v:fill on="f" focussize="0,0"/>
                <v:stroke on="f" weight="0.5pt"/>
                <v:imagedata o:title=""/>
                <o:lock v:ext="edit" aspectratio="f"/>
                <v:textbox>
                  <w:txbxContent>
                    <w:p w14:paraId="0FB81D6B">
                      <w:pPr>
                        <w:rPr>
                          <w:rFonts w:hint="eastAsia" w:eastAsia="宋体"/>
                          <w:b/>
                          <w:bCs/>
                          <w:color w:val="FFC000"/>
                          <w:lang w:eastAsia="zh-CN"/>
                        </w:rPr>
                      </w:pPr>
                      <w:r>
                        <w:rPr>
                          <w:rFonts w:hint="eastAsia"/>
                          <w:b/>
                          <w:bCs/>
                          <w:color w:val="FFC000"/>
                          <w:lang w:eastAsia="zh-CN"/>
                        </w:rPr>
                        <w:t>大高村排涝沟</w:t>
                      </w:r>
                    </w:p>
                  </w:txbxContent>
                </v:textbox>
              </v:shape>
            </w:pict>
          </mc:Fallback>
        </mc:AlternateContent>
      </w:r>
      <w:r>
        <w:drawing>
          <wp:anchor distT="0" distB="0" distL="114300" distR="114300" simplePos="0" relativeHeight="251718656" behindDoc="0" locked="0" layoutInCell="1" allowOverlap="1">
            <wp:simplePos x="0" y="0"/>
            <wp:positionH relativeFrom="column">
              <wp:posOffset>8496300</wp:posOffset>
            </wp:positionH>
            <wp:positionV relativeFrom="paragraph">
              <wp:posOffset>71755</wp:posOffset>
            </wp:positionV>
            <wp:extent cx="733425" cy="739775"/>
            <wp:effectExtent l="0" t="0" r="9525" b="3175"/>
            <wp:wrapNone/>
            <wp:docPr id="20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8"/>
                    <pic:cNvPicPr>
                      <a:picLocks noChangeAspect="1"/>
                    </pic:cNvPicPr>
                  </pic:nvPicPr>
                  <pic:blipFill>
                    <a:blip r:embed="rId60"/>
                    <a:stretch>
                      <a:fillRect/>
                    </a:stretch>
                  </pic:blipFill>
                  <pic:spPr>
                    <a:xfrm>
                      <a:off x="0" y="0"/>
                      <a:ext cx="733425" cy="739775"/>
                    </a:xfrm>
                    <a:prstGeom prst="rect">
                      <a:avLst/>
                    </a:prstGeom>
                    <a:noFill/>
                    <a:ln>
                      <a:noFill/>
                    </a:ln>
                  </pic:spPr>
                </pic:pic>
              </a:graphicData>
            </a:graphic>
          </wp:anchor>
        </w:drawing>
      </w:r>
      <w:r>
        <w:drawing>
          <wp:inline distT="0" distB="0" distL="114300" distR="114300">
            <wp:extent cx="9241155" cy="4999355"/>
            <wp:effectExtent l="0" t="0" r="17145" b="10795"/>
            <wp:docPr id="2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pic:cNvPicPr>
                      <a:picLocks noChangeAspect="1"/>
                    </pic:cNvPicPr>
                  </pic:nvPicPr>
                  <pic:blipFill>
                    <a:blip r:embed="rId80"/>
                    <a:stretch>
                      <a:fillRect/>
                    </a:stretch>
                  </pic:blipFill>
                  <pic:spPr>
                    <a:xfrm>
                      <a:off x="0" y="0"/>
                      <a:ext cx="9241155" cy="4999355"/>
                    </a:xfrm>
                    <a:prstGeom prst="rect">
                      <a:avLst/>
                    </a:prstGeom>
                    <a:noFill/>
                    <a:ln>
                      <a:noFill/>
                    </a:ln>
                  </pic:spPr>
                </pic:pic>
              </a:graphicData>
            </a:graphic>
          </wp:inline>
        </w:drawing>
      </w:r>
    </w:p>
    <w:p w14:paraId="6B9AB0FE">
      <w:pPr>
        <w:jc w:val="left"/>
        <w:rPr>
          <w:rFonts w:hint="eastAsia" w:ascii="Times New Roman" w:hAnsi="Times New Roman" w:eastAsia="宋体" w:cs="Times New Roman"/>
          <w:b/>
          <w:bCs w:val="0"/>
          <w:kern w:val="0"/>
          <w:sz w:val="24"/>
          <w:szCs w:val="24"/>
          <w:highlight w:val="none"/>
          <w:lang w:val="en-US" w:eastAsia="zh-CN" w:bidi="ar-SA"/>
        </w:rPr>
      </w:pPr>
      <w:r>
        <w:rPr>
          <w:sz w:val="21"/>
        </w:rPr>
        <mc:AlternateContent>
          <mc:Choice Requires="wps">
            <w:drawing>
              <wp:anchor distT="0" distB="0" distL="114300" distR="114300" simplePos="0" relativeHeight="251978752" behindDoc="0" locked="0" layoutInCell="1" allowOverlap="1">
                <wp:simplePos x="0" y="0"/>
                <wp:positionH relativeFrom="column">
                  <wp:posOffset>3603625</wp:posOffset>
                </wp:positionH>
                <wp:positionV relativeFrom="paragraph">
                  <wp:posOffset>-65405</wp:posOffset>
                </wp:positionV>
                <wp:extent cx="2197100" cy="1461135"/>
                <wp:effectExtent l="6350" t="6350" r="444500" b="18415"/>
                <wp:wrapNone/>
                <wp:docPr id="235" name="矩形标注 235"/>
                <wp:cNvGraphicFramePr/>
                <a:graphic xmlns:a="http://schemas.openxmlformats.org/drawingml/2006/main">
                  <a:graphicData uri="http://schemas.microsoft.com/office/word/2010/wordprocessingShape">
                    <wps:wsp>
                      <wps:cNvSpPr/>
                      <wps:spPr>
                        <a:xfrm>
                          <a:off x="0" y="0"/>
                          <a:ext cx="2197100" cy="1461135"/>
                        </a:xfrm>
                        <a:prstGeom prst="wedgeRectCallout">
                          <a:avLst>
                            <a:gd name="adj1" fmla="val 68690"/>
                            <a:gd name="adj2" fmla="val 3507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954B03">
                            <w:pPr>
                              <w:jc w:val="center"/>
                              <w:rPr>
                                <w:rFonts w:hint="eastAsia" w:eastAsia="宋体"/>
                                <w:lang w:eastAsia="zh-CN"/>
                              </w:rPr>
                            </w:pPr>
                            <w:r>
                              <w:rPr>
                                <w:rFonts w:hint="eastAsia" w:eastAsia="宋体"/>
                                <w:lang w:eastAsia="zh-CN"/>
                              </w:rPr>
                              <w:drawing>
                                <wp:inline distT="0" distB="0" distL="114300" distR="114300">
                                  <wp:extent cx="1818640" cy="1306195"/>
                                  <wp:effectExtent l="15875" t="15875" r="32385" b="30480"/>
                                  <wp:docPr id="239" name="图片 239" descr="177382602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1773826029459"/>
                                          <pic:cNvPicPr>
                                            <a:picLocks noChangeAspect="1"/>
                                          </pic:cNvPicPr>
                                        </pic:nvPicPr>
                                        <pic:blipFill>
                                          <a:blip r:embed="rId81"/>
                                          <a:srcRect b="29223"/>
                                          <a:stretch>
                                            <a:fillRect/>
                                          </a:stretch>
                                        </pic:blipFill>
                                        <pic:spPr>
                                          <a:xfrm>
                                            <a:off x="0" y="0"/>
                                            <a:ext cx="1818640" cy="1306195"/>
                                          </a:xfrm>
                                          <a:prstGeom prst="rect">
                                            <a:avLst/>
                                          </a:prstGeom>
                                          <a:ln w="15875" cmpd="sng">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3.75pt;margin-top:-5.15pt;height:115.05pt;width:173pt;z-index:251978752;v-text-anchor:middle;mso-width-relative:page;mso-height-relative:page;" filled="f" stroked="t" coordsize="21600,21600" o:gfxdata="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xAC9fYAAAACwEAAA8AAAAAAAAAAQAgAAAAIgAAAGRycy9kb3du&#10;cmV2LnhtbFBLAQIUABQAAAAIAIdO4kAW7B39qgIAAD4FAAAOAAAAAAAAAAEAIAAAACcBAABkcnMv&#10;ZTJvRG9jLnhtbFBLBQYAAAAABgAGAFkBAABDBgAAAAA=&#10;" adj="25637,18375">
                <v:fill on="f" focussize="0,0"/>
                <v:stroke weight="1pt" color="#FF0000 [2404]" miterlimit="8" joinstyle="miter"/>
                <v:imagedata o:title=""/>
                <o:lock v:ext="edit" aspectratio="f"/>
                <v:textbox>
                  <w:txbxContent>
                    <w:p w14:paraId="29954B03">
                      <w:pPr>
                        <w:jc w:val="center"/>
                        <w:rPr>
                          <w:rFonts w:hint="eastAsia" w:eastAsia="宋体"/>
                          <w:lang w:eastAsia="zh-CN"/>
                        </w:rPr>
                      </w:pPr>
                      <w:r>
                        <w:rPr>
                          <w:rFonts w:hint="eastAsia" w:eastAsia="宋体"/>
                          <w:lang w:eastAsia="zh-CN"/>
                        </w:rPr>
                        <w:drawing>
                          <wp:inline distT="0" distB="0" distL="114300" distR="114300">
                            <wp:extent cx="1818640" cy="1306195"/>
                            <wp:effectExtent l="15875" t="15875" r="32385" b="30480"/>
                            <wp:docPr id="239" name="图片 239" descr="177382602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1773826029459"/>
                                    <pic:cNvPicPr>
                                      <a:picLocks noChangeAspect="1"/>
                                    </pic:cNvPicPr>
                                  </pic:nvPicPr>
                                  <pic:blipFill>
                                    <a:blip r:embed="rId81"/>
                                    <a:srcRect b="29223"/>
                                    <a:stretch>
                                      <a:fillRect/>
                                    </a:stretch>
                                  </pic:blipFill>
                                  <pic:spPr>
                                    <a:xfrm>
                                      <a:off x="0" y="0"/>
                                      <a:ext cx="1818640" cy="1306195"/>
                                    </a:xfrm>
                                    <a:prstGeom prst="rect">
                                      <a:avLst/>
                                    </a:prstGeom>
                                    <a:ln w="15875" cmpd="sng">
                                      <a:solidFill>
                                        <a:schemeClr val="tx1"/>
                                      </a:solidFill>
                                      <a:prstDash val="solid"/>
                                    </a:ln>
                                  </pic:spPr>
                                </pic:pic>
                              </a:graphicData>
                            </a:graphic>
                          </wp:inline>
                        </w:drawing>
                      </w:r>
                    </w:p>
                  </w:txbxContent>
                </v:textbox>
              </v:shape>
            </w:pict>
          </mc:Fallback>
        </mc:AlternateContent>
      </w:r>
      <w:r>
        <w:rPr>
          <w:rFonts w:hint="eastAsia"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8</w:t>
      </w:r>
      <w:r>
        <w:rPr>
          <w:rFonts w:hint="eastAsia" w:ascii="Times New Roman" w:hAnsi="Times New Roman" w:eastAsia="宋体" w:cs="Times New Roman"/>
          <w:b/>
          <w:bCs w:val="0"/>
          <w:kern w:val="0"/>
          <w:sz w:val="24"/>
          <w:szCs w:val="24"/>
          <w:highlight w:val="none"/>
          <w:lang w:val="en-US" w:eastAsia="zh-CN" w:bidi="ar-SA"/>
        </w:rPr>
        <w:t xml:space="preserve"> </w:t>
      </w:r>
      <w:r>
        <w:rPr>
          <w:rFonts w:hint="eastAsia" w:cs="Times New Roman"/>
          <w:b/>
          <w:bCs w:val="0"/>
          <w:kern w:val="0"/>
          <w:sz w:val="24"/>
          <w:szCs w:val="24"/>
          <w:highlight w:val="none"/>
          <w:lang w:val="en-US" w:eastAsia="zh-CN" w:bidi="ar-SA"/>
        </w:rPr>
        <w:t>工程沿线200m噪声</w:t>
      </w:r>
      <w:r>
        <w:rPr>
          <w:rFonts w:hint="eastAsia" w:ascii="Times New Roman" w:hAnsi="Times New Roman" w:eastAsia="宋体" w:cs="Times New Roman"/>
          <w:b/>
          <w:bCs w:val="0"/>
          <w:kern w:val="0"/>
          <w:sz w:val="24"/>
          <w:szCs w:val="24"/>
          <w:highlight w:val="none"/>
          <w:lang w:val="en-US" w:eastAsia="zh-CN" w:bidi="ar-SA"/>
        </w:rPr>
        <w:t>现状监测布点图</w:t>
      </w:r>
    </w:p>
    <w:p w14:paraId="3B257B41">
      <w:pPr>
        <w:pStyle w:val="2"/>
        <w:ind w:left="0" w:leftChars="0" w:firstLine="0" w:firstLineChars="0"/>
        <w:rPr>
          <w:rFonts w:hint="eastAsia"/>
          <w:lang w:val="en-US" w:eastAsia="zh-CN"/>
        </w:rPr>
      </w:pPr>
      <w:r>
        <w:rPr>
          <w:sz w:val="21"/>
        </w:rPr>
        <mc:AlternateContent>
          <mc:Choice Requires="wps">
            <w:drawing>
              <wp:anchor distT="0" distB="0" distL="114300" distR="114300" simplePos="0" relativeHeight="251977728" behindDoc="0" locked="0" layoutInCell="1" allowOverlap="1">
                <wp:simplePos x="0" y="0"/>
                <wp:positionH relativeFrom="column">
                  <wp:posOffset>6870065</wp:posOffset>
                </wp:positionH>
                <wp:positionV relativeFrom="paragraph">
                  <wp:posOffset>2440940</wp:posOffset>
                </wp:positionV>
                <wp:extent cx="1736090" cy="1577975"/>
                <wp:effectExtent l="6350" t="1094105" r="10160" b="13970"/>
                <wp:wrapNone/>
                <wp:docPr id="228" name="矩形标注 228"/>
                <wp:cNvGraphicFramePr/>
                <a:graphic xmlns:a="http://schemas.openxmlformats.org/drawingml/2006/main">
                  <a:graphicData uri="http://schemas.microsoft.com/office/word/2010/wordprocessingShape">
                    <wps:wsp>
                      <wps:cNvSpPr/>
                      <wps:spPr>
                        <a:xfrm>
                          <a:off x="8493760" y="1287145"/>
                          <a:ext cx="1736090" cy="1577975"/>
                        </a:xfrm>
                        <a:prstGeom prst="wedgeRectCallout">
                          <a:avLst>
                            <a:gd name="adj1" fmla="val 14484"/>
                            <a:gd name="adj2" fmla="val -117323"/>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D03551">
                            <w:pPr>
                              <w:jc w:val="center"/>
                            </w:pPr>
                            <w:r>
                              <w:drawing>
                                <wp:inline distT="0" distB="0" distL="114300" distR="114300">
                                  <wp:extent cx="1492885" cy="1340485"/>
                                  <wp:effectExtent l="15875" t="15875" r="34290" b="34290"/>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82"/>
                                          <a:srcRect l="20042" r="20816"/>
                                          <a:stretch>
                                            <a:fillRect/>
                                          </a:stretch>
                                        </pic:blipFill>
                                        <pic:spPr>
                                          <a:xfrm>
                                            <a:off x="0" y="0"/>
                                            <a:ext cx="1492885" cy="1340485"/>
                                          </a:xfrm>
                                          <a:prstGeom prst="rect">
                                            <a:avLst/>
                                          </a:prstGeom>
                                          <a:noFill/>
                                          <a:ln w="15875" cmpd="sng">
                                            <a:solidFill>
                                              <a:schemeClr val="tx1"/>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40.95pt;margin-top:192.2pt;height:124.25pt;width:136.7pt;z-index:251977728;v-text-anchor:middle;mso-width-relative:page;mso-height-relative:page;" filled="f" stroked="t" coordsize="21600,21600" o:gfxdata="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aHuycdoAAAANAQAADwAAAAAAAAABACAA&#10;AAAiAAAAZHJzL2Rvd25yZXYueG1sUEsBAhQAFAAAAAgAh07iQEYeiOK2AgAATAUAAA4AAAAAAAAA&#10;AQAgAAAAKQEAAGRycy9lMm9Eb2MueG1sUEsFBgAAAAAGAAYAWQEAAFEGAAAAAA==&#10;" adj="13929,-14542">
                <v:fill on="f" focussize="0,0"/>
                <v:stroke weight="1pt" color="#FF0000 [2404]" miterlimit="8" joinstyle="miter"/>
                <v:imagedata o:title=""/>
                <o:lock v:ext="edit" aspectratio="f"/>
                <v:textbox>
                  <w:txbxContent>
                    <w:p w14:paraId="62D03551">
                      <w:pPr>
                        <w:jc w:val="center"/>
                      </w:pPr>
                      <w:r>
                        <w:drawing>
                          <wp:inline distT="0" distB="0" distL="114300" distR="114300">
                            <wp:extent cx="1492885" cy="1340485"/>
                            <wp:effectExtent l="15875" t="15875" r="34290" b="34290"/>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82"/>
                                    <a:srcRect l="20042" r="20816"/>
                                    <a:stretch>
                                      <a:fillRect/>
                                    </a:stretch>
                                  </pic:blipFill>
                                  <pic:spPr>
                                    <a:xfrm>
                                      <a:off x="0" y="0"/>
                                      <a:ext cx="1492885" cy="1340485"/>
                                    </a:xfrm>
                                    <a:prstGeom prst="rect">
                                      <a:avLst/>
                                    </a:prstGeom>
                                    <a:noFill/>
                                    <a:ln w="15875" cmpd="sng">
                                      <a:solidFill>
                                        <a:schemeClr val="tx1"/>
                                      </a:solidFill>
                                      <a:prstDash val="solid"/>
                                    </a:ln>
                                  </pic:spPr>
                                </pic:pic>
                              </a:graphicData>
                            </a:graphic>
                          </wp:inline>
                        </w:drawing>
                      </w:r>
                    </w:p>
                  </w:txbxContent>
                </v:textbox>
              </v:shape>
            </w:pict>
          </mc:Fallback>
        </mc:AlternateContent>
      </w:r>
      <w:r>
        <w:drawing>
          <wp:anchor distT="0" distB="0" distL="114300" distR="114300" simplePos="0" relativeHeight="251973632" behindDoc="0" locked="0" layoutInCell="1" allowOverlap="1">
            <wp:simplePos x="0" y="0"/>
            <wp:positionH relativeFrom="column">
              <wp:posOffset>8574405</wp:posOffset>
            </wp:positionH>
            <wp:positionV relativeFrom="paragraph">
              <wp:posOffset>88265</wp:posOffset>
            </wp:positionV>
            <wp:extent cx="661670" cy="668020"/>
            <wp:effectExtent l="0" t="0" r="5080" b="17780"/>
            <wp:wrapNone/>
            <wp:docPr id="21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98"/>
                    <pic:cNvPicPr>
                      <a:picLocks noChangeAspect="1"/>
                    </pic:cNvPicPr>
                  </pic:nvPicPr>
                  <pic:blipFill>
                    <a:blip r:embed="rId60"/>
                    <a:stretch>
                      <a:fillRect/>
                    </a:stretch>
                  </pic:blipFill>
                  <pic:spPr>
                    <a:xfrm>
                      <a:off x="0" y="0"/>
                      <a:ext cx="661670" cy="668020"/>
                    </a:xfrm>
                    <a:prstGeom prst="rect">
                      <a:avLst/>
                    </a:prstGeom>
                    <a:noFill/>
                    <a:ln>
                      <a:noFill/>
                    </a:ln>
                  </pic:spPr>
                </pic:pic>
              </a:graphicData>
            </a:graphic>
          </wp:anchor>
        </w:drawing>
      </w:r>
      <w:r>
        <w:rPr>
          <w:sz w:val="21"/>
        </w:rPr>
        <mc:AlternateContent>
          <mc:Choice Requires="wps">
            <w:drawing>
              <wp:anchor distT="0" distB="0" distL="114300" distR="114300" simplePos="0" relativeHeight="251976704" behindDoc="0" locked="0" layoutInCell="1" allowOverlap="1">
                <wp:simplePos x="0" y="0"/>
                <wp:positionH relativeFrom="column">
                  <wp:posOffset>116205</wp:posOffset>
                </wp:positionH>
                <wp:positionV relativeFrom="paragraph">
                  <wp:posOffset>4263390</wp:posOffset>
                </wp:positionV>
                <wp:extent cx="116840" cy="116840"/>
                <wp:effectExtent l="6350" t="6350" r="10160" b="10160"/>
                <wp:wrapNone/>
                <wp:docPr id="226" name="椭圆 226"/>
                <wp:cNvGraphicFramePr/>
                <a:graphic xmlns:a="http://schemas.openxmlformats.org/drawingml/2006/main">
                  <a:graphicData uri="http://schemas.microsoft.com/office/word/2010/wordprocessingShape">
                    <wps:wsp>
                      <wps:cNvSpPr/>
                      <wps:spPr>
                        <a:xfrm>
                          <a:off x="0" y="0"/>
                          <a:ext cx="116840" cy="11684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15pt;margin-top:335.7pt;height:9.2pt;width:9.2pt;z-index:251976704;v-text-anchor:middle;mso-width-relative:page;mso-height-relative:page;" filled="f" stroked="t" coordsize="21600,21600" o:gfxdata="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uJ4pv1QAAAAkBAAAPAAAAAAAAAAEAIAAAACIAAABkcnMvZG93bnJldi54bWxQSwEC&#10;FAAUAAAACACHTuJAPXkzeWkCAADRBAAADgAAAAAAAAABACAAAAAkAQAAZHJzL2Uyb0RvYy54bWxQ&#10;SwUGAAAAAAYABgBZAQAA/wUAAAAA&#1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75680" behindDoc="0" locked="0" layoutInCell="1" allowOverlap="1">
                <wp:simplePos x="0" y="0"/>
                <wp:positionH relativeFrom="column">
                  <wp:posOffset>67945</wp:posOffset>
                </wp:positionH>
                <wp:positionV relativeFrom="paragraph">
                  <wp:posOffset>3917950</wp:posOffset>
                </wp:positionV>
                <wp:extent cx="238125" cy="5715"/>
                <wp:effectExtent l="0" t="0" r="0" b="0"/>
                <wp:wrapNone/>
                <wp:docPr id="220" name="直接连接符 220"/>
                <wp:cNvGraphicFramePr/>
                <a:graphic xmlns:a="http://schemas.openxmlformats.org/drawingml/2006/main">
                  <a:graphicData uri="http://schemas.microsoft.com/office/word/2010/wordprocessingShape">
                    <wps:wsp>
                      <wps:cNvCnPr/>
                      <wps:spPr>
                        <a:xfrm>
                          <a:off x="0" y="0"/>
                          <a:ext cx="238125" cy="5715"/>
                        </a:xfrm>
                        <a:prstGeom prst="line">
                          <a:avLst/>
                        </a:prstGeom>
                        <a:ln w="19050">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35pt;margin-top:308.5pt;height:0.45pt;width:18.75pt;z-index:251975680;mso-width-relative:page;mso-height-relative:page;" filled="f" stroked="t" coordsize="21600,21600" o:gfxdata="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5&#10;zPtk2AAAAAkBAAAPAAAAAAAAAAEAIAAAACIAAABkcnMvZG93bnJldi54bWxQSwECFAAUAAAACACH&#10;TuJAoH9pgOsBAAC4AwAADgAAAAAAAAABACAAAAAnAQAAZHJzL2Uyb0RvYy54bWxQSwUGAAAAAAYA&#10;BgBZAQAAhAUAAAAA&#10;">
                <v:fill on="f" focussize="0,0"/>
                <v:stroke weight="1.5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74656" behindDoc="0" locked="0" layoutInCell="1" allowOverlap="1">
                <wp:simplePos x="0" y="0"/>
                <wp:positionH relativeFrom="column">
                  <wp:posOffset>-5715</wp:posOffset>
                </wp:positionH>
                <wp:positionV relativeFrom="paragraph">
                  <wp:posOffset>3584575</wp:posOffset>
                </wp:positionV>
                <wp:extent cx="1154430" cy="887730"/>
                <wp:effectExtent l="4445" t="4445" r="22225" b="22225"/>
                <wp:wrapNone/>
                <wp:docPr id="223" name="文本框 223"/>
                <wp:cNvGraphicFramePr/>
                <a:graphic xmlns:a="http://schemas.openxmlformats.org/drawingml/2006/main">
                  <a:graphicData uri="http://schemas.microsoft.com/office/word/2010/wordprocessingShape">
                    <wps:wsp>
                      <wps:cNvSpPr txBox="1"/>
                      <wps:spPr>
                        <a:xfrm>
                          <a:off x="0" y="0"/>
                          <a:ext cx="1154430" cy="8877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20348E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2AB87CC">
                            <w:pPr>
                              <w:pStyle w:val="2"/>
                              <w:rPr>
                                <w:rFonts w:hint="eastAsia"/>
                                <w:lang w:eastAsia="zh-CN"/>
                              </w:rPr>
                            </w:pPr>
                            <w:r>
                              <w:rPr>
                                <w:rFonts w:hint="eastAsia"/>
                                <w:lang w:eastAsia="zh-CN"/>
                              </w:rPr>
                              <w:t>河流</w:t>
                            </w:r>
                          </w:p>
                          <w:p w14:paraId="036BC0FD">
                            <w:pPr>
                              <w:pStyle w:val="2"/>
                              <w:ind w:left="0" w:leftChars="0" w:firstLine="0" w:firstLineChars="0"/>
                              <w:rPr>
                                <w:rFonts w:hint="eastAsia"/>
                                <w:lang w:eastAsia="zh-CN"/>
                              </w:rPr>
                            </w:pPr>
                            <w:r>
                              <w:drawing>
                                <wp:inline distT="0" distB="0" distL="114300" distR="114300">
                                  <wp:extent cx="113665" cy="149225"/>
                                  <wp:effectExtent l="0" t="0" r="635" b="3175"/>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83"/>
                                          <a:stretch>
                                            <a:fillRect/>
                                          </a:stretch>
                                        </pic:blipFill>
                                        <pic:spPr>
                                          <a:xfrm>
                                            <a:off x="0" y="0"/>
                                            <a:ext cx="113665" cy="149225"/>
                                          </a:xfrm>
                                          <a:prstGeom prst="rect">
                                            <a:avLst/>
                                          </a:prstGeom>
                                          <a:noFill/>
                                          <a:ln>
                                            <a:noFill/>
                                          </a:ln>
                                        </pic:spPr>
                                      </pic:pic>
                                    </a:graphicData>
                                  </a:graphic>
                                </wp:inline>
                              </w:drawing>
                            </w:r>
                            <w:r>
                              <w:rPr>
                                <w:rFonts w:hint="eastAsia"/>
                                <w:lang w:val="en-US" w:eastAsia="zh-CN"/>
                              </w:rPr>
                              <w:t xml:space="preserve">  </w:t>
                            </w:r>
                            <w:r>
                              <w:rPr>
                                <w:rFonts w:hint="eastAsia"/>
                                <w:lang w:eastAsia="zh-CN"/>
                              </w:rPr>
                              <w:t>噪声监测点</w:t>
                            </w:r>
                          </w:p>
                          <w:p w14:paraId="5BFAE64C">
                            <w:pPr>
                              <w:pStyle w:val="2"/>
                              <w:rPr>
                                <w:rFonts w:hint="default"/>
                                <w:lang w:val="en-US" w:eastAsia="zh-CN"/>
                              </w:rPr>
                            </w:pPr>
                            <w:r>
                              <w:rPr>
                                <w:rFonts w:hint="eastAsia"/>
                                <w:lang w:val="en-US" w:eastAsia="zh-CN"/>
                              </w:rPr>
                              <w:t>200m范围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5pt;margin-top:282.25pt;height:69.9pt;width:90.9pt;z-index:251974656;mso-width-relative:page;mso-height-relative:page;" fillcolor="#FFFFFF [3201]" filled="t" stroked="t" coordsize="21600,21600" o:gfxdata="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sasstcA&#10;AAAJAQAADwAAAAAAAAABACAAAAAiAAAAZHJzL2Rvd25yZXYueG1sUEsBAhQAFAAAAAgAh07iQJtm&#10;umBZAgAAuwQAAA4AAAAAAAAAAQAgAAAAJgEAAGRycy9lMm9Eb2MueG1sUEsFBgAAAAAGAAYAWQEA&#10;APEFAAAAAA==&#10;">
                <v:fill on="t" focussize="0,0"/>
                <v:stroke weight="0.5pt" color="#000000 [3204]" joinstyle="round"/>
                <v:imagedata o:title=""/>
                <o:lock v:ext="edit" aspectratio="f"/>
                <v:textbox>
                  <w:txbxContent>
                    <w:p w14:paraId="520348E5">
                      <w:pPr>
                        <w:jc w:val="center"/>
                        <w:rPr>
                          <w:rFonts w:hint="eastAsia"/>
                          <w:lang w:eastAsia="zh-CN"/>
                        </w:rPr>
                      </w:pPr>
                      <w:r>
                        <w:rPr>
                          <w:rFonts w:hint="eastAsia"/>
                          <w:lang w:eastAsia="zh-CN"/>
                        </w:rPr>
                        <w:t>图</w:t>
                      </w:r>
                      <w:r>
                        <w:rPr>
                          <w:rFonts w:hint="eastAsia"/>
                          <w:lang w:val="en-US" w:eastAsia="zh-CN"/>
                        </w:rPr>
                        <w:t xml:space="preserve">   </w:t>
                      </w:r>
                      <w:r>
                        <w:rPr>
                          <w:rFonts w:hint="eastAsia"/>
                          <w:lang w:eastAsia="zh-CN"/>
                        </w:rPr>
                        <w:t>例</w:t>
                      </w:r>
                    </w:p>
                    <w:p w14:paraId="52AB87CC">
                      <w:pPr>
                        <w:pStyle w:val="2"/>
                        <w:rPr>
                          <w:rFonts w:hint="eastAsia"/>
                          <w:lang w:eastAsia="zh-CN"/>
                        </w:rPr>
                      </w:pPr>
                      <w:r>
                        <w:rPr>
                          <w:rFonts w:hint="eastAsia"/>
                          <w:lang w:eastAsia="zh-CN"/>
                        </w:rPr>
                        <w:t>河流</w:t>
                      </w:r>
                    </w:p>
                    <w:p w14:paraId="036BC0FD">
                      <w:pPr>
                        <w:pStyle w:val="2"/>
                        <w:ind w:left="0" w:leftChars="0" w:firstLine="0" w:firstLineChars="0"/>
                        <w:rPr>
                          <w:rFonts w:hint="eastAsia"/>
                          <w:lang w:eastAsia="zh-CN"/>
                        </w:rPr>
                      </w:pPr>
                      <w:r>
                        <w:drawing>
                          <wp:inline distT="0" distB="0" distL="114300" distR="114300">
                            <wp:extent cx="113665" cy="149225"/>
                            <wp:effectExtent l="0" t="0" r="635" b="3175"/>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83"/>
                                    <a:stretch>
                                      <a:fillRect/>
                                    </a:stretch>
                                  </pic:blipFill>
                                  <pic:spPr>
                                    <a:xfrm>
                                      <a:off x="0" y="0"/>
                                      <a:ext cx="113665" cy="149225"/>
                                    </a:xfrm>
                                    <a:prstGeom prst="rect">
                                      <a:avLst/>
                                    </a:prstGeom>
                                    <a:noFill/>
                                    <a:ln>
                                      <a:noFill/>
                                    </a:ln>
                                  </pic:spPr>
                                </pic:pic>
                              </a:graphicData>
                            </a:graphic>
                          </wp:inline>
                        </w:drawing>
                      </w:r>
                      <w:r>
                        <w:rPr>
                          <w:rFonts w:hint="eastAsia"/>
                          <w:lang w:val="en-US" w:eastAsia="zh-CN"/>
                        </w:rPr>
                        <w:t xml:space="preserve">  </w:t>
                      </w:r>
                      <w:r>
                        <w:rPr>
                          <w:rFonts w:hint="eastAsia"/>
                          <w:lang w:eastAsia="zh-CN"/>
                        </w:rPr>
                        <w:t>噪声监测点</w:t>
                      </w:r>
                    </w:p>
                    <w:p w14:paraId="5BFAE64C">
                      <w:pPr>
                        <w:pStyle w:val="2"/>
                        <w:rPr>
                          <w:rFonts w:hint="default"/>
                          <w:lang w:val="en-US" w:eastAsia="zh-CN"/>
                        </w:rPr>
                      </w:pPr>
                      <w:r>
                        <w:rPr>
                          <w:rFonts w:hint="eastAsia"/>
                          <w:lang w:val="en-US" w:eastAsia="zh-CN"/>
                        </w:rPr>
                        <w:t>200m范围</w:t>
                      </w:r>
                    </w:p>
                  </w:txbxContent>
                </v:textbox>
              </v:shape>
            </w:pict>
          </mc:Fallback>
        </mc:AlternateContent>
      </w:r>
      <w:r>
        <w:drawing>
          <wp:inline distT="0" distB="0" distL="114300" distR="114300">
            <wp:extent cx="9241155" cy="4378325"/>
            <wp:effectExtent l="0" t="0" r="17145" b="3175"/>
            <wp:docPr id="2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
                    <pic:cNvPicPr>
                      <a:picLocks noChangeAspect="1"/>
                    </pic:cNvPicPr>
                  </pic:nvPicPr>
                  <pic:blipFill>
                    <a:blip r:embed="rId84"/>
                    <a:stretch>
                      <a:fillRect/>
                    </a:stretch>
                  </pic:blipFill>
                  <pic:spPr>
                    <a:xfrm>
                      <a:off x="0" y="0"/>
                      <a:ext cx="9241155" cy="4378325"/>
                    </a:xfrm>
                    <a:prstGeom prst="rect">
                      <a:avLst/>
                    </a:prstGeom>
                    <a:noFill/>
                    <a:ln>
                      <a:noFill/>
                    </a:ln>
                  </pic:spPr>
                </pic:pic>
              </a:graphicData>
            </a:graphic>
          </wp:inline>
        </w:drawing>
      </w:r>
    </w:p>
    <w:p w14:paraId="56BDECEA">
      <w:pPr>
        <w:pStyle w:val="2"/>
        <w:ind w:left="0" w:leftChars="0" w:firstLine="0" w:firstLineChars="0"/>
      </w:pPr>
    </w:p>
    <w:p w14:paraId="455F166F">
      <w:pPr>
        <w:pStyle w:val="2"/>
        <w:ind w:left="0" w:leftChars="0" w:firstLine="0" w:firstLineChars="0"/>
        <w:rPr>
          <w:rFonts w:hint="eastAsia"/>
          <w:lang w:val="en-US" w:eastAsia="zh-CN"/>
        </w:rPr>
      </w:pPr>
    </w:p>
    <w:p w14:paraId="1238E186">
      <w:pPr>
        <w:jc w:val="left"/>
        <w:rPr>
          <w:rFonts w:hint="default" w:ascii="Times New Roman" w:hAnsi="Times New Roman" w:eastAsia="宋体" w:cs="Times New Roman"/>
          <w:b/>
          <w:bCs w:val="0"/>
          <w:kern w:val="0"/>
          <w:sz w:val="24"/>
          <w:szCs w:val="24"/>
          <w:highlight w:val="none"/>
          <w:lang w:val="en-US" w:eastAsia="zh-CN" w:bidi="ar-SA"/>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2F7911AE">
      <w:pPr>
        <w:jc w:val="left"/>
        <w:rPr>
          <w:rFonts w:hint="default" w:ascii="Times New Roman" w:hAnsi="Times New Roman" w:eastAsia="宋体" w:cs="Times New Roman"/>
          <w:lang w:eastAsia="zh-CN"/>
        </w:rPr>
      </w:pPr>
      <w:r>
        <w:rPr>
          <w:rFonts w:hint="default" w:ascii="Times New Roman" w:hAnsi="Times New Roman" w:eastAsia="宋体" w:cs="Times New Roman"/>
          <w:highlight w:val="none"/>
        </w:rPr>
        <w:drawing>
          <wp:anchor distT="0" distB="0" distL="114300" distR="114300" simplePos="0" relativeHeight="251799552" behindDoc="0" locked="0" layoutInCell="1" allowOverlap="1">
            <wp:simplePos x="0" y="0"/>
            <wp:positionH relativeFrom="page">
              <wp:posOffset>9217660</wp:posOffset>
            </wp:positionH>
            <wp:positionV relativeFrom="paragraph">
              <wp:posOffset>230505</wp:posOffset>
            </wp:positionV>
            <wp:extent cx="733425" cy="739775"/>
            <wp:effectExtent l="0" t="0" r="9525" b="3175"/>
            <wp:wrapNone/>
            <wp:docPr id="23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98"/>
                    <pic:cNvPicPr>
                      <a:picLocks noChangeAspect="1"/>
                    </pic:cNvPicPr>
                  </pic:nvPicPr>
                  <pic:blipFill>
                    <a:blip r:embed="rId60"/>
                    <a:stretch>
                      <a:fillRect/>
                    </a:stretch>
                  </pic:blipFill>
                  <pic:spPr>
                    <a:xfrm>
                      <a:off x="0" y="0"/>
                      <a:ext cx="733425" cy="739775"/>
                    </a:xfrm>
                    <a:prstGeom prst="rect">
                      <a:avLst/>
                    </a:prstGeom>
                    <a:noFill/>
                    <a:ln>
                      <a:noFill/>
                    </a:ln>
                  </pic:spPr>
                </pic:pic>
              </a:graphicData>
            </a:graphic>
          </wp:anchor>
        </w:drawing>
      </w:r>
      <w:r>
        <w:rPr>
          <w:rFonts w:hint="default" w:ascii="Times New Roman" w:hAnsi="Times New Roman" w:eastAsia="宋体" w:cs="Times New Roman"/>
          <w:sz w:val="24"/>
          <w:highlight w:val="none"/>
        </w:rPr>
        <mc:AlternateContent>
          <mc:Choice Requires="wps">
            <w:drawing>
              <wp:anchor distT="0" distB="0" distL="114300" distR="114300" simplePos="0" relativeHeight="251800576" behindDoc="0" locked="0" layoutInCell="1" allowOverlap="1">
                <wp:simplePos x="0" y="0"/>
                <wp:positionH relativeFrom="column">
                  <wp:posOffset>8641080</wp:posOffset>
                </wp:positionH>
                <wp:positionV relativeFrom="paragraph">
                  <wp:posOffset>2362200</wp:posOffset>
                </wp:positionV>
                <wp:extent cx="107950" cy="107950"/>
                <wp:effectExtent l="4445" t="4445" r="20955" b="20955"/>
                <wp:wrapNone/>
                <wp:docPr id="236" name="椭圆 23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680.4pt;margin-top:186pt;height:8.5pt;width:8.5pt;z-index:251800576;mso-width-relative:page;mso-height-relative:page;" fillcolor="#00B0F0" filled="t" stroked="t" coordsize="21600,21600" o:gfxdata="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L+HCY9kAAAANAQAADwAAAAAAAAABACAAAAAiAAAAZHJzL2Rvd25yZXYueG1sUEsB&#10;AhQAFAAAAAgAh07iQFOGxh/0AQAAGgQAAA4AAAAAAAAAAQAgAAAAKA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9</w:t>
      </w:r>
      <w:r>
        <w:rPr>
          <w:rFonts w:hint="default" w:ascii="Times New Roman" w:hAnsi="Times New Roman" w:eastAsia="宋体" w:cs="Times New Roman"/>
          <w:b/>
          <w:bCs w:val="0"/>
          <w:kern w:val="0"/>
          <w:sz w:val="24"/>
          <w:szCs w:val="24"/>
          <w:highlight w:val="none"/>
          <w:lang w:val="en-US" w:eastAsia="zh-CN" w:bidi="ar-SA"/>
        </w:rPr>
        <w:t xml:space="preserve"> </w:t>
      </w:r>
      <w:r>
        <w:rPr>
          <w:rFonts w:hint="default" w:ascii="Times New Roman" w:hAnsi="Times New Roman" w:eastAsia="宋体" w:cs="Times New Roman"/>
        </w:rPr>
        <mc:AlternateContent>
          <mc:Choice Requires="wps">
            <w:drawing>
              <wp:anchor distT="0" distB="0" distL="114300" distR="114300" simplePos="0" relativeHeight="251797504" behindDoc="0" locked="0" layoutInCell="1" allowOverlap="1">
                <wp:simplePos x="0" y="0"/>
                <wp:positionH relativeFrom="column">
                  <wp:posOffset>5092700</wp:posOffset>
                </wp:positionH>
                <wp:positionV relativeFrom="paragraph">
                  <wp:posOffset>8032750</wp:posOffset>
                </wp:positionV>
                <wp:extent cx="1102995" cy="261620"/>
                <wp:effectExtent l="0" t="0" r="0" b="0"/>
                <wp:wrapNone/>
                <wp:docPr id="237" name="矩形 237"/>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77578E25">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01pt;margin-top:632.5pt;height:20.6pt;width:86.85pt;z-index:251797504;mso-width-relative:page;mso-height-relative:page;" filled="f" stroked="f" coordsize="21600,21600" o:gfxdata="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5MggDd0AAAAN&#10;AQAADwAAAAAAAAABACAAAAAiAAAAZHJzL2Rvd25yZXYueG1sUEsBAhQAFAAAAAgAh07iQEZNqpOl&#10;AQAARQMAAA4AAAAAAAAAAQAgAAAALAEAAGRycy9lMm9Eb2MueG1sUEsFBgAAAAAGAAYAWQEAAEMF&#10;AAAAAA==&#10;">
                <v:fill on="f" focussize="0,0"/>
                <v:stroke on="f"/>
                <v:imagedata o:title=""/>
                <o:lock v:ext="edit" aspectratio="f"/>
                <v:textbox>
                  <w:txbxContent>
                    <w:p w14:paraId="77578E25">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798528" behindDoc="0" locked="0" layoutInCell="1" allowOverlap="1">
                <wp:simplePos x="0" y="0"/>
                <wp:positionH relativeFrom="column">
                  <wp:posOffset>5245100</wp:posOffset>
                </wp:positionH>
                <wp:positionV relativeFrom="paragraph">
                  <wp:posOffset>8185150</wp:posOffset>
                </wp:positionV>
                <wp:extent cx="1102995" cy="261620"/>
                <wp:effectExtent l="0" t="0" r="0" b="0"/>
                <wp:wrapNone/>
                <wp:docPr id="238" name="矩形 238"/>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12E540C2">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13pt;margin-top:644.5pt;height:20.6pt;width:86.85pt;z-index:251798528;mso-width-relative:page;mso-height-relative:page;" filled="f" stroked="f" coordsize="21600,21600" o:gfxdata="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DBt4z7dAAAADQEA&#10;AA8AAAAAAAAAAQAgAAAAIgAAAGRycy9kb3ducmV2LnhtbFBLAQIUABQAAAAIAIdO4kB2FuK9owEA&#10;AEUDAAAOAAAAAAAAAAEAIAAAACwBAABkcnMvZTJvRG9jLnhtbFBLBQYAAAAABgAGAFkBAABBBQAA&#10;AAA=&#10;">
                <v:fill on="f" focussize="0,0"/>
                <v:stroke on="f"/>
                <v:imagedata o:title=""/>
                <o:lock v:ext="edit" aspectratio="f"/>
                <v:textbox>
                  <w:txbxContent>
                    <w:p w14:paraId="12E540C2">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eastAsia" w:ascii="Times New Roman" w:hAnsi="Times New Roman" w:cs="Times New Roman"/>
          <w:b/>
          <w:bCs w:val="0"/>
          <w:kern w:val="0"/>
          <w:sz w:val="24"/>
          <w:szCs w:val="24"/>
          <w:highlight w:val="none"/>
          <w:lang w:val="en-US" w:eastAsia="zh-CN" w:bidi="ar-SA"/>
        </w:rPr>
        <w:t>项目平面布置图</w:t>
      </w:r>
    </w:p>
    <w:p w14:paraId="6D9EB784">
      <w:pPr>
        <w:pStyle w:val="2"/>
        <w:ind w:left="0" w:leftChars="0" w:firstLine="0" w:firstLineChars="0"/>
        <w:jc w:val="both"/>
      </w:pPr>
      <w:r>
        <w:rPr>
          <w:sz w:val="21"/>
        </w:rPr>
        <mc:AlternateContent>
          <mc:Choice Requires="wps">
            <w:drawing>
              <wp:anchor distT="0" distB="0" distL="114300" distR="114300" simplePos="0" relativeHeight="251968512" behindDoc="0" locked="0" layoutInCell="1" allowOverlap="1">
                <wp:simplePos x="0" y="0"/>
                <wp:positionH relativeFrom="column">
                  <wp:posOffset>121285</wp:posOffset>
                </wp:positionH>
                <wp:positionV relativeFrom="paragraph">
                  <wp:posOffset>4893310</wp:posOffset>
                </wp:positionV>
                <wp:extent cx="167640" cy="5715"/>
                <wp:effectExtent l="0" t="0" r="0" b="0"/>
                <wp:wrapNone/>
                <wp:docPr id="347" name="直接连接符 347"/>
                <wp:cNvGraphicFramePr/>
                <a:graphic xmlns:a="http://schemas.openxmlformats.org/drawingml/2006/main">
                  <a:graphicData uri="http://schemas.microsoft.com/office/word/2010/wordprocessingShape">
                    <wps:wsp>
                      <wps:cNvCnPr/>
                      <wps:spPr>
                        <a:xfrm flipV="1">
                          <a:off x="9032875" y="5393690"/>
                          <a:ext cx="167640" cy="571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9.55pt;margin-top:385.3pt;height:0.45pt;width:13.2pt;z-index:251968512;mso-width-relative:page;mso-height-relative:page;" filled="f" stroked="t" coordsize="21600,21600" o:gfxdata="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1mGszXAAAACQEAAA8AAAAAAAAAAQAgAAAAIgAAAGRycy9kb3du&#10;cmV2LnhtbFBLAQIUABQAAAAIAIdO4kCod52xAAIAAM4DAAAOAAAAAAAAAAEAIAAAACYBAABkcnMv&#10;ZTJvRG9jLnhtbFBLBQYAAAAABgAGAFkBAACYBQAAAAA=&#10;">
                <v:fill on="f" focussize="0,0"/>
                <v:stroke weight="1pt" color="#FFFF00 [3204]" miterlimit="8" joinstyle="miter"/>
                <v:imagedata o:title=""/>
                <o:lock v:ext="edit" aspectratio="f"/>
              </v:line>
            </w:pict>
          </mc:Fallback>
        </mc:AlternateContent>
      </w:r>
      <w:r>
        <w:drawing>
          <wp:inline distT="0" distB="0" distL="114300" distR="114300">
            <wp:extent cx="9241155" cy="4999355"/>
            <wp:effectExtent l="0" t="0" r="17145" b="10795"/>
            <wp:docPr id="2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
                    <pic:cNvPicPr>
                      <a:picLocks noChangeAspect="1"/>
                    </pic:cNvPicPr>
                  </pic:nvPicPr>
                  <pic:blipFill>
                    <a:blip r:embed="rId80"/>
                    <a:stretch>
                      <a:fillRect/>
                    </a:stretch>
                  </pic:blipFill>
                  <pic:spPr>
                    <a:xfrm>
                      <a:off x="0" y="0"/>
                      <a:ext cx="9241155" cy="4999355"/>
                    </a:xfrm>
                    <a:prstGeom prst="rect">
                      <a:avLst/>
                    </a:prstGeom>
                    <a:noFill/>
                    <a:ln>
                      <a:noFill/>
                    </a:ln>
                  </pic:spPr>
                </pic:pic>
              </a:graphicData>
            </a:graphic>
          </wp:inline>
        </w:drawing>
      </w:r>
      <w:r>
        <w:rPr>
          <w:sz w:val="21"/>
        </w:rPr>
        <mc:AlternateContent>
          <mc:Choice Requires="wps">
            <w:drawing>
              <wp:anchor distT="0" distB="0" distL="114300" distR="114300" simplePos="0" relativeHeight="251967488" behindDoc="0" locked="0" layoutInCell="1" allowOverlap="1">
                <wp:simplePos x="0" y="0"/>
                <wp:positionH relativeFrom="column">
                  <wp:posOffset>120650</wp:posOffset>
                </wp:positionH>
                <wp:positionV relativeFrom="paragraph">
                  <wp:posOffset>4693920</wp:posOffset>
                </wp:positionV>
                <wp:extent cx="179705" cy="5715"/>
                <wp:effectExtent l="0" t="0" r="0" b="0"/>
                <wp:wrapNone/>
                <wp:docPr id="346" name="直接连接符 346"/>
                <wp:cNvGraphicFramePr/>
                <a:graphic xmlns:a="http://schemas.openxmlformats.org/drawingml/2006/main">
                  <a:graphicData uri="http://schemas.microsoft.com/office/word/2010/wordprocessingShape">
                    <wps:wsp>
                      <wps:cNvCnPr/>
                      <wps:spPr>
                        <a:xfrm>
                          <a:off x="9015730" y="5192395"/>
                          <a:ext cx="179705" cy="571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5pt;margin-top:369.6pt;height:0.45pt;width:14.15pt;z-index:251967488;mso-width-relative:page;mso-height-relative:page;" filled="f" stroked="t" coordsize="21600,21600" o:gfxdata="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NTIl9kAAAAJAQAADwAAAAAAAAABACAAAAAiAAAAZHJzL2Rvd25yZXYu&#10;eG1sUEsBAhQAFAAAAAgAh07iQGwYHmX6AQAAxAMAAA4AAAAAAAAAAQAgAAAAKAEAAGRycy9lMm9E&#10;b2MueG1sUEsFBgAAAAAGAAYAWQEAAJQ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966464" behindDoc="0" locked="0" layoutInCell="1" allowOverlap="1">
                <wp:simplePos x="0" y="0"/>
                <wp:positionH relativeFrom="column">
                  <wp:posOffset>98425</wp:posOffset>
                </wp:positionH>
                <wp:positionV relativeFrom="paragraph">
                  <wp:posOffset>4469765</wp:posOffset>
                </wp:positionV>
                <wp:extent cx="168275" cy="0"/>
                <wp:effectExtent l="0" t="6350" r="0" b="6350"/>
                <wp:wrapNone/>
                <wp:docPr id="344" name="直接连接符 344"/>
                <wp:cNvGraphicFramePr/>
                <a:graphic xmlns:a="http://schemas.openxmlformats.org/drawingml/2006/main">
                  <a:graphicData uri="http://schemas.microsoft.com/office/word/2010/wordprocessingShape">
                    <wps:wsp>
                      <wps:cNvCnPr/>
                      <wps:spPr>
                        <a:xfrm>
                          <a:off x="9122410" y="4811395"/>
                          <a:ext cx="168275" cy="0"/>
                        </a:xfrm>
                        <a:prstGeom prst="line">
                          <a:avLst/>
                        </a:prstGeom>
                        <a:ln>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75pt;margin-top:351.95pt;height:0pt;width:13.25pt;z-index:251966464;mso-width-relative:page;mso-height-relative:page;" filled="f" stroked="t" coordsize="21600,21600" o:gfxdata="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tGsTjVAAAACQEAAA8AAAAAAAAAAQAgAAAAIgAAAGRycy9kb3ducmV2LnhtbFBL&#10;AQIUABQAAAAIAIdO4kC5YRpQ+QEAAMEDAAAOAAAAAAAAAAEAIAAAACQBAABkcnMvZTJvRG9jLnht&#10;bFBLBQYAAAAABgAGAFkBAACPBQAAAAA=&#10;">
                <v:fill on="f" focussize="0,0"/>
                <v:stroke weight="1pt" color="#92D050 [3204]" miterlimit="8" joinstyle="miter"/>
                <v:imagedata o:title=""/>
                <o:lock v:ext="edit" aspectratio="f"/>
              </v:line>
            </w:pict>
          </mc:Fallback>
        </mc:AlternateContent>
      </w:r>
      <w:r>
        <w:rPr>
          <w:sz w:val="21"/>
        </w:rPr>
        <mc:AlternateContent>
          <mc:Choice Requires="wps">
            <w:drawing>
              <wp:anchor distT="0" distB="0" distL="114300" distR="114300" simplePos="0" relativeHeight="251965440" behindDoc="0" locked="0" layoutInCell="1" allowOverlap="1">
                <wp:simplePos x="0" y="0"/>
                <wp:positionH relativeFrom="column">
                  <wp:posOffset>9525</wp:posOffset>
                </wp:positionH>
                <wp:positionV relativeFrom="paragraph">
                  <wp:posOffset>4146550</wp:posOffset>
                </wp:positionV>
                <wp:extent cx="1026795" cy="914400"/>
                <wp:effectExtent l="4445" t="4445" r="16510" b="14605"/>
                <wp:wrapNone/>
                <wp:docPr id="343" name="文本框 343"/>
                <wp:cNvGraphicFramePr/>
                <a:graphic xmlns:a="http://schemas.openxmlformats.org/drawingml/2006/main">
                  <a:graphicData uri="http://schemas.microsoft.com/office/word/2010/wordprocessingShape">
                    <wps:wsp>
                      <wps:cNvSpPr txBox="1"/>
                      <wps:spPr>
                        <a:xfrm>
                          <a:off x="9110980" y="4883785"/>
                          <a:ext cx="1026795" cy="914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6BDFEC">
                            <w:pPr>
                              <w:jc w:val="center"/>
                              <w:rPr>
                                <w:rFonts w:hint="eastAsia"/>
                                <w:lang w:val="en-US" w:eastAsia="zh-CN"/>
                              </w:rPr>
                            </w:pPr>
                            <w:r>
                              <w:rPr>
                                <w:rFonts w:hint="eastAsia"/>
                                <w:lang w:val="en-US" w:eastAsia="zh-CN"/>
                              </w:rPr>
                              <w:t>图 例</w:t>
                            </w:r>
                          </w:p>
                          <w:p w14:paraId="07DC3415">
                            <w:pPr>
                              <w:ind w:firstLine="420"/>
                              <w:rPr>
                                <w:rFonts w:hint="eastAsia"/>
                                <w:lang w:val="en-US" w:eastAsia="zh-CN"/>
                              </w:rPr>
                            </w:pPr>
                            <w:r>
                              <w:rPr>
                                <w:rFonts w:hint="eastAsia"/>
                                <w:lang w:val="en-US" w:eastAsia="zh-CN"/>
                              </w:rPr>
                              <w:t>河流</w:t>
                            </w:r>
                          </w:p>
                          <w:p w14:paraId="5E55BAA8">
                            <w:pPr>
                              <w:pStyle w:val="2"/>
                              <w:ind w:left="0" w:leftChars="0" w:firstLine="420" w:firstLineChars="0"/>
                              <w:rPr>
                                <w:rFonts w:hint="eastAsia"/>
                                <w:lang w:val="en-US" w:eastAsia="zh-CN"/>
                              </w:rPr>
                            </w:pPr>
                            <w:r>
                              <w:rPr>
                                <w:rFonts w:hint="eastAsia"/>
                                <w:lang w:val="en-US" w:eastAsia="zh-CN"/>
                              </w:rPr>
                              <w:t>雨水管线</w:t>
                            </w:r>
                          </w:p>
                          <w:p w14:paraId="6FF74F04">
                            <w:pPr>
                              <w:pStyle w:val="2"/>
                              <w:ind w:left="0" w:leftChars="0" w:firstLine="420" w:firstLineChars="0"/>
                              <w:rPr>
                                <w:rFonts w:hint="default"/>
                                <w:lang w:val="en-US" w:eastAsia="zh-CN"/>
                              </w:rPr>
                            </w:pPr>
                            <w:r>
                              <w:rPr>
                                <w:rFonts w:hint="eastAsia"/>
                                <w:lang w:val="en-US" w:eastAsia="zh-CN"/>
                              </w:rPr>
                              <w:t>污水管线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326.5pt;height:72pt;width:80.85pt;z-index:251965440;mso-width-relative:page;mso-height-relative:page;" fillcolor="#FFFFFF [3201]" filled="t" stroked="t" coordsize="21600,21600" o:gfxdata="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0qidDVAAAACQEAAA8AAAAAAAAAAQAgAAAAIgAAAGRycy9kb3ducmV2LnhtbFBLAQIU&#10;ABQAAAAIAIdO4kCTblnuaAIAAMcEAAAOAAAAAAAAAAEAIAAAACQBAABkcnMvZTJvRG9jLnhtbFBL&#10;BQYAAAAABgAGAFkBAAD+BQAAAAA=&#10;">
                <v:fill on="t" focussize="0,0"/>
                <v:stroke weight="0.5pt" color="#000000 [3204]" joinstyle="round"/>
                <v:imagedata o:title=""/>
                <o:lock v:ext="edit" aspectratio="f"/>
                <v:textbox>
                  <w:txbxContent>
                    <w:p w14:paraId="486BDFEC">
                      <w:pPr>
                        <w:jc w:val="center"/>
                        <w:rPr>
                          <w:rFonts w:hint="eastAsia"/>
                          <w:lang w:val="en-US" w:eastAsia="zh-CN"/>
                        </w:rPr>
                      </w:pPr>
                      <w:r>
                        <w:rPr>
                          <w:rFonts w:hint="eastAsia"/>
                          <w:lang w:val="en-US" w:eastAsia="zh-CN"/>
                        </w:rPr>
                        <w:t>图 例</w:t>
                      </w:r>
                    </w:p>
                    <w:p w14:paraId="07DC3415">
                      <w:pPr>
                        <w:ind w:firstLine="420"/>
                        <w:rPr>
                          <w:rFonts w:hint="eastAsia"/>
                          <w:lang w:val="en-US" w:eastAsia="zh-CN"/>
                        </w:rPr>
                      </w:pPr>
                      <w:r>
                        <w:rPr>
                          <w:rFonts w:hint="eastAsia"/>
                          <w:lang w:val="en-US" w:eastAsia="zh-CN"/>
                        </w:rPr>
                        <w:t>河流</w:t>
                      </w:r>
                    </w:p>
                    <w:p w14:paraId="5E55BAA8">
                      <w:pPr>
                        <w:pStyle w:val="2"/>
                        <w:ind w:left="0" w:leftChars="0" w:firstLine="420" w:firstLineChars="0"/>
                        <w:rPr>
                          <w:rFonts w:hint="eastAsia"/>
                          <w:lang w:val="en-US" w:eastAsia="zh-CN"/>
                        </w:rPr>
                      </w:pPr>
                      <w:r>
                        <w:rPr>
                          <w:rFonts w:hint="eastAsia"/>
                          <w:lang w:val="en-US" w:eastAsia="zh-CN"/>
                        </w:rPr>
                        <w:t>雨水管线</w:t>
                      </w:r>
                    </w:p>
                    <w:p w14:paraId="6FF74F04">
                      <w:pPr>
                        <w:pStyle w:val="2"/>
                        <w:ind w:left="0" w:leftChars="0" w:firstLine="420" w:firstLineChars="0"/>
                        <w:rPr>
                          <w:rFonts w:hint="default"/>
                          <w:lang w:val="en-US" w:eastAsia="zh-CN"/>
                        </w:rPr>
                      </w:pPr>
                      <w:r>
                        <w:rPr>
                          <w:rFonts w:hint="eastAsia"/>
                          <w:lang w:val="en-US" w:eastAsia="zh-CN"/>
                        </w:rPr>
                        <w:t>污水管线</w:t>
                      </w:r>
                    </w:p>
                  </w:txbxContent>
                </v:textbox>
              </v:shape>
            </w:pict>
          </mc:Fallback>
        </mc:AlternateContent>
      </w:r>
      <w:r>
        <w:rPr>
          <w:sz w:val="21"/>
        </w:rPr>
        <mc:AlternateContent>
          <mc:Choice Requires="wps">
            <w:drawing>
              <wp:anchor distT="0" distB="0" distL="114300" distR="114300" simplePos="0" relativeHeight="251972608" behindDoc="0" locked="0" layoutInCell="1" allowOverlap="1">
                <wp:simplePos x="0" y="0"/>
                <wp:positionH relativeFrom="column">
                  <wp:posOffset>7482840</wp:posOffset>
                </wp:positionH>
                <wp:positionV relativeFrom="paragraph">
                  <wp:posOffset>1186180</wp:posOffset>
                </wp:positionV>
                <wp:extent cx="73660" cy="331470"/>
                <wp:effectExtent l="6350" t="1905" r="15240" b="9525"/>
                <wp:wrapNone/>
                <wp:docPr id="353" name="任意多边形 353"/>
                <wp:cNvGraphicFramePr/>
                <a:graphic xmlns:a="http://schemas.openxmlformats.org/drawingml/2006/main">
                  <a:graphicData uri="http://schemas.microsoft.com/office/word/2010/wordprocessingShape">
                    <wps:wsp>
                      <wps:cNvSpPr/>
                      <wps:spPr>
                        <a:xfrm>
                          <a:off x="8202930" y="2104390"/>
                          <a:ext cx="73660" cy="331470"/>
                        </a:xfrm>
                        <a:custGeom>
                          <a:avLst/>
                          <a:gdLst>
                            <a:gd name="connisteX0" fmla="*/ 73484 w 73484"/>
                            <a:gd name="connsiteY0" fmla="*/ 0 h 331470"/>
                            <a:gd name="connisteX1" fmla="*/ 36654 w 73484"/>
                            <a:gd name="connsiteY1" fmla="*/ 145415 h 331470"/>
                            <a:gd name="connisteX2" fmla="*/ 41734 w 73484"/>
                            <a:gd name="connsiteY2" fmla="*/ 208915 h 331470"/>
                            <a:gd name="connisteX3" fmla="*/ 459 w 73484"/>
                            <a:gd name="connsiteY3" fmla="*/ 290195 h 331470"/>
                            <a:gd name="connisteX4" fmla="*/ 23319 w 73484"/>
                            <a:gd name="connsiteY4" fmla="*/ 331470 h 3314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3485" h="331470">
                              <a:moveTo>
                                <a:pt x="73485" y="0"/>
                              </a:moveTo>
                              <a:cubicBezTo>
                                <a:pt x="65865" y="27940"/>
                                <a:pt x="43005" y="103505"/>
                                <a:pt x="36655" y="145415"/>
                              </a:cubicBezTo>
                              <a:cubicBezTo>
                                <a:pt x="30305" y="187325"/>
                                <a:pt x="48720" y="179705"/>
                                <a:pt x="41735" y="208915"/>
                              </a:cubicBezTo>
                              <a:cubicBezTo>
                                <a:pt x="34750" y="238125"/>
                                <a:pt x="4270" y="265430"/>
                                <a:pt x="460" y="290195"/>
                              </a:cubicBezTo>
                              <a:cubicBezTo>
                                <a:pt x="-3350" y="314960"/>
                                <a:pt x="17605" y="325120"/>
                                <a:pt x="23320" y="331470"/>
                              </a:cubicBez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89.2pt;margin-top:93.4pt;height:26.1pt;width:5.8pt;z-index:251972608;mso-width-relative:page;mso-height-relative:page;" filled="f" stroked="t" coordsize="73485,331470" o:gfxdata="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" path="m73485,0c65865,27940,43005,103505,36655,145415c30305,187325,48720,179705,41735,208915c34750,238125,4270,265430,460,290195c-3350,314960,17605,325120,23320,331470e">
                <v:path o:connectlocs="73660,0;36741,145415;41833,208915;460,290195;23374,331470" o:connectangles="0,0,0,0,0"/>
                <v:fill on="f"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971584" behindDoc="0" locked="0" layoutInCell="1" allowOverlap="1">
                <wp:simplePos x="0" y="0"/>
                <wp:positionH relativeFrom="column">
                  <wp:posOffset>7501890</wp:posOffset>
                </wp:positionH>
                <wp:positionV relativeFrom="paragraph">
                  <wp:posOffset>1530985</wp:posOffset>
                </wp:positionV>
                <wp:extent cx="56515" cy="317500"/>
                <wp:effectExtent l="6350" t="1270" r="13335" b="5080"/>
                <wp:wrapNone/>
                <wp:docPr id="352" name="任意多边形 352"/>
                <wp:cNvGraphicFramePr/>
                <a:graphic xmlns:a="http://schemas.openxmlformats.org/drawingml/2006/main">
                  <a:graphicData uri="http://schemas.microsoft.com/office/word/2010/wordprocessingShape">
                    <wps:wsp>
                      <wps:cNvSpPr/>
                      <wps:spPr>
                        <a:xfrm>
                          <a:off x="8221980" y="2449195"/>
                          <a:ext cx="56515" cy="317500"/>
                        </a:xfrm>
                        <a:custGeom>
                          <a:avLst/>
                          <a:gdLst>
                            <a:gd name="connisteX0" fmla="*/ 4096 w 56686"/>
                            <a:gd name="connsiteY0" fmla="*/ 0 h 317500"/>
                            <a:gd name="connisteX1" fmla="*/ 4096 w 56686"/>
                            <a:gd name="connsiteY1" fmla="*/ 27305 h 317500"/>
                            <a:gd name="connisteX2" fmla="*/ 49181 w 56686"/>
                            <a:gd name="connsiteY2" fmla="*/ 36195 h 317500"/>
                            <a:gd name="connisteX3" fmla="*/ 53626 w 56686"/>
                            <a:gd name="connsiteY3" fmla="*/ 113665 h 317500"/>
                            <a:gd name="connisteX4" fmla="*/ 31401 w 56686"/>
                            <a:gd name="connsiteY4" fmla="*/ 127000 h 317500"/>
                            <a:gd name="connisteX5" fmla="*/ 17431 w 56686"/>
                            <a:gd name="connsiteY5" fmla="*/ 317500 h 317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56687" h="317500">
                              <a:moveTo>
                                <a:pt x="4096" y="0"/>
                              </a:moveTo>
                              <a:cubicBezTo>
                                <a:pt x="3461" y="5080"/>
                                <a:pt x="-4794" y="20320"/>
                                <a:pt x="4096" y="27305"/>
                              </a:cubicBezTo>
                              <a:cubicBezTo>
                                <a:pt x="12986" y="34290"/>
                                <a:pt x="39021" y="19050"/>
                                <a:pt x="49181" y="36195"/>
                              </a:cubicBezTo>
                              <a:cubicBezTo>
                                <a:pt x="59341" y="53340"/>
                                <a:pt x="57436" y="95250"/>
                                <a:pt x="53626" y="113665"/>
                              </a:cubicBezTo>
                              <a:cubicBezTo>
                                <a:pt x="49816" y="132080"/>
                                <a:pt x="38386" y="86360"/>
                                <a:pt x="31401" y="127000"/>
                              </a:cubicBezTo>
                              <a:cubicBezTo>
                                <a:pt x="24416" y="167640"/>
                                <a:pt x="19971" y="279400"/>
                                <a:pt x="17431" y="317500"/>
                              </a:cubicBez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90.7pt;margin-top:120.55pt;height:25pt;width:4.45pt;z-index:251971584;mso-width-relative:page;mso-height-relative:page;" filled="f" stroked="t" coordsize="56687,317500" o:gfxdata="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Hpu6gXcAAAADQEAAA8AAAAAAAAAAQAgAAAAIgAAAGRycy9kb3ducmV2LnhtbFBL&#10;AQIUABQAAAAIAIdO4kCLB3QlugMAAFoKAAAOAAAAAAAAAAEAIAAAACsBAABkcnMvZTJvRG9jLnht&#10;bFBLBQYAAAAABgAGAFkBAABXBwAAAAA=&#10;" path="m4096,0c3461,5080,-4794,20320,4096,27305c12986,34290,39021,19050,49181,36195c59341,53340,57436,95250,53626,113665c49816,132080,38386,86360,31401,127000c24416,167640,19971,279400,17431,317500e">
                <v:path o:connectlocs="4083,0;4083,27305;49032,36195;53464,113665;31306,127000;17378,317500" o:connectangles="0,0,0,0,0,0"/>
                <v:fill on="f"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970560" behindDoc="0" locked="0" layoutInCell="1" allowOverlap="1">
                <wp:simplePos x="0" y="0"/>
                <wp:positionH relativeFrom="column">
                  <wp:posOffset>5443855</wp:posOffset>
                </wp:positionH>
                <wp:positionV relativeFrom="paragraph">
                  <wp:posOffset>3187065</wp:posOffset>
                </wp:positionV>
                <wp:extent cx="67310" cy="358775"/>
                <wp:effectExtent l="13970" t="2540" r="13970" b="19685"/>
                <wp:wrapNone/>
                <wp:docPr id="350" name="直接连接符 350"/>
                <wp:cNvGraphicFramePr/>
                <a:graphic xmlns:a="http://schemas.openxmlformats.org/drawingml/2006/main">
                  <a:graphicData uri="http://schemas.microsoft.com/office/word/2010/wordprocessingShape">
                    <wps:wsp>
                      <wps:cNvCnPr/>
                      <wps:spPr>
                        <a:xfrm flipH="1">
                          <a:off x="6163945" y="4105275"/>
                          <a:ext cx="67310" cy="358775"/>
                        </a:xfrm>
                        <a:prstGeom prst="line">
                          <a:avLst/>
                        </a:prstGeom>
                        <a:ln w="28575">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28.65pt;margin-top:250.95pt;height:28.25pt;width:5.3pt;z-index:251970560;mso-width-relative:page;mso-height-relative:page;" filled="f" stroked="t" coordsize="21600,21600" o:gfxdata="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&#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GPMdvbAAAACwEAAA8AAAAAAAAAAQAgAAAAIgAAAGRy&#10;cy9kb3ducmV2LnhtbFBLAQIUABQAAAAIAIdO4kCuJbyzAgIAAM8DAAAOAAAAAAAAAAEAIAAAACoB&#10;AABkcnMvZTJvRG9jLnhtbFBLBQYAAAAABgAGAFkBAACeBQAAAAA=&#10;">
                <v:fill on="f" focussize="0,0"/>
                <v:stroke weight="2.2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969536" behindDoc="0" locked="0" layoutInCell="1" allowOverlap="1">
                <wp:simplePos x="0" y="0"/>
                <wp:positionH relativeFrom="column">
                  <wp:posOffset>8110855</wp:posOffset>
                </wp:positionH>
                <wp:positionV relativeFrom="paragraph">
                  <wp:posOffset>1791970</wp:posOffset>
                </wp:positionV>
                <wp:extent cx="134620" cy="285750"/>
                <wp:effectExtent l="13970" t="13335" r="22860" b="5715"/>
                <wp:wrapNone/>
                <wp:docPr id="349" name="任意多边形 349"/>
                <wp:cNvGraphicFramePr/>
                <a:graphic xmlns:a="http://schemas.openxmlformats.org/drawingml/2006/main">
                  <a:graphicData uri="http://schemas.microsoft.com/office/word/2010/wordprocessingShape">
                    <wps:wsp>
                      <wps:cNvSpPr/>
                      <wps:spPr>
                        <a:xfrm>
                          <a:off x="8830945" y="2710180"/>
                          <a:ext cx="134620" cy="285750"/>
                        </a:xfrm>
                        <a:custGeom>
                          <a:avLst/>
                          <a:gdLst>
                            <a:gd name="connisteX0" fmla="*/ 134620 w 134620"/>
                            <a:gd name="connsiteY0" fmla="*/ 0 h 229870"/>
                            <a:gd name="connisteX1" fmla="*/ 27940 w 134620"/>
                            <a:gd name="connsiteY1" fmla="*/ 55880 h 229870"/>
                            <a:gd name="connisteX2" fmla="*/ 0 w 134620"/>
                            <a:gd name="connsiteY2" fmla="*/ 229870 h 229870"/>
                          </a:gdLst>
                          <a:ahLst/>
                          <a:cxnLst>
                            <a:cxn ang="0">
                              <a:pos x="connisteX0" y="connsiteY0"/>
                            </a:cxn>
                            <a:cxn ang="0">
                              <a:pos x="connisteX1" y="connsiteY1"/>
                            </a:cxn>
                            <a:cxn ang="0">
                              <a:pos x="connisteX2" y="connsiteY2"/>
                            </a:cxn>
                          </a:cxnLst>
                          <a:rect l="l" t="t" r="r" b="b"/>
                          <a:pathLst>
                            <a:path w="134620" h="229870">
                              <a:moveTo>
                                <a:pt x="134620" y="0"/>
                              </a:moveTo>
                              <a:cubicBezTo>
                                <a:pt x="113665" y="7620"/>
                                <a:pt x="54610" y="10160"/>
                                <a:pt x="27940" y="55880"/>
                              </a:cubicBezTo>
                              <a:cubicBezTo>
                                <a:pt x="1270" y="101600"/>
                                <a:pt x="3175" y="196215"/>
                                <a:pt x="0" y="229870"/>
                              </a:cubicBezTo>
                            </a:path>
                          </a:pathLst>
                        </a:cu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38.65pt;margin-top:141.1pt;height:22.5pt;width:10.6pt;z-index:251969536;mso-width-relative:page;mso-height-relative:page;" filled="f" stroked="t" coordsize="134620,229870" o:gfxdata="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A/&#10;SQZM2AAAAA0BAAAPAAAAAAAAAAEAIAAAACIAAABkcnMvZG93bnJldi54bWxQSwECFAAUAAAACACH&#10;TuJA/8RzQAgDAAAuBwAADgAAAAAAAAABACAAAAAnAQAAZHJzL2Uyb0RvYy54bWxQSwUGAAAAAAYA&#10;BgBZAQAAoQYAAAAA&#10;" path="m134620,0c113665,7620,54610,10160,27940,55880c1270,101600,3175,196215,0,229870e">
                <v:path o:connectlocs="134620,0;27940,69464;0,285750" o:connectangles="0,0,0"/>
                <v:fill on="f" focussize="0,0"/>
                <v:stroke weight="2.25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964416" behindDoc="0" locked="0" layoutInCell="1" allowOverlap="1">
                <wp:simplePos x="0" y="0"/>
                <wp:positionH relativeFrom="column">
                  <wp:posOffset>2099310</wp:posOffset>
                </wp:positionH>
                <wp:positionV relativeFrom="paragraph">
                  <wp:posOffset>2434590</wp:posOffset>
                </wp:positionV>
                <wp:extent cx="365760" cy="45085"/>
                <wp:effectExtent l="635" t="6350" r="14605" b="24765"/>
                <wp:wrapNone/>
                <wp:docPr id="338" name="直接连接符 338"/>
                <wp:cNvGraphicFramePr/>
                <a:graphic xmlns:a="http://schemas.openxmlformats.org/drawingml/2006/main">
                  <a:graphicData uri="http://schemas.microsoft.com/office/word/2010/wordprocessingShape">
                    <wps:wsp>
                      <wps:cNvCnPr/>
                      <wps:spPr>
                        <a:xfrm>
                          <a:off x="2819400" y="3352800"/>
                          <a:ext cx="365760" cy="450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5.3pt;margin-top:191.7pt;height:3.55pt;width:28.8pt;z-index:251964416;mso-width-relative:page;mso-height-relative:page;" filled="f" stroked="t" coordsize="21600,21600" o:gfxdata="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0z9qNoAAAALAQAADwAAAAAAAAABACAAAAAiAAAAZHJzL2Rvd25yZXYueG1s&#10;UEsBAhQAFAAAAAgAh07iQOErJHX2AQAAxQMAAA4AAAAAAAAAAQAgAAAAKQEAAGRycy9lMm9Eb2Mu&#10;eG1sUEsFBgAAAAAGAAYAWQEAAJE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963392" behindDoc="0" locked="0" layoutInCell="1" allowOverlap="1">
                <wp:simplePos x="0" y="0"/>
                <wp:positionH relativeFrom="column">
                  <wp:posOffset>5397500</wp:posOffset>
                </wp:positionH>
                <wp:positionV relativeFrom="paragraph">
                  <wp:posOffset>2299335</wp:posOffset>
                </wp:positionV>
                <wp:extent cx="461645" cy="80645"/>
                <wp:effectExtent l="1270" t="6350" r="13335" b="8255"/>
                <wp:wrapNone/>
                <wp:docPr id="336" name="直接连接符 336"/>
                <wp:cNvGraphicFramePr/>
                <a:graphic xmlns:a="http://schemas.openxmlformats.org/drawingml/2006/main">
                  <a:graphicData uri="http://schemas.microsoft.com/office/word/2010/wordprocessingShape">
                    <wps:wsp>
                      <wps:cNvCnPr/>
                      <wps:spPr>
                        <a:xfrm>
                          <a:off x="6117590" y="3217545"/>
                          <a:ext cx="461645" cy="8064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25pt;margin-top:181.05pt;height:6.35pt;width:36.35pt;z-index:251963392;mso-width-relative:page;mso-height-relative:page;" filled="f" stroked="t" coordsize="21600,21600" o:gfxdata="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KvGr/NwAAAALAQAADwAAAAAAAAABACAAAAAiAAAAZHJzL2Rvd25yZXYueG1s&#10;UEsBAhQAFAAAAAgAh07iQFgZ1Ij0AQAAxQMAAA4AAAAAAAAAAQAgAAAAKwEAAGRycy9lMm9Eb2Mu&#10;eG1sUEsFBgAAAAAGAAYAWQEAAJE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962368" behindDoc="0" locked="0" layoutInCell="1" allowOverlap="1">
                <wp:simplePos x="0" y="0"/>
                <wp:positionH relativeFrom="column">
                  <wp:posOffset>5393055</wp:posOffset>
                </wp:positionH>
                <wp:positionV relativeFrom="paragraph">
                  <wp:posOffset>1903730</wp:posOffset>
                </wp:positionV>
                <wp:extent cx="109855" cy="395605"/>
                <wp:effectExtent l="6350" t="1905" r="17145" b="2540"/>
                <wp:wrapNone/>
                <wp:docPr id="335" name="直接连接符 335"/>
                <wp:cNvGraphicFramePr/>
                <a:graphic xmlns:a="http://schemas.openxmlformats.org/drawingml/2006/main">
                  <a:graphicData uri="http://schemas.microsoft.com/office/word/2010/wordprocessingShape">
                    <wps:wsp>
                      <wps:cNvCnPr/>
                      <wps:spPr>
                        <a:xfrm flipH="1">
                          <a:off x="6108065" y="2821940"/>
                          <a:ext cx="109855" cy="39560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24.65pt;margin-top:149.9pt;height:31.15pt;width:8.65pt;z-index:251962368;mso-width-relative:page;mso-height-relative:page;" filled="f" stroked="t" coordsize="21600,21600" o:gfxdata="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zc34A2gAAAAsBAAAPAAAAAAAAAAEAIAAAACIAAABk&#10;cnMvZG93bnJldi54bWxQSwECFAAUAAAACACHTuJAH/smKwQCAADQAwAADgAAAAAAAAABACAAAAAp&#10;AQAAZHJzL2Uyb0RvYy54bWxQSwUGAAAAAAYABgBZAQAAnwU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960320" behindDoc="0" locked="0" layoutInCell="1" allowOverlap="1">
                <wp:simplePos x="0" y="0"/>
                <wp:positionH relativeFrom="column">
                  <wp:posOffset>6991985</wp:posOffset>
                </wp:positionH>
                <wp:positionV relativeFrom="paragraph">
                  <wp:posOffset>1619250</wp:posOffset>
                </wp:positionV>
                <wp:extent cx="645795" cy="277495"/>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64579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27C426">
                            <w:pPr>
                              <w:rPr>
                                <w:rFonts w:hint="eastAsia" w:eastAsia="宋体"/>
                                <w:b/>
                                <w:bCs/>
                                <w:color w:val="FFC000"/>
                                <w:lang w:eastAsia="zh-CN"/>
                              </w:rPr>
                            </w:pPr>
                            <w:r>
                              <w:rPr>
                                <w:rFonts w:hint="eastAsia"/>
                                <w:b/>
                                <w:bCs/>
                                <w:color w:val="FFC000"/>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0.55pt;margin-top:127.5pt;height:21.85pt;width:50.85pt;z-index:251960320;mso-width-relative:page;mso-height-relative:page;" filled="f" stroked="f" coordsize="21600,21600" o:gfxdata="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FARQrbAAAADQEAAA8AAAAAAAAAAQAgAAAAIgAAAGRy&#10;cy9kb3ducmV2LnhtbFBLAQIUABQAAAAIAIdO4kAnUavuOwIAAGkEAAAOAAAAAAAAAAEAIAAAACoB&#10;AABkcnMvZTJvRG9jLnhtbFBLBQYAAAAABgAGAFkBAADXBQAAAAA=&#10;">
                <v:fill on="f" focussize="0,0"/>
                <v:stroke on="f" weight="0.5pt"/>
                <v:imagedata o:title=""/>
                <o:lock v:ext="edit" aspectratio="f"/>
                <v:textbox>
                  <w:txbxContent>
                    <w:p w14:paraId="0427C426">
                      <w:pPr>
                        <w:rPr>
                          <w:rFonts w:hint="eastAsia" w:eastAsia="宋体"/>
                          <w:b/>
                          <w:bCs/>
                          <w:color w:val="FFC000"/>
                          <w:lang w:eastAsia="zh-CN"/>
                        </w:rPr>
                      </w:pPr>
                      <w:r>
                        <w:rPr>
                          <w:rFonts w:hint="eastAsia"/>
                          <w:b/>
                          <w:bCs/>
                          <w:color w:val="FFC000"/>
                          <w:lang w:eastAsia="zh-CN"/>
                        </w:rPr>
                        <w:t>涝淄河</w:t>
                      </w:r>
                    </w:p>
                  </w:txbxContent>
                </v:textbox>
              </v:shape>
            </w:pict>
          </mc:Fallback>
        </mc:AlternateContent>
      </w:r>
      <w:r>
        <w:rPr>
          <w:sz w:val="21"/>
        </w:rPr>
        <mc:AlternateContent>
          <mc:Choice Requires="wps">
            <w:drawing>
              <wp:anchor distT="0" distB="0" distL="114300" distR="114300" simplePos="0" relativeHeight="251961344" behindDoc="0" locked="0" layoutInCell="1" allowOverlap="1">
                <wp:simplePos x="0" y="0"/>
                <wp:positionH relativeFrom="column">
                  <wp:posOffset>8060055</wp:posOffset>
                </wp:positionH>
                <wp:positionV relativeFrom="paragraph">
                  <wp:posOffset>1740535</wp:posOffset>
                </wp:positionV>
                <wp:extent cx="1040765" cy="277495"/>
                <wp:effectExtent l="0" t="0" r="0" b="0"/>
                <wp:wrapNone/>
                <wp:docPr id="331" name="文本框 331"/>
                <wp:cNvGraphicFramePr/>
                <a:graphic xmlns:a="http://schemas.openxmlformats.org/drawingml/2006/main">
                  <a:graphicData uri="http://schemas.microsoft.com/office/word/2010/wordprocessingShape">
                    <wps:wsp>
                      <wps:cNvSpPr txBox="1"/>
                      <wps:spPr>
                        <a:xfrm>
                          <a:off x="0" y="0"/>
                          <a:ext cx="104076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922C8B">
                            <w:pPr>
                              <w:rPr>
                                <w:rFonts w:hint="eastAsia" w:eastAsia="宋体"/>
                                <w:b/>
                                <w:bCs/>
                                <w:color w:val="FFC000"/>
                                <w:lang w:eastAsia="zh-CN"/>
                              </w:rPr>
                            </w:pPr>
                            <w:r>
                              <w:rPr>
                                <w:rFonts w:hint="eastAsia"/>
                                <w:b/>
                                <w:bCs/>
                                <w:color w:val="FFC000"/>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65pt;margin-top:137.05pt;height:21.85pt;width:81.95pt;z-index:251961344;mso-width-relative:page;mso-height-relative:page;" filled="f" stroked="f" coordsize="21600,21600" o:gfxdata="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N0ho3QAAAA0BAAAPAAAAAAAAAAEAIAAAACIA&#10;AABkcnMvZG93bnJldi54bWxQSwECFAAUAAAACACHTuJA6fdFNz0CAABqBAAADgAAAAAAAAABACAA&#10;AAAsAQAAZHJzL2Uyb0RvYy54bWxQSwUGAAAAAAYABgBZAQAA2wUAAAAA&#10;">
                <v:fill on="f" focussize="0,0"/>
                <v:stroke on="f" weight="0.5pt"/>
                <v:imagedata o:title=""/>
                <o:lock v:ext="edit" aspectratio="f"/>
                <v:textbox>
                  <w:txbxContent>
                    <w:p w14:paraId="6F922C8B">
                      <w:pPr>
                        <w:rPr>
                          <w:rFonts w:hint="eastAsia" w:eastAsia="宋体"/>
                          <w:b/>
                          <w:bCs/>
                          <w:color w:val="FFC000"/>
                          <w:lang w:eastAsia="zh-CN"/>
                        </w:rPr>
                      </w:pPr>
                      <w:r>
                        <w:rPr>
                          <w:rFonts w:hint="eastAsia"/>
                          <w:b/>
                          <w:bCs/>
                          <w:color w:val="FFC000"/>
                          <w:lang w:eastAsia="zh-CN"/>
                        </w:rPr>
                        <w:t>大高村排涝沟</w:t>
                      </w:r>
                    </w:p>
                  </w:txbxContent>
                </v:textbox>
              </v:shape>
            </w:pict>
          </mc:Fallback>
        </mc:AlternateContent>
      </w:r>
      <w:r>
        <w:rPr>
          <w:sz w:val="21"/>
        </w:rPr>
        <mc:AlternateContent>
          <mc:Choice Requires="wps">
            <w:drawing>
              <wp:anchor distT="0" distB="0" distL="114300" distR="114300" simplePos="0" relativeHeight="251959296" behindDoc="0" locked="0" layoutInCell="1" allowOverlap="1">
                <wp:simplePos x="0" y="0"/>
                <wp:positionH relativeFrom="column">
                  <wp:posOffset>5095240</wp:posOffset>
                </wp:positionH>
                <wp:positionV relativeFrom="paragraph">
                  <wp:posOffset>3722370</wp:posOffset>
                </wp:positionV>
                <wp:extent cx="767080" cy="277495"/>
                <wp:effectExtent l="0" t="0" r="0" b="0"/>
                <wp:wrapNone/>
                <wp:docPr id="329" name="文本框 329"/>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3AB7C">
                            <w:pPr>
                              <w:rPr>
                                <w:rFonts w:hint="eastAsia" w:eastAsia="宋体"/>
                                <w:b/>
                                <w:bCs/>
                                <w:color w:val="FFC000"/>
                                <w:lang w:val="en-US" w:eastAsia="zh-CN"/>
                              </w:rPr>
                            </w:pPr>
                            <w:r>
                              <w:rPr>
                                <w:rFonts w:hint="eastAsia"/>
                                <w:b/>
                                <w:bCs/>
                                <w:color w:val="FFC000"/>
                                <w:lang w:val="en-US" w:eastAsia="zh-CN"/>
                              </w:rPr>
                              <w:t>暖水河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2pt;margin-top:293.1pt;height:21.85pt;width:60.4pt;z-index:251959296;mso-width-relative:page;mso-height-relative:page;" filled="f" stroked="f" coordsize="21600,21600" o:gfxdata="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G+vO3AAAAAsBAAAPAAAAAAAAAAEAIAAAACIA&#10;AABkcnMvZG93bnJldi54bWxQSwECFAAUAAAACACHTuJA6nC35T4CAABpBAAADgAAAAAAAAABACAA&#10;AAArAQAAZHJzL2Uyb0RvYy54bWxQSwUGAAAAAAYABgBZAQAA2wUAAAAA&#10;">
                <v:fill on="f" focussize="0,0"/>
                <v:stroke on="f" weight="0.5pt"/>
                <v:imagedata o:title=""/>
                <o:lock v:ext="edit" aspectratio="f"/>
                <v:textbox>
                  <w:txbxContent>
                    <w:p w14:paraId="0CA3AB7C">
                      <w:pPr>
                        <w:rPr>
                          <w:rFonts w:hint="eastAsia" w:eastAsia="宋体"/>
                          <w:b/>
                          <w:bCs/>
                          <w:color w:val="FFC000"/>
                          <w:lang w:val="en-US" w:eastAsia="zh-CN"/>
                        </w:rPr>
                      </w:pPr>
                      <w:r>
                        <w:rPr>
                          <w:rFonts w:hint="eastAsia"/>
                          <w:b/>
                          <w:bCs/>
                          <w:color w:val="FFC000"/>
                          <w:lang w:val="en-US" w:eastAsia="zh-CN"/>
                        </w:rPr>
                        <w:t>暖水河</w:t>
                      </w:r>
                    </w:p>
                  </w:txbxContent>
                </v:textbox>
              </v:shape>
            </w:pict>
          </mc:Fallback>
        </mc:AlternateContent>
      </w:r>
      <w:r>
        <w:rPr>
          <w:sz w:val="21"/>
        </w:rPr>
        <mc:AlternateContent>
          <mc:Choice Requires="wps">
            <w:drawing>
              <wp:anchor distT="0" distB="0" distL="114300" distR="114300" simplePos="0" relativeHeight="251958272" behindDoc="0" locked="0" layoutInCell="1" allowOverlap="1">
                <wp:simplePos x="0" y="0"/>
                <wp:positionH relativeFrom="column">
                  <wp:posOffset>5069205</wp:posOffset>
                </wp:positionH>
                <wp:positionV relativeFrom="paragraph">
                  <wp:posOffset>3289300</wp:posOffset>
                </wp:positionV>
                <wp:extent cx="1012190" cy="277495"/>
                <wp:effectExtent l="0" t="0" r="0" b="0"/>
                <wp:wrapNone/>
                <wp:docPr id="328" name="文本框 328"/>
                <wp:cNvGraphicFramePr/>
                <a:graphic xmlns:a="http://schemas.openxmlformats.org/drawingml/2006/main">
                  <a:graphicData uri="http://schemas.microsoft.com/office/word/2010/wordprocessingShape">
                    <wps:wsp>
                      <wps:cNvSpPr txBox="1"/>
                      <wps:spPr>
                        <a:xfrm>
                          <a:off x="0" y="0"/>
                          <a:ext cx="101219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F09F8C">
                            <w:pPr>
                              <w:rPr>
                                <w:rFonts w:hint="eastAsia" w:eastAsia="宋体"/>
                                <w:b/>
                                <w:bCs/>
                                <w:color w:val="FFC000"/>
                                <w:lang w:val="en-US" w:eastAsia="zh-CN"/>
                              </w:rPr>
                            </w:pPr>
                            <w:r>
                              <w:rPr>
                                <w:rFonts w:hint="eastAsia"/>
                                <w:b/>
                                <w:bCs/>
                                <w:color w:val="FFC000"/>
                                <w:lang w:val="en-US" w:eastAsia="zh-CN"/>
                              </w:rPr>
                              <w:t>小旦村排涝沟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9.15pt;margin-top:259pt;height:21.85pt;width:79.7pt;z-index:251958272;mso-width-relative:page;mso-height-relative:page;" filled="f" stroked="f" coordsize="21600,21600" o:gfxdata="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m4eT3AAAAAsBAAAPAAAAAAAAAAEAIAAAACIA&#10;AABkcnMvZG93bnJldi54bWxQSwECFAAUAAAACACHTuJAyy9ErT4CAABqBAAADgAAAAAAAAABACAA&#10;AAArAQAAZHJzL2Uyb0RvYy54bWxQSwUGAAAAAAYABgBZAQAA2wUAAAAA&#10;">
                <v:fill on="f" focussize="0,0"/>
                <v:stroke on="f" weight="0.5pt"/>
                <v:imagedata o:title=""/>
                <o:lock v:ext="edit" aspectratio="f"/>
                <v:textbox>
                  <w:txbxContent>
                    <w:p w14:paraId="48F09F8C">
                      <w:pPr>
                        <w:rPr>
                          <w:rFonts w:hint="eastAsia" w:eastAsia="宋体"/>
                          <w:b/>
                          <w:bCs/>
                          <w:color w:val="FFC000"/>
                          <w:lang w:val="en-US" w:eastAsia="zh-CN"/>
                        </w:rPr>
                      </w:pPr>
                      <w:r>
                        <w:rPr>
                          <w:rFonts w:hint="eastAsia"/>
                          <w:b/>
                          <w:bCs/>
                          <w:color w:val="FFC000"/>
                          <w:lang w:val="en-US" w:eastAsia="zh-CN"/>
                        </w:rPr>
                        <w:t>小旦村排涝沟</w:t>
                      </w:r>
                    </w:p>
                  </w:txbxContent>
                </v:textbox>
              </v:shape>
            </w:pict>
          </mc:Fallback>
        </mc:AlternateContent>
      </w:r>
      <w:r>
        <w:rPr>
          <w:sz w:val="21"/>
        </w:rPr>
        <mc:AlternateContent>
          <mc:Choice Requires="wps">
            <w:drawing>
              <wp:anchor distT="0" distB="0" distL="114300" distR="114300" simplePos="0" relativeHeight="251957248" behindDoc="0" locked="0" layoutInCell="1" allowOverlap="1">
                <wp:simplePos x="0" y="0"/>
                <wp:positionH relativeFrom="column">
                  <wp:posOffset>5619115</wp:posOffset>
                </wp:positionH>
                <wp:positionV relativeFrom="paragraph">
                  <wp:posOffset>3100705</wp:posOffset>
                </wp:positionV>
                <wp:extent cx="815975" cy="277495"/>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81597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7A6A4B">
                            <w:pPr>
                              <w:rPr>
                                <w:rFonts w:hint="eastAsia" w:eastAsia="宋体"/>
                                <w:b/>
                                <w:bCs/>
                                <w:color w:val="FFC000"/>
                                <w:lang w:val="en-US" w:eastAsia="zh-CN"/>
                              </w:rPr>
                            </w:pPr>
                            <w:r>
                              <w:rPr>
                                <w:rFonts w:hint="eastAsia"/>
                                <w:b/>
                                <w:bCs/>
                                <w:color w:val="FFC000"/>
                                <w:lang w:val="en-US" w:eastAsia="zh-CN"/>
                              </w:rPr>
                              <w:t>漫泗河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2.45pt;margin-top:244.15pt;height:21.85pt;width:64.25pt;z-index:251957248;mso-width-relative:page;mso-height-relative:page;" filled="f" stroked="f" coordsize="21600,21600" o:gfxdata="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mazh/cAAAADAEAAA8AAAAAAAAAAQAgAAAAIgAA&#10;AGRycy9kb3ducmV2LnhtbFBLAQIUABQAAAAIAIdO4kBmqroFPQIAAGkEAAAOAAAAAAAAAAEAIAAA&#10;ACsBAABkcnMvZTJvRG9jLnhtbFBLBQYAAAAABgAGAFkBAADaBQAAAAA=&#10;">
                <v:fill on="f" focussize="0,0"/>
                <v:stroke on="f" weight="0.5pt"/>
                <v:imagedata o:title=""/>
                <o:lock v:ext="edit" aspectratio="f"/>
                <v:textbox>
                  <w:txbxContent>
                    <w:p w14:paraId="397A6A4B">
                      <w:pPr>
                        <w:rPr>
                          <w:rFonts w:hint="eastAsia" w:eastAsia="宋体"/>
                          <w:b/>
                          <w:bCs/>
                          <w:color w:val="FFC000"/>
                          <w:lang w:val="en-US" w:eastAsia="zh-CN"/>
                        </w:rPr>
                      </w:pPr>
                      <w:r>
                        <w:rPr>
                          <w:rFonts w:hint="eastAsia"/>
                          <w:b/>
                          <w:bCs/>
                          <w:color w:val="FFC000"/>
                          <w:lang w:val="en-US" w:eastAsia="zh-CN"/>
                        </w:rPr>
                        <w:t>漫泗河</w:t>
                      </w:r>
                    </w:p>
                  </w:txbxContent>
                </v:textbox>
              </v:shape>
            </w:pict>
          </mc:Fallback>
        </mc:AlternateContent>
      </w:r>
      <w:r>
        <w:rPr>
          <w:sz w:val="21"/>
        </w:rPr>
        <mc:AlternateContent>
          <mc:Choice Requires="wps">
            <w:drawing>
              <wp:anchor distT="0" distB="0" distL="114300" distR="114300" simplePos="0" relativeHeight="251956224" behindDoc="0" locked="0" layoutInCell="1" allowOverlap="1">
                <wp:simplePos x="0" y="0"/>
                <wp:positionH relativeFrom="column">
                  <wp:posOffset>5485130</wp:posOffset>
                </wp:positionH>
                <wp:positionV relativeFrom="paragraph">
                  <wp:posOffset>2125345</wp:posOffset>
                </wp:positionV>
                <wp:extent cx="1162050" cy="277495"/>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FDFE8C">
                            <w:pPr>
                              <w:rPr>
                                <w:rFonts w:hint="eastAsia" w:eastAsia="宋体"/>
                                <w:b/>
                                <w:bCs/>
                                <w:color w:val="FFC000"/>
                                <w:lang w:val="en-US" w:eastAsia="zh-CN"/>
                              </w:rPr>
                            </w:pPr>
                            <w:r>
                              <w:rPr>
                                <w:rFonts w:hint="eastAsia"/>
                                <w:b/>
                                <w:bCs/>
                                <w:color w:val="FFC000"/>
                                <w:lang w:val="en-US" w:eastAsia="zh-CN"/>
                              </w:rPr>
                              <w:t>东猪龙河西支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9pt;margin-top:167.35pt;height:21.85pt;width:91.5pt;z-index:251956224;mso-width-relative:page;mso-height-relative:page;" filled="f" stroked="f" coordsize="21600,21600" o:gfxdata="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u5fTY2wAAAAwBAAAPAAAAAAAAAAEAIAAAACIAAABk&#10;cnMvZG93bnJldi54bWxQSwECFAAUAAAACACHTuJAS9iqizwCAABqBAAADgAAAAAAAAABACAAAAAq&#10;AQAAZHJzL2Uyb0RvYy54bWxQSwUGAAAAAAYABgBZAQAA2AUAAAAA&#10;">
                <v:fill on="f" focussize="0,0"/>
                <v:stroke on="f" weight="0.5pt"/>
                <v:imagedata o:title=""/>
                <o:lock v:ext="edit" aspectratio="f"/>
                <v:textbox>
                  <w:txbxContent>
                    <w:p w14:paraId="6EFDFE8C">
                      <w:pPr>
                        <w:rPr>
                          <w:rFonts w:hint="eastAsia" w:eastAsia="宋体"/>
                          <w:b/>
                          <w:bCs/>
                          <w:color w:val="FFC000"/>
                          <w:lang w:val="en-US" w:eastAsia="zh-CN"/>
                        </w:rPr>
                      </w:pPr>
                      <w:r>
                        <w:rPr>
                          <w:rFonts w:hint="eastAsia"/>
                          <w:b/>
                          <w:bCs/>
                          <w:color w:val="FFC000"/>
                          <w:lang w:val="en-US" w:eastAsia="zh-CN"/>
                        </w:rPr>
                        <w:t>东猪龙河西支</w:t>
                      </w:r>
                    </w:p>
                  </w:txbxContent>
                </v:textbox>
              </v:shape>
            </w:pict>
          </mc:Fallback>
        </mc:AlternateContent>
      </w:r>
      <w:r>
        <w:rPr>
          <w:sz w:val="21"/>
        </w:rPr>
        <mc:AlternateContent>
          <mc:Choice Requires="wps">
            <w:drawing>
              <wp:anchor distT="0" distB="0" distL="114300" distR="114300" simplePos="0" relativeHeight="251955200" behindDoc="0" locked="0" layoutInCell="1" allowOverlap="1">
                <wp:simplePos x="0" y="0"/>
                <wp:positionH relativeFrom="column">
                  <wp:posOffset>5916930</wp:posOffset>
                </wp:positionH>
                <wp:positionV relativeFrom="paragraph">
                  <wp:posOffset>1467485</wp:posOffset>
                </wp:positionV>
                <wp:extent cx="1162050" cy="277495"/>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4D733D">
                            <w:pPr>
                              <w:rPr>
                                <w:rFonts w:hint="eastAsia" w:eastAsia="宋体"/>
                                <w:b/>
                                <w:bCs/>
                                <w:color w:val="FFC000"/>
                                <w:lang w:val="en-US" w:eastAsia="zh-CN"/>
                              </w:rPr>
                            </w:pPr>
                            <w:r>
                              <w:rPr>
                                <w:rFonts w:hint="eastAsia"/>
                                <w:b/>
                                <w:bCs/>
                                <w:color w:val="FFC000"/>
                                <w:lang w:val="en-US" w:eastAsia="zh-CN"/>
                              </w:rPr>
                              <w:t>东猪龙河东支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5.9pt;margin-top:115.55pt;height:21.85pt;width:91.5pt;z-index:251955200;mso-width-relative:page;mso-height-relative:page;" filled="f" stroked="f" coordsize="21600,21600" o:gfxdata="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VzygXcAAAADAEAAA8AAAAAAAAAAQAgAAAAIgAA&#10;AGRycy9kb3ducmV2LnhtbFBLAQIUABQAAAAIAIdO4kC89pvlPQIAAGoEAAAOAAAAAAAAAAEAIAAA&#10;ACsBAABkcnMvZTJvRG9jLnhtbFBLBQYAAAAABgAGAFkBAADaBQAAAAA=&#10;">
                <v:fill on="f" focussize="0,0"/>
                <v:stroke on="f" weight="0.5pt"/>
                <v:imagedata o:title=""/>
                <o:lock v:ext="edit" aspectratio="f"/>
                <v:textbox>
                  <w:txbxContent>
                    <w:p w14:paraId="174D733D">
                      <w:pPr>
                        <w:rPr>
                          <w:rFonts w:hint="eastAsia" w:eastAsia="宋体"/>
                          <w:b/>
                          <w:bCs/>
                          <w:color w:val="FFC000"/>
                          <w:lang w:val="en-US" w:eastAsia="zh-CN"/>
                        </w:rPr>
                      </w:pPr>
                      <w:r>
                        <w:rPr>
                          <w:rFonts w:hint="eastAsia"/>
                          <w:b/>
                          <w:bCs/>
                          <w:color w:val="FFC000"/>
                          <w:lang w:val="en-US" w:eastAsia="zh-CN"/>
                        </w:rPr>
                        <w:t>东猪龙河东支</w:t>
                      </w:r>
                    </w:p>
                  </w:txbxContent>
                </v:textbox>
              </v:shape>
            </w:pict>
          </mc:Fallback>
        </mc:AlternateContent>
      </w:r>
      <w:r>
        <w:rPr>
          <w:sz w:val="21"/>
        </w:rPr>
        <mc:AlternateContent>
          <mc:Choice Requires="wps">
            <w:drawing>
              <wp:anchor distT="0" distB="0" distL="114300" distR="114300" simplePos="0" relativeHeight="251954176" behindDoc="0" locked="0" layoutInCell="1" allowOverlap="1">
                <wp:simplePos x="0" y="0"/>
                <wp:positionH relativeFrom="column">
                  <wp:posOffset>4300855</wp:posOffset>
                </wp:positionH>
                <wp:positionV relativeFrom="paragraph">
                  <wp:posOffset>2299970</wp:posOffset>
                </wp:positionV>
                <wp:extent cx="801370" cy="277495"/>
                <wp:effectExtent l="0" t="0" r="0" b="0"/>
                <wp:wrapNone/>
                <wp:docPr id="324" name="文本框 324"/>
                <wp:cNvGraphicFramePr/>
                <a:graphic xmlns:a="http://schemas.openxmlformats.org/drawingml/2006/main">
                  <a:graphicData uri="http://schemas.microsoft.com/office/word/2010/wordprocessingShape">
                    <wps:wsp>
                      <wps:cNvSpPr txBox="1"/>
                      <wps:spPr>
                        <a:xfrm>
                          <a:off x="0" y="0"/>
                          <a:ext cx="80137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DFF0BF">
                            <w:pPr>
                              <w:rPr>
                                <w:rFonts w:hint="eastAsia" w:eastAsia="宋体"/>
                                <w:b/>
                                <w:bCs/>
                                <w:color w:val="FFC000"/>
                                <w:lang w:val="en-US" w:eastAsia="zh-CN"/>
                              </w:rPr>
                            </w:pPr>
                            <w:r>
                              <w:rPr>
                                <w:rFonts w:hint="eastAsia"/>
                                <w:b/>
                                <w:bCs/>
                                <w:color w:val="FFC000"/>
                                <w:lang w:val="en-US" w:eastAsia="zh-CN"/>
                              </w:rPr>
                              <w:t>三泉沟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65pt;margin-top:181.1pt;height:21.85pt;width:63.1pt;z-index:251954176;mso-width-relative:page;mso-height-relative:page;" filled="f" stroked="f" coordsize="21600,21600" o:gfxdata="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SYS+d0AAAALAQAADwAAAAAAAAABACAAAAAi&#10;AAAAZHJzL2Rvd25yZXYueG1sUEsBAhQAFAAAAAgAh07iQMB/g2o+AgAAaQQAAA4AAAAAAAAAAQAg&#10;AAAALAEAAGRycy9lMm9Eb2MueG1sUEsFBgAAAAAGAAYAWQEAANwFAAAAAA==&#10;">
                <v:fill on="f" focussize="0,0"/>
                <v:stroke on="f" weight="0.5pt"/>
                <v:imagedata o:title=""/>
                <o:lock v:ext="edit" aspectratio="f"/>
                <v:textbox>
                  <w:txbxContent>
                    <w:p w14:paraId="04DFF0BF">
                      <w:pPr>
                        <w:rPr>
                          <w:rFonts w:hint="eastAsia" w:eastAsia="宋体"/>
                          <w:b/>
                          <w:bCs/>
                          <w:color w:val="FFC000"/>
                          <w:lang w:val="en-US" w:eastAsia="zh-CN"/>
                        </w:rPr>
                      </w:pPr>
                      <w:r>
                        <w:rPr>
                          <w:rFonts w:hint="eastAsia"/>
                          <w:b/>
                          <w:bCs/>
                          <w:color w:val="FFC000"/>
                          <w:lang w:val="en-US" w:eastAsia="zh-CN"/>
                        </w:rPr>
                        <w:t>三泉沟</w:t>
                      </w:r>
                    </w:p>
                  </w:txbxContent>
                </v:textbox>
              </v:shape>
            </w:pict>
          </mc:Fallback>
        </mc:AlternateContent>
      </w:r>
      <w:r>
        <w:rPr>
          <w:sz w:val="21"/>
        </w:rPr>
        <mc:AlternateContent>
          <mc:Choice Requires="wps">
            <w:drawing>
              <wp:anchor distT="0" distB="0" distL="114300" distR="114300" simplePos="0" relativeHeight="251953152" behindDoc="0" locked="0" layoutInCell="1" allowOverlap="1">
                <wp:simplePos x="0" y="0"/>
                <wp:positionH relativeFrom="column">
                  <wp:posOffset>3905885</wp:posOffset>
                </wp:positionH>
                <wp:positionV relativeFrom="paragraph">
                  <wp:posOffset>3529965</wp:posOffset>
                </wp:positionV>
                <wp:extent cx="767080" cy="277495"/>
                <wp:effectExtent l="0" t="0" r="0" b="0"/>
                <wp:wrapNone/>
                <wp:docPr id="323" name="文本框 323"/>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EDC698">
                            <w:pPr>
                              <w:rPr>
                                <w:rFonts w:hint="eastAsia" w:eastAsia="宋体"/>
                                <w:b/>
                                <w:bCs/>
                                <w:color w:val="FFC000"/>
                                <w:lang w:val="en-US" w:eastAsia="zh-CN"/>
                              </w:rPr>
                            </w:pPr>
                            <w:r>
                              <w:rPr>
                                <w:rFonts w:hint="eastAsia"/>
                                <w:b/>
                                <w:bCs/>
                                <w:color w:val="FFC000"/>
                                <w:lang w:val="en-US" w:eastAsia="zh-CN"/>
                              </w:rPr>
                              <w:t>瓦村沟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55pt;margin-top:277.95pt;height:21.85pt;width:60.4pt;z-index:251953152;mso-width-relative:page;mso-height-relative:page;" filled="f" stroked="f" coordsize="21600,21600" o:gfxdata="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w8z89sAAAALAQAADwAAAAAAAAABACAAAAAiAAAA&#10;ZHJzL2Rvd25yZXYueG1sUEsBAhQAFAAAAAgAh07iQNkVNuI9AgAAaQQAAA4AAAAAAAAAAQAgAAAA&#10;KgEAAGRycy9lMm9Eb2MueG1sUEsFBgAAAAAGAAYAWQEAANkFAAAAAA==&#10;">
                <v:fill on="f" focussize="0,0"/>
                <v:stroke on="f" weight="0.5pt"/>
                <v:imagedata o:title=""/>
                <o:lock v:ext="edit" aspectratio="f"/>
                <v:textbox>
                  <w:txbxContent>
                    <w:p w14:paraId="07EDC698">
                      <w:pPr>
                        <w:rPr>
                          <w:rFonts w:hint="eastAsia" w:eastAsia="宋体"/>
                          <w:b/>
                          <w:bCs/>
                          <w:color w:val="FFC000"/>
                          <w:lang w:val="en-US" w:eastAsia="zh-CN"/>
                        </w:rPr>
                      </w:pPr>
                      <w:r>
                        <w:rPr>
                          <w:rFonts w:hint="eastAsia"/>
                          <w:b/>
                          <w:bCs/>
                          <w:color w:val="FFC000"/>
                          <w:lang w:val="en-US" w:eastAsia="zh-CN"/>
                        </w:rPr>
                        <w:t>瓦村沟</w:t>
                      </w:r>
                    </w:p>
                  </w:txbxContent>
                </v:textbox>
              </v:shape>
            </w:pict>
          </mc:Fallback>
        </mc:AlternateContent>
      </w:r>
      <w:r>
        <w:rPr>
          <w:sz w:val="21"/>
        </w:rPr>
        <mc:AlternateContent>
          <mc:Choice Requires="wps">
            <w:drawing>
              <wp:anchor distT="0" distB="0" distL="114300" distR="114300" simplePos="0" relativeHeight="251952128" behindDoc="0" locked="0" layoutInCell="1" allowOverlap="1">
                <wp:simplePos x="0" y="0"/>
                <wp:positionH relativeFrom="column">
                  <wp:posOffset>2284095</wp:posOffset>
                </wp:positionH>
                <wp:positionV relativeFrom="paragraph">
                  <wp:posOffset>3226435</wp:posOffset>
                </wp:positionV>
                <wp:extent cx="1154430" cy="277495"/>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115443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EC6F13">
                            <w:pPr>
                              <w:rPr>
                                <w:rFonts w:hint="eastAsia" w:eastAsia="宋体"/>
                                <w:b/>
                                <w:bCs/>
                                <w:color w:val="FFC000"/>
                                <w:lang w:val="en-US" w:eastAsia="zh-CN"/>
                              </w:rPr>
                            </w:pPr>
                            <w:r>
                              <w:rPr>
                                <w:rFonts w:hint="eastAsia"/>
                                <w:b/>
                                <w:bCs/>
                                <w:color w:val="FFC000"/>
                                <w:lang w:val="en-US" w:eastAsia="zh-CN"/>
                              </w:rPr>
                              <w:t>天津路排涝沟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85pt;margin-top:254.05pt;height:21.85pt;width:90.9pt;z-index:251952128;mso-width-relative:page;mso-height-relative:page;" filled="f" stroked="f" coordsize="21600,21600" o:gfxdata="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0uVFa3AAAAAsBAAAPAAAAAAAAAAEAIAAAACIA&#10;AABkcnMvZG93bnJldi54bWxQSwECFAAUAAAACACHTuJABx5Thz4CAABqBAAADgAAAAAAAAABACAA&#10;AAArAQAAZHJzL2Uyb0RvYy54bWxQSwUGAAAAAAYABgBZAQAA2wUAAAAA&#10;">
                <v:fill on="f" focussize="0,0"/>
                <v:stroke on="f" weight="0.5pt"/>
                <v:imagedata o:title=""/>
                <o:lock v:ext="edit" aspectratio="f"/>
                <v:textbox>
                  <w:txbxContent>
                    <w:p w14:paraId="50EC6F13">
                      <w:pPr>
                        <w:rPr>
                          <w:rFonts w:hint="eastAsia" w:eastAsia="宋体"/>
                          <w:b/>
                          <w:bCs/>
                          <w:color w:val="FFC000"/>
                          <w:lang w:val="en-US" w:eastAsia="zh-CN"/>
                        </w:rPr>
                      </w:pPr>
                      <w:r>
                        <w:rPr>
                          <w:rFonts w:hint="eastAsia"/>
                          <w:b/>
                          <w:bCs/>
                          <w:color w:val="FFC000"/>
                          <w:lang w:val="en-US" w:eastAsia="zh-CN"/>
                        </w:rPr>
                        <w:t>天津路排涝沟</w:t>
                      </w:r>
                    </w:p>
                  </w:txbxContent>
                </v:textbox>
              </v:shape>
            </w:pict>
          </mc:Fallback>
        </mc:AlternateContent>
      </w:r>
      <w:r>
        <w:rPr>
          <w:sz w:val="21"/>
        </w:rPr>
        <mc:AlternateContent>
          <mc:Choice Requires="wps">
            <w:drawing>
              <wp:anchor distT="0" distB="0" distL="114300" distR="114300" simplePos="0" relativeHeight="251951104" behindDoc="0" locked="0" layoutInCell="1" allowOverlap="1">
                <wp:simplePos x="0" y="0"/>
                <wp:positionH relativeFrom="column">
                  <wp:posOffset>1356995</wp:posOffset>
                </wp:positionH>
                <wp:positionV relativeFrom="paragraph">
                  <wp:posOffset>3550920</wp:posOffset>
                </wp:positionV>
                <wp:extent cx="767080" cy="27749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10B27F">
                            <w:pPr>
                              <w:rPr>
                                <w:rFonts w:hint="eastAsia" w:eastAsia="宋体"/>
                                <w:b/>
                                <w:bCs/>
                                <w:color w:val="FFC000"/>
                                <w:lang w:val="en-US" w:eastAsia="zh-CN"/>
                              </w:rPr>
                            </w:pPr>
                            <w:r>
                              <w:rPr>
                                <w:rFonts w:hint="eastAsia"/>
                                <w:b/>
                                <w:bCs/>
                                <w:color w:val="FFC000"/>
                                <w:lang w:val="en-US" w:eastAsia="zh-CN"/>
                              </w:rPr>
                              <w:t>袁家河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85pt;margin-top:279.6pt;height:21.85pt;width:60.4pt;z-index:251951104;mso-width-relative:page;mso-height-relative:page;" filled="f" stroked="f" coordsize="21600,21600" o:gfxdata="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lAigf3QAAAAsBAAAPAAAAAAAAAAEAIAAAACIA&#10;AABkcnMvZG93bnJldi54bWxQSwECFAAUAAAACACHTuJAwwoGjj0CAABpBAAADgAAAAAAAAABACAA&#10;AAAsAQAAZHJzL2Uyb0RvYy54bWxQSwUGAAAAAAYABgBZAQAA2wUAAAAA&#10;">
                <v:fill on="f" focussize="0,0"/>
                <v:stroke on="f" weight="0.5pt"/>
                <v:imagedata o:title=""/>
                <o:lock v:ext="edit" aspectratio="f"/>
                <v:textbox>
                  <w:txbxContent>
                    <w:p w14:paraId="0310B27F">
                      <w:pPr>
                        <w:rPr>
                          <w:rFonts w:hint="eastAsia" w:eastAsia="宋体"/>
                          <w:b/>
                          <w:bCs/>
                          <w:color w:val="FFC000"/>
                          <w:lang w:val="en-US" w:eastAsia="zh-CN"/>
                        </w:rPr>
                      </w:pPr>
                      <w:r>
                        <w:rPr>
                          <w:rFonts w:hint="eastAsia"/>
                          <w:b/>
                          <w:bCs/>
                          <w:color w:val="FFC000"/>
                          <w:lang w:val="en-US" w:eastAsia="zh-CN"/>
                        </w:rPr>
                        <w:t>袁家河</w:t>
                      </w:r>
                    </w:p>
                  </w:txbxContent>
                </v:textbox>
              </v:shape>
            </w:pict>
          </mc:Fallback>
        </mc:AlternateContent>
      </w:r>
      <w:r>
        <w:rPr>
          <w:sz w:val="21"/>
        </w:rPr>
        <mc:AlternateContent>
          <mc:Choice Requires="wps">
            <w:drawing>
              <wp:anchor distT="0" distB="0" distL="114300" distR="114300" simplePos="0" relativeHeight="251950080" behindDoc="0" locked="0" layoutInCell="1" allowOverlap="1">
                <wp:simplePos x="0" y="0"/>
                <wp:positionH relativeFrom="column">
                  <wp:posOffset>983615</wp:posOffset>
                </wp:positionH>
                <wp:positionV relativeFrom="paragraph">
                  <wp:posOffset>2796540</wp:posOffset>
                </wp:positionV>
                <wp:extent cx="767080" cy="277495"/>
                <wp:effectExtent l="0" t="0" r="0" b="0"/>
                <wp:wrapNone/>
                <wp:docPr id="320" name="文本框 320"/>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7947AC">
                            <w:pPr>
                              <w:rPr>
                                <w:rFonts w:hint="eastAsia" w:eastAsia="宋体"/>
                                <w:b/>
                                <w:bCs/>
                                <w:color w:val="FFC000"/>
                                <w:lang w:val="en-US" w:eastAsia="zh-CN"/>
                              </w:rPr>
                            </w:pPr>
                            <w:r>
                              <w:rPr>
                                <w:rFonts w:hint="eastAsia"/>
                                <w:b/>
                                <w:bCs/>
                                <w:color w:val="FFC000"/>
                                <w:lang w:val="en-US" w:eastAsia="zh-CN"/>
                              </w:rPr>
                              <w:t>焕然河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45pt;margin-top:220.2pt;height:21.85pt;width:60.4pt;z-index:251950080;mso-width-relative:page;mso-height-relative:page;" filled="f" stroked="f" coordsize="21600,21600" o:gfxdata="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ZjMg9sAAAALAQAADwAAAAAAAAABACAAAAAiAAAA&#10;ZHJzL2Rvd25yZXYueG1sUEsBAhQAFAAAAAgAh07iQE4FHrg9AgAAaQQAAA4AAAAAAAAAAQAgAAAA&#10;KgEAAGRycy9lMm9Eb2MueG1sUEsFBgAAAAAGAAYAWQEAANkFAAAAAA==&#10;">
                <v:fill on="f" focussize="0,0"/>
                <v:stroke on="f" weight="0.5pt"/>
                <v:imagedata o:title=""/>
                <o:lock v:ext="edit" aspectratio="f"/>
                <v:textbox>
                  <w:txbxContent>
                    <w:p w14:paraId="7A7947AC">
                      <w:pPr>
                        <w:rPr>
                          <w:rFonts w:hint="eastAsia" w:eastAsia="宋体"/>
                          <w:b/>
                          <w:bCs/>
                          <w:color w:val="FFC000"/>
                          <w:lang w:val="en-US" w:eastAsia="zh-CN"/>
                        </w:rPr>
                      </w:pPr>
                      <w:r>
                        <w:rPr>
                          <w:rFonts w:hint="eastAsia"/>
                          <w:b/>
                          <w:bCs/>
                          <w:color w:val="FFC000"/>
                          <w:lang w:val="en-US" w:eastAsia="zh-CN"/>
                        </w:rPr>
                        <w:t>焕然河</w:t>
                      </w:r>
                    </w:p>
                  </w:txbxContent>
                </v:textbox>
              </v:shape>
            </w:pict>
          </mc:Fallback>
        </mc:AlternateContent>
      </w:r>
      <w:r>
        <w:rPr>
          <w:sz w:val="21"/>
        </w:rPr>
        <mc:AlternateContent>
          <mc:Choice Requires="wps">
            <w:drawing>
              <wp:anchor distT="0" distB="0" distL="114300" distR="114300" simplePos="0" relativeHeight="251949056" behindDoc="0" locked="0" layoutInCell="1" allowOverlap="1">
                <wp:simplePos x="0" y="0"/>
                <wp:positionH relativeFrom="column">
                  <wp:posOffset>1156335</wp:posOffset>
                </wp:positionH>
                <wp:positionV relativeFrom="paragraph">
                  <wp:posOffset>1223010</wp:posOffset>
                </wp:positionV>
                <wp:extent cx="767080" cy="277495"/>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6F3C3A">
                            <w:pPr>
                              <w:rPr>
                                <w:rFonts w:hint="eastAsia" w:eastAsia="宋体"/>
                                <w:b/>
                                <w:bCs/>
                                <w:color w:val="FFC000"/>
                                <w:lang w:val="en-US" w:eastAsia="zh-CN"/>
                              </w:rPr>
                            </w:pPr>
                            <w:r>
                              <w:rPr>
                                <w:rFonts w:hint="eastAsia"/>
                                <w:b/>
                                <w:bCs/>
                                <w:color w:val="FFC000"/>
                                <w:lang w:val="en-US" w:eastAsia="zh-CN"/>
                              </w:rPr>
                              <w:t>白蛇沟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05pt;margin-top:96.3pt;height:21.85pt;width:60.4pt;z-index:251949056;mso-width-relative:page;mso-height-relative:page;" filled="f" stroked="f" coordsize="21600,21600" o:gfxdata="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41aZrbAAAACwEAAA8AAAAAAAAAAQAgAAAAIgAA&#10;AGRycy9kb3ducmV2LnhtbFBLAQIUABQAAAAIAIdO4kAdXoaLPgIAAGkEAAAOAAAAAAAAAAEAIAAA&#10;ACoBAABkcnMvZTJvRG9jLnhtbFBLBQYAAAAABgAGAFkBAADaBQAAAAA=&#10;">
                <v:fill on="f" focussize="0,0"/>
                <v:stroke on="f" weight="0.5pt"/>
                <v:imagedata o:title=""/>
                <o:lock v:ext="edit" aspectratio="f"/>
                <v:textbox>
                  <w:txbxContent>
                    <w:p w14:paraId="5F6F3C3A">
                      <w:pPr>
                        <w:rPr>
                          <w:rFonts w:hint="eastAsia" w:eastAsia="宋体"/>
                          <w:b/>
                          <w:bCs/>
                          <w:color w:val="FFC000"/>
                          <w:lang w:val="en-US" w:eastAsia="zh-CN"/>
                        </w:rPr>
                      </w:pPr>
                      <w:r>
                        <w:rPr>
                          <w:rFonts w:hint="eastAsia"/>
                          <w:b/>
                          <w:bCs/>
                          <w:color w:val="FFC000"/>
                          <w:lang w:val="en-US" w:eastAsia="zh-CN"/>
                        </w:rPr>
                        <w:t>白蛇沟</w:t>
                      </w:r>
                    </w:p>
                  </w:txbxContent>
                </v:textbox>
              </v:shape>
            </w:pict>
          </mc:Fallback>
        </mc:AlternateContent>
      </w:r>
    </w:p>
    <w:p w14:paraId="0E7E0293">
      <w:pPr>
        <w:pStyle w:val="2"/>
        <w:ind w:left="0" w:leftChars="0" w:firstLine="0" w:firstLineChars="0"/>
        <w:jc w:val="both"/>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6D1D560A">
      <w:pPr>
        <w:jc w:val="left"/>
        <w:rPr>
          <w:rFonts w:hint="default" w:ascii="Times New Roman" w:hAnsi="Times New Roman" w:eastAsia="宋体" w:cs="Times New Roman"/>
          <w:lang w:eastAsia="zh-CN"/>
        </w:rPr>
      </w:pPr>
      <w:r>
        <w:rPr>
          <w:rFonts w:hint="default"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10</w:t>
      </w:r>
      <w:r>
        <w:rPr>
          <w:rFonts w:hint="default" w:ascii="Times New Roman" w:hAnsi="Times New Roman" w:eastAsia="宋体" w:cs="Times New Roman"/>
          <w:b/>
          <w:bCs w:val="0"/>
          <w:kern w:val="0"/>
          <w:sz w:val="24"/>
          <w:szCs w:val="24"/>
          <w:highlight w:val="none"/>
          <w:lang w:val="en-US" w:eastAsia="zh-CN" w:bidi="ar-SA"/>
        </w:rPr>
        <w:t xml:space="preserve"> </w:t>
      </w:r>
      <w:r>
        <w:rPr>
          <w:rFonts w:hint="default" w:ascii="Times New Roman" w:hAnsi="Times New Roman" w:eastAsia="宋体" w:cs="Times New Roman"/>
        </w:rPr>
        <mc:AlternateContent>
          <mc:Choice Requires="wps">
            <w:drawing>
              <wp:anchor distT="0" distB="0" distL="114300" distR="114300" simplePos="0" relativeHeight="251933696" behindDoc="0" locked="0" layoutInCell="1" allowOverlap="1">
                <wp:simplePos x="0" y="0"/>
                <wp:positionH relativeFrom="column">
                  <wp:posOffset>5092700</wp:posOffset>
                </wp:positionH>
                <wp:positionV relativeFrom="paragraph">
                  <wp:posOffset>8032750</wp:posOffset>
                </wp:positionV>
                <wp:extent cx="1102995" cy="261620"/>
                <wp:effectExtent l="0" t="0" r="0" b="0"/>
                <wp:wrapNone/>
                <wp:docPr id="304" name="矩形 304"/>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1D22E75D">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01pt;margin-top:632.5pt;height:20.6pt;width:86.85pt;z-index:251933696;mso-width-relative:page;mso-height-relative:page;" filled="f" stroked="f" coordsize="21600,21600" o:gfxdata="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5MggDd0AAAAN&#10;AQAADwAAAAAAAAABACAAAAAiAAAAZHJzL2Rvd25yZXYueG1sUEsBAhQAFAAAAAgAh07iQOHFtPql&#10;AQAARQMAAA4AAAAAAAAAAQAgAAAALAEAAGRycy9lMm9Eb2MueG1sUEsFBgAAAAAGAAYAWQEAAEMF&#10;AAAAAA==&#10;">
                <v:fill on="f" focussize="0,0"/>
                <v:stroke on="f"/>
                <v:imagedata o:title=""/>
                <o:lock v:ext="edit" aspectratio="f"/>
                <v:textbox>
                  <w:txbxContent>
                    <w:p w14:paraId="1D22E75D">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934720" behindDoc="0" locked="0" layoutInCell="1" allowOverlap="1">
                <wp:simplePos x="0" y="0"/>
                <wp:positionH relativeFrom="column">
                  <wp:posOffset>5245100</wp:posOffset>
                </wp:positionH>
                <wp:positionV relativeFrom="paragraph">
                  <wp:posOffset>8185150</wp:posOffset>
                </wp:positionV>
                <wp:extent cx="1102995" cy="261620"/>
                <wp:effectExtent l="0" t="0" r="0" b="0"/>
                <wp:wrapNone/>
                <wp:docPr id="315" name="矩形 315"/>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6B3D63CA">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13pt;margin-top:644.5pt;height:20.6pt;width:86.85pt;z-index:251934720;mso-width-relative:page;mso-height-relative:page;" filled="f" stroked="f" coordsize="21600,21600" o:gfxdata="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DBt4z7dAAAADQEA&#10;AA8AAAAAAAAAAQAgAAAAIgAAAGRycy9kb3ducmV2LnhtbFBLAQIUABQAAAAIAIdO4kAtwoCWowEA&#10;AEUDAAAOAAAAAAAAAAEAIAAAACwBAABkcnMvZTJvRG9jLnhtbFBLBQYAAAAABgAGAFkBAABBBQAA&#10;AAA=&#10;">
                <v:fill on="f" focussize="0,0"/>
                <v:stroke on="f"/>
                <v:imagedata o:title=""/>
                <o:lock v:ext="edit" aspectratio="f"/>
                <v:textbox>
                  <w:txbxContent>
                    <w:p w14:paraId="6B3D63CA">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eastAsia" w:ascii="Times New Roman" w:hAnsi="Times New Roman" w:cs="Times New Roman"/>
          <w:b/>
          <w:bCs w:val="0"/>
          <w:kern w:val="0"/>
          <w:sz w:val="24"/>
          <w:szCs w:val="24"/>
          <w:highlight w:val="none"/>
          <w:lang w:val="en-US" w:eastAsia="zh-CN" w:bidi="ar-SA"/>
        </w:rPr>
        <w:t>项目</w:t>
      </w:r>
      <w:r>
        <w:rPr>
          <w:rFonts w:hint="eastAsia" w:cs="Times New Roman"/>
          <w:b/>
          <w:bCs w:val="0"/>
          <w:kern w:val="0"/>
          <w:sz w:val="24"/>
          <w:szCs w:val="24"/>
          <w:highlight w:val="none"/>
          <w:lang w:val="en-US" w:eastAsia="zh-CN" w:bidi="ar-SA"/>
        </w:rPr>
        <w:t>临时施工占地</w:t>
      </w:r>
      <w:r>
        <w:rPr>
          <w:rFonts w:hint="eastAsia" w:ascii="Times New Roman" w:hAnsi="Times New Roman" w:cs="Times New Roman"/>
          <w:b/>
          <w:bCs w:val="0"/>
          <w:kern w:val="0"/>
          <w:sz w:val="24"/>
          <w:szCs w:val="24"/>
          <w:highlight w:val="none"/>
          <w:lang w:val="en-US" w:eastAsia="zh-CN" w:bidi="ar-SA"/>
        </w:rPr>
        <w:t>平面布置图</w:t>
      </w:r>
    </w:p>
    <w:p w14:paraId="6E428608">
      <w:pPr>
        <w:pStyle w:val="2"/>
        <w:ind w:left="0" w:leftChars="0" w:firstLine="0" w:firstLineChars="0"/>
        <w:jc w:val="both"/>
        <w:rPr>
          <w:rFonts w:hint="eastAsia" w:eastAsia="宋体"/>
          <w:lang w:eastAsia="zh-CN"/>
        </w:rPr>
      </w:pPr>
      <w:r>
        <w:rPr>
          <w:sz w:val="21"/>
        </w:rPr>
        <mc:AlternateContent>
          <mc:Choice Requires="wps">
            <w:drawing>
              <wp:anchor distT="0" distB="0" distL="114300" distR="114300" simplePos="0" relativeHeight="251948032" behindDoc="0" locked="0" layoutInCell="1" allowOverlap="1">
                <wp:simplePos x="0" y="0"/>
                <wp:positionH relativeFrom="column">
                  <wp:posOffset>7333615</wp:posOffset>
                </wp:positionH>
                <wp:positionV relativeFrom="paragraph">
                  <wp:posOffset>2008505</wp:posOffset>
                </wp:positionV>
                <wp:extent cx="1040765" cy="277495"/>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104076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524BF8">
                            <w:pPr>
                              <w:rPr>
                                <w:rFonts w:hint="eastAsia" w:eastAsia="宋体"/>
                                <w:b/>
                                <w:bCs/>
                                <w:color w:val="FFC000"/>
                                <w:lang w:eastAsia="zh-CN"/>
                              </w:rPr>
                            </w:pPr>
                            <w:r>
                              <w:rPr>
                                <w:rFonts w:hint="eastAsia"/>
                                <w:b/>
                                <w:bCs/>
                                <w:color w:val="FFC000"/>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45pt;margin-top:158.15pt;height:21.85pt;width:81.95pt;z-index:251948032;mso-width-relative:page;mso-height-relative:page;" filled="f" stroked="f" coordsize="21600,21600" o:gfxdata="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3U25PcAAAADQEAAA8AAAAAAAAAAQAgAAAAIgAA&#10;AGRycy9kb3ducmV2LnhtbFBLAQIUABQAAAAIAIdO4kA4m6ATPQIAAGoEAAAOAAAAAAAAAAEAIAAA&#10;ACsBAABkcnMvZTJvRG9jLnhtbFBLBQYAAAAABgAGAFkBAADaBQAAAAA=&#10;">
                <v:fill on="f" focussize="0,0"/>
                <v:stroke on="f" weight="0.5pt"/>
                <v:imagedata o:title=""/>
                <o:lock v:ext="edit" aspectratio="f"/>
                <v:textbox>
                  <w:txbxContent>
                    <w:p w14:paraId="60524BF8">
                      <w:pPr>
                        <w:rPr>
                          <w:rFonts w:hint="eastAsia" w:eastAsia="宋体"/>
                          <w:b/>
                          <w:bCs/>
                          <w:color w:val="FFC000"/>
                          <w:lang w:eastAsia="zh-CN"/>
                        </w:rPr>
                      </w:pPr>
                      <w:r>
                        <w:rPr>
                          <w:rFonts w:hint="eastAsia"/>
                          <w:b/>
                          <w:bCs/>
                          <w:color w:val="FFC000"/>
                          <w:lang w:eastAsia="zh-CN"/>
                        </w:rPr>
                        <w:t>大高村排涝沟</w:t>
                      </w:r>
                    </w:p>
                  </w:txbxContent>
                </v:textbox>
              </v:shape>
            </w:pict>
          </mc:Fallback>
        </mc:AlternateContent>
      </w:r>
      <w:r>
        <w:rPr>
          <w:rFonts w:hint="default" w:ascii="Times New Roman" w:hAnsi="Times New Roman" w:eastAsia="宋体" w:cs="Times New Roman"/>
          <w:highlight w:val="none"/>
        </w:rPr>
        <w:drawing>
          <wp:anchor distT="0" distB="0" distL="114300" distR="114300" simplePos="0" relativeHeight="251935744" behindDoc="0" locked="0" layoutInCell="1" allowOverlap="1">
            <wp:simplePos x="0" y="0"/>
            <wp:positionH relativeFrom="page">
              <wp:posOffset>8157845</wp:posOffset>
            </wp:positionH>
            <wp:positionV relativeFrom="paragraph">
              <wp:posOffset>115570</wp:posOffset>
            </wp:positionV>
            <wp:extent cx="733425" cy="739775"/>
            <wp:effectExtent l="0" t="0" r="9525" b="3175"/>
            <wp:wrapNone/>
            <wp:docPr id="24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98"/>
                    <pic:cNvPicPr>
                      <a:picLocks noChangeAspect="1"/>
                    </pic:cNvPicPr>
                  </pic:nvPicPr>
                  <pic:blipFill>
                    <a:blip r:embed="rId60"/>
                    <a:stretch>
                      <a:fillRect/>
                    </a:stretch>
                  </pic:blipFill>
                  <pic:spPr>
                    <a:xfrm>
                      <a:off x="0" y="0"/>
                      <a:ext cx="733425" cy="739775"/>
                    </a:xfrm>
                    <a:prstGeom prst="rect">
                      <a:avLst/>
                    </a:prstGeom>
                    <a:noFill/>
                    <a:ln>
                      <a:noFill/>
                    </a:ln>
                  </pic:spPr>
                </pic:pic>
              </a:graphicData>
            </a:graphic>
          </wp:anchor>
        </w:drawing>
      </w:r>
      <w:r>
        <w:rPr>
          <w:sz w:val="21"/>
        </w:rPr>
        <mc:AlternateContent>
          <mc:Choice Requires="wps">
            <w:drawing>
              <wp:anchor distT="0" distB="0" distL="114300" distR="114300" simplePos="0" relativeHeight="251947008" behindDoc="0" locked="0" layoutInCell="1" allowOverlap="1">
                <wp:simplePos x="0" y="0"/>
                <wp:positionH relativeFrom="column">
                  <wp:posOffset>6592570</wp:posOffset>
                </wp:positionH>
                <wp:positionV relativeFrom="paragraph">
                  <wp:posOffset>1666875</wp:posOffset>
                </wp:positionV>
                <wp:extent cx="645795" cy="277495"/>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64579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E955DA">
                            <w:pPr>
                              <w:rPr>
                                <w:rFonts w:hint="eastAsia" w:eastAsia="宋体"/>
                                <w:b/>
                                <w:bCs/>
                                <w:color w:val="FFC000"/>
                                <w:lang w:eastAsia="zh-CN"/>
                              </w:rPr>
                            </w:pPr>
                            <w:r>
                              <w:rPr>
                                <w:rFonts w:hint="eastAsia"/>
                                <w:b/>
                                <w:bCs/>
                                <w:color w:val="FFC000"/>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1pt;margin-top:131.25pt;height:21.85pt;width:50.85pt;z-index:251947008;mso-width-relative:page;mso-height-relative:page;" filled="f" stroked="f" coordsize="21600,21600" o:gfxdata="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&#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Fz5bdwAAAANAQAADwAAAAAAAAABACAAAAAiAAAA&#10;ZHJzL2Rvd25yZXYueG1sUEsBAhQAFAAAAAgAh07iQEM2TOU8AgAAaQQAAA4AAAAAAAAAAQAgAAAA&#10;KwEAAGRycy9lMm9Eb2MueG1sUEsFBgAAAAAGAAYAWQEAANkFAAAAAA==&#10;">
                <v:fill on="f" focussize="0,0"/>
                <v:stroke on="f" weight="0.5pt"/>
                <v:imagedata o:title=""/>
                <o:lock v:ext="edit" aspectratio="f"/>
                <v:textbox>
                  <w:txbxContent>
                    <w:p w14:paraId="5AE955DA">
                      <w:pPr>
                        <w:rPr>
                          <w:rFonts w:hint="eastAsia" w:eastAsia="宋体"/>
                          <w:b/>
                          <w:bCs/>
                          <w:color w:val="FFC000"/>
                          <w:lang w:eastAsia="zh-CN"/>
                        </w:rPr>
                      </w:pPr>
                      <w:r>
                        <w:rPr>
                          <w:rFonts w:hint="eastAsia"/>
                          <w:b/>
                          <w:bCs/>
                          <w:color w:val="FFC000"/>
                          <w:lang w:eastAsia="zh-CN"/>
                        </w:rPr>
                        <w:t>涝淄河</w:t>
                      </w:r>
                    </w:p>
                  </w:txbxContent>
                </v:textbox>
              </v:shape>
            </w:pict>
          </mc:Fallback>
        </mc:AlternateContent>
      </w:r>
      <w:r>
        <w:rPr>
          <w:sz w:val="21"/>
        </w:rPr>
        <mc:AlternateContent>
          <mc:Choice Requires="wps">
            <w:drawing>
              <wp:anchor distT="0" distB="0" distL="114300" distR="114300" simplePos="0" relativeHeight="251945984" behindDoc="0" locked="0" layoutInCell="1" allowOverlap="1">
                <wp:simplePos x="0" y="0"/>
                <wp:positionH relativeFrom="column">
                  <wp:posOffset>5190490</wp:posOffset>
                </wp:positionH>
                <wp:positionV relativeFrom="paragraph">
                  <wp:posOffset>1479550</wp:posOffset>
                </wp:positionV>
                <wp:extent cx="1162050" cy="277495"/>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6E5C50">
                            <w:pPr>
                              <w:rPr>
                                <w:rFonts w:hint="eastAsia" w:eastAsia="宋体"/>
                                <w:b/>
                                <w:bCs/>
                                <w:color w:val="FFC000"/>
                                <w:lang w:val="en-US" w:eastAsia="zh-CN"/>
                              </w:rPr>
                            </w:pPr>
                            <w:r>
                              <w:rPr>
                                <w:rFonts w:hint="eastAsia"/>
                                <w:b/>
                                <w:bCs/>
                                <w:color w:val="FFC000"/>
                                <w:lang w:val="en-US" w:eastAsia="zh-CN"/>
                              </w:rPr>
                              <w:t>东猪龙河东支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7pt;margin-top:116.5pt;height:21.85pt;width:91.5pt;z-index:251945984;mso-width-relative:page;mso-height-relative:page;" filled="f" stroked="f" coordsize="21600,21600" o:gfxdata="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&#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Jbe73aAAAADAEAAA8AAAAAAAAAAQAgAAAAIgAAAGRy&#10;cy9kb3ducmV2LnhtbFBLAQIUABQAAAAIAIdO4kASkas+PAIAAGoEAAAOAAAAAAAAAAEAIAAAACkB&#10;AABkcnMvZTJvRG9jLnhtbFBLBQYAAAAABgAGAFkBAADXBQAAAAA=&#10;">
                <v:fill on="f" focussize="0,0"/>
                <v:stroke on="f" weight="0.5pt"/>
                <v:imagedata o:title=""/>
                <o:lock v:ext="edit" aspectratio="f"/>
                <v:textbox>
                  <w:txbxContent>
                    <w:p w14:paraId="056E5C50">
                      <w:pPr>
                        <w:rPr>
                          <w:rFonts w:hint="eastAsia" w:eastAsia="宋体"/>
                          <w:b/>
                          <w:bCs/>
                          <w:color w:val="FFC000"/>
                          <w:lang w:val="en-US" w:eastAsia="zh-CN"/>
                        </w:rPr>
                      </w:pPr>
                      <w:r>
                        <w:rPr>
                          <w:rFonts w:hint="eastAsia"/>
                          <w:b/>
                          <w:bCs/>
                          <w:color w:val="FFC000"/>
                          <w:lang w:val="en-US" w:eastAsia="zh-CN"/>
                        </w:rPr>
                        <w:t>东猪龙河东支</w:t>
                      </w:r>
                    </w:p>
                  </w:txbxContent>
                </v:textbox>
              </v:shape>
            </w:pict>
          </mc:Fallback>
        </mc:AlternateContent>
      </w:r>
      <w:r>
        <w:rPr>
          <w:sz w:val="21"/>
        </w:rPr>
        <mc:AlternateContent>
          <mc:Choice Requires="wps">
            <w:drawing>
              <wp:anchor distT="0" distB="0" distL="114300" distR="114300" simplePos="0" relativeHeight="251944960" behindDoc="0" locked="0" layoutInCell="1" allowOverlap="1">
                <wp:simplePos x="0" y="0"/>
                <wp:positionH relativeFrom="column">
                  <wp:posOffset>5259070</wp:posOffset>
                </wp:positionH>
                <wp:positionV relativeFrom="paragraph">
                  <wp:posOffset>2470785</wp:posOffset>
                </wp:positionV>
                <wp:extent cx="1162050" cy="277495"/>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614C95">
                            <w:pPr>
                              <w:rPr>
                                <w:rFonts w:hint="eastAsia" w:eastAsia="宋体"/>
                                <w:b/>
                                <w:bCs/>
                                <w:color w:val="FFC000"/>
                                <w:lang w:val="en-US" w:eastAsia="zh-CN"/>
                              </w:rPr>
                            </w:pPr>
                            <w:r>
                              <w:rPr>
                                <w:rFonts w:hint="eastAsia"/>
                                <w:b/>
                                <w:bCs/>
                                <w:color w:val="FFC000"/>
                                <w:lang w:val="en-US" w:eastAsia="zh-CN"/>
                              </w:rPr>
                              <w:t>东猪龙河西支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1pt;margin-top:194.55pt;height:21.85pt;width:91.5pt;z-index:251944960;mso-width-relative:page;mso-height-relative:page;" filled="f" stroked="f" coordsize="21600,21600" o:gfxdata="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&#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f/FZb2wAAAAwBAAAPAAAAAAAAAAEAIAAAACIAAABk&#10;cnMvZG93bnJldi54bWxQSwECFAAUAAAACACHTuJAbiv2cTwCAABqBAAADgAAAAAAAAABACAAAAAq&#10;AQAAZHJzL2Uyb0RvYy54bWxQSwUGAAAAAAYABgBZAQAA2AUAAAAA&#10;">
                <v:fill on="f" focussize="0,0"/>
                <v:stroke on="f" weight="0.5pt"/>
                <v:imagedata o:title=""/>
                <o:lock v:ext="edit" aspectratio="f"/>
                <v:textbox>
                  <w:txbxContent>
                    <w:p w14:paraId="76614C95">
                      <w:pPr>
                        <w:rPr>
                          <w:rFonts w:hint="eastAsia" w:eastAsia="宋体"/>
                          <w:b/>
                          <w:bCs/>
                          <w:color w:val="FFC000"/>
                          <w:lang w:val="en-US" w:eastAsia="zh-CN"/>
                        </w:rPr>
                      </w:pPr>
                      <w:r>
                        <w:rPr>
                          <w:rFonts w:hint="eastAsia"/>
                          <w:b/>
                          <w:bCs/>
                          <w:color w:val="FFC000"/>
                          <w:lang w:val="en-US" w:eastAsia="zh-CN"/>
                        </w:rPr>
                        <w:t>东猪龙河西支</w:t>
                      </w:r>
                    </w:p>
                  </w:txbxContent>
                </v:textbox>
              </v:shape>
            </w:pict>
          </mc:Fallback>
        </mc:AlternateContent>
      </w:r>
      <w:r>
        <w:rPr>
          <w:sz w:val="21"/>
        </w:rPr>
        <mc:AlternateContent>
          <mc:Choice Requires="wps">
            <w:drawing>
              <wp:anchor distT="0" distB="0" distL="114300" distR="114300" simplePos="0" relativeHeight="251943936" behindDoc="0" locked="0" layoutInCell="1" allowOverlap="1">
                <wp:simplePos x="0" y="0"/>
                <wp:positionH relativeFrom="column">
                  <wp:posOffset>5280025</wp:posOffset>
                </wp:positionH>
                <wp:positionV relativeFrom="paragraph">
                  <wp:posOffset>3648710</wp:posOffset>
                </wp:positionV>
                <wp:extent cx="815975" cy="277495"/>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81597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33709A">
                            <w:pPr>
                              <w:rPr>
                                <w:rFonts w:hint="eastAsia" w:eastAsia="宋体"/>
                                <w:b/>
                                <w:bCs/>
                                <w:color w:val="FFC000"/>
                                <w:lang w:val="en-US" w:eastAsia="zh-CN"/>
                              </w:rPr>
                            </w:pPr>
                            <w:r>
                              <w:rPr>
                                <w:rFonts w:hint="eastAsia"/>
                                <w:b/>
                                <w:bCs/>
                                <w:color w:val="FFC000"/>
                                <w:lang w:val="en-US" w:eastAsia="zh-CN"/>
                              </w:rPr>
                              <w:t>漫泗河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5.75pt;margin-top:287.3pt;height:21.85pt;width:64.25pt;z-index:251943936;mso-width-relative:page;mso-height-relative:page;" filled="f" stroked="f" coordsize="21600,21600" o:gfxdata="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N/R/dwAAAALAQAADwAAAAAAAAABACAAAAAi&#10;AAAAZHJzL2Rvd25yZXYueG1sUEsBAhQAFAAAAAgAh07iQHjsdFY/AgAAaQQAAA4AAAAAAAAAAQAg&#10;AAAAKwEAAGRycy9lMm9Eb2MueG1sUEsFBgAAAAAGAAYAWQEAANwFAAAAAA==&#10;">
                <v:fill on="f" focussize="0,0"/>
                <v:stroke on="f" weight="0.5pt"/>
                <v:imagedata o:title=""/>
                <o:lock v:ext="edit" aspectratio="f"/>
                <v:textbox>
                  <w:txbxContent>
                    <w:p w14:paraId="0933709A">
                      <w:pPr>
                        <w:rPr>
                          <w:rFonts w:hint="eastAsia" w:eastAsia="宋体"/>
                          <w:b/>
                          <w:bCs/>
                          <w:color w:val="FFC000"/>
                          <w:lang w:val="en-US" w:eastAsia="zh-CN"/>
                        </w:rPr>
                      </w:pPr>
                      <w:r>
                        <w:rPr>
                          <w:rFonts w:hint="eastAsia"/>
                          <w:b/>
                          <w:bCs/>
                          <w:color w:val="FFC000"/>
                          <w:lang w:val="en-US" w:eastAsia="zh-CN"/>
                        </w:rPr>
                        <w:t>漫泗河</w:t>
                      </w:r>
                    </w:p>
                  </w:txbxContent>
                </v:textbox>
              </v:shape>
            </w:pict>
          </mc:Fallback>
        </mc:AlternateContent>
      </w:r>
      <w:r>
        <w:rPr>
          <w:sz w:val="21"/>
        </w:rPr>
        <mc:AlternateContent>
          <mc:Choice Requires="wps">
            <w:drawing>
              <wp:anchor distT="0" distB="0" distL="114300" distR="114300" simplePos="0" relativeHeight="251942912" behindDoc="0" locked="0" layoutInCell="1" allowOverlap="1">
                <wp:simplePos x="0" y="0"/>
                <wp:positionH relativeFrom="column">
                  <wp:posOffset>4479925</wp:posOffset>
                </wp:positionH>
                <wp:positionV relativeFrom="paragraph">
                  <wp:posOffset>3872865</wp:posOffset>
                </wp:positionV>
                <wp:extent cx="1012190" cy="277495"/>
                <wp:effectExtent l="0" t="0" r="0" b="0"/>
                <wp:wrapNone/>
                <wp:docPr id="266" name="文本框 266"/>
                <wp:cNvGraphicFramePr/>
                <a:graphic xmlns:a="http://schemas.openxmlformats.org/drawingml/2006/main">
                  <a:graphicData uri="http://schemas.microsoft.com/office/word/2010/wordprocessingShape">
                    <wps:wsp>
                      <wps:cNvSpPr txBox="1"/>
                      <wps:spPr>
                        <a:xfrm>
                          <a:off x="0" y="0"/>
                          <a:ext cx="101219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CC946F">
                            <w:pPr>
                              <w:rPr>
                                <w:rFonts w:hint="eastAsia" w:eastAsia="宋体"/>
                                <w:b/>
                                <w:bCs/>
                                <w:color w:val="FFC000"/>
                                <w:lang w:val="en-US" w:eastAsia="zh-CN"/>
                              </w:rPr>
                            </w:pPr>
                            <w:r>
                              <w:rPr>
                                <w:rFonts w:hint="eastAsia"/>
                                <w:b/>
                                <w:bCs/>
                                <w:color w:val="FFC000"/>
                                <w:lang w:val="en-US" w:eastAsia="zh-CN"/>
                              </w:rPr>
                              <w:t>小旦村排涝沟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75pt;margin-top:304.95pt;height:21.85pt;width:79.7pt;z-index:251942912;mso-width-relative:page;mso-height-relative:page;" filled="f" stroked="f" coordsize="21600,21600" o:gfxdata="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&#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Fo2pNsAAAALAQAADwAAAAAAAAABACAAAAAiAAAA&#10;ZHJzL2Rvd25yZXYueG1sUEsBAhQAFAAAAAgAh07iQHNhrTQ9AgAAagQAAA4AAAAAAAAAAQAgAAAA&#10;KgEAAGRycy9lMm9Eb2MueG1sUEsFBgAAAAAGAAYAWQEAANkFAAAAAA==&#10;">
                <v:fill on="f" focussize="0,0"/>
                <v:stroke on="f" weight="0.5pt"/>
                <v:imagedata o:title=""/>
                <o:lock v:ext="edit" aspectratio="f"/>
                <v:textbox>
                  <w:txbxContent>
                    <w:p w14:paraId="57CC946F">
                      <w:pPr>
                        <w:rPr>
                          <w:rFonts w:hint="eastAsia" w:eastAsia="宋体"/>
                          <w:b/>
                          <w:bCs/>
                          <w:color w:val="FFC000"/>
                          <w:lang w:val="en-US" w:eastAsia="zh-CN"/>
                        </w:rPr>
                      </w:pPr>
                      <w:r>
                        <w:rPr>
                          <w:rFonts w:hint="eastAsia"/>
                          <w:b/>
                          <w:bCs/>
                          <w:color w:val="FFC000"/>
                          <w:lang w:val="en-US" w:eastAsia="zh-CN"/>
                        </w:rPr>
                        <w:t>小旦村排涝沟</w:t>
                      </w:r>
                    </w:p>
                  </w:txbxContent>
                </v:textbox>
              </v:shape>
            </w:pict>
          </mc:Fallback>
        </mc:AlternateContent>
      </w:r>
      <w:r>
        <w:rPr>
          <w:sz w:val="21"/>
        </w:rPr>
        <mc:AlternateContent>
          <mc:Choice Requires="wps">
            <w:drawing>
              <wp:anchor distT="0" distB="0" distL="114300" distR="114300" simplePos="0" relativeHeight="251941888" behindDoc="0" locked="0" layoutInCell="1" allowOverlap="1">
                <wp:simplePos x="0" y="0"/>
                <wp:positionH relativeFrom="column">
                  <wp:posOffset>4672965</wp:posOffset>
                </wp:positionH>
                <wp:positionV relativeFrom="paragraph">
                  <wp:posOffset>4346575</wp:posOffset>
                </wp:positionV>
                <wp:extent cx="767080" cy="277495"/>
                <wp:effectExtent l="0" t="0" r="0" b="0"/>
                <wp:wrapNone/>
                <wp:docPr id="267" name="文本框 267"/>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582105">
                            <w:pPr>
                              <w:rPr>
                                <w:rFonts w:hint="eastAsia" w:eastAsia="宋体"/>
                                <w:b/>
                                <w:bCs/>
                                <w:color w:val="FFC000"/>
                                <w:lang w:val="en-US" w:eastAsia="zh-CN"/>
                              </w:rPr>
                            </w:pPr>
                            <w:r>
                              <w:rPr>
                                <w:rFonts w:hint="eastAsia"/>
                                <w:b/>
                                <w:bCs/>
                                <w:color w:val="FFC000"/>
                                <w:lang w:val="en-US" w:eastAsia="zh-CN"/>
                              </w:rPr>
                              <w:t>暖水河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95pt;margin-top:342.25pt;height:21.85pt;width:60.4pt;z-index:251941888;mso-width-relative:page;mso-height-relative:page;" filled="f" stroked="f" coordsize="21600,21600" o:gfxdata="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WhAJr3AAAAAsBAAAPAAAAAAAAAAEAIAAAACIA&#10;AABkcnMvZG93bnJldi54bWxQSwECFAAUAAAACACHTuJA6XKoBT4CAABpBAAADgAAAAAAAAABACAA&#10;AAArAQAAZHJzL2Uyb0RvYy54bWxQSwUGAAAAAAYABgBZAQAA2wUAAAAA&#10;">
                <v:fill on="f" focussize="0,0"/>
                <v:stroke on="f" weight="0.5pt"/>
                <v:imagedata o:title=""/>
                <o:lock v:ext="edit" aspectratio="f"/>
                <v:textbox>
                  <w:txbxContent>
                    <w:p w14:paraId="20582105">
                      <w:pPr>
                        <w:rPr>
                          <w:rFonts w:hint="eastAsia" w:eastAsia="宋体"/>
                          <w:b/>
                          <w:bCs/>
                          <w:color w:val="FFC000"/>
                          <w:lang w:val="en-US" w:eastAsia="zh-CN"/>
                        </w:rPr>
                      </w:pPr>
                      <w:r>
                        <w:rPr>
                          <w:rFonts w:hint="eastAsia"/>
                          <w:b/>
                          <w:bCs/>
                          <w:color w:val="FFC000"/>
                          <w:lang w:val="en-US" w:eastAsia="zh-CN"/>
                        </w:rPr>
                        <w:t>暖水河</w:t>
                      </w:r>
                    </w:p>
                  </w:txbxContent>
                </v:textbox>
              </v:shape>
            </w:pict>
          </mc:Fallback>
        </mc:AlternateContent>
      </w:r>
      <w:r>
        <w:rPr>
          <w:sz w:val="21"/>
        </w:rPr>
        <mc:AlternateContent>
          <mc:Choice Requires="wps">
            <w:drawing>
              <wp:anchor distT="0" distB="0" distL="114300" distR="114300" simplePos="0" relativeHeight="251940864" behindDoc="0" locked="0" layoutInCell="1" allowOverlap="1">
                <wp:simplePos x="0" y="0"/>
                <wp:positionH relativeFrom="column">
                  <wp:posOffset>3524885</wp:posOffset>
                </wp:positionH>
                <wp:positionV relativeFrom="paragraph">
                  <wp:posOffset>3988435</wp:posOffset>
                </wp:positionV>
                <wp:extent cx="767080" cy="277495"/>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D49882">
                            <w:pPr>
                              <w:rPr>
                                <w:rFonts w:hint="eastAsia" w:eastAsia="宋体"/>
                                <w:b/>
                                <w:bCs/>
                                <w:color w:val="FFC000"/>
                                <w:lang w:val="en-US" w:eastAsia="zh-CN"/>
                              </w:rPr>
                            </w:pPr>
                            <w:r>
                              <w:rPr>
                                <w:rFonts w:hint="eastAsia"/>
                                <w:b/>
                                <w:bCs/>
                                <w:color w:val="FFC000"/>
                                <w:lang w:val="en-US" w:eastAsia="zh-CN"/>
                              </w:rPr>
                              <w:t>瓦村沟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55pt;margin-top:314.05pt;height:21.85pt;width:60.4pt;z-index:251940864;mso-width-relative:page;mso-height-relative:page;" filled="f" stroked="f" coordsize="21600,21600" o:gfxdata="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R2V9tsAAAALAQAADwAAAAAAAAABACAAAAAiAAAA&#10;ZHJzL2Rvd25yZXYueG1sUEsBAhQAFAAAAAgAh07iQGMmUew9AgAAaQQAAA4AAAAAAAAAAQAgAAAA&#10;KgEAAGRycy9lMm9Eb2MueG1sUEsFBgAAAAAGAAYAWQEAANkFAAAAAA==&#10;">
                <v:fill on="f" focussize="0,0"/>
                <v:stroke on="f" weight="0.5pt"/>
                <v:imagedata o:title=""/>
                <o:lock v:ext="edit" aspectratio="f"/>
                <v:textbox>
                  <w:txbxContent>
                    <w:p w14:paraId="0ED49882">
                      <w:pPr>
                        <w:rPr>
                          <w:rFonts w:hint="eastAsia" w:eastAsia="宋体"/>
                          <w:b/>
                          <w:bCs/>
                          <w:color w:val="FFC000"/>
                          <w:lang w:val="en-US" w:eastAsia="zh-CN"/>
                        </w:rPr>
                      </w:pPr>
                      <w:r>
                        <w:rPr>
                          <w:rFonts w:hint="eastAsia"/>
                          <w:b/>
                          <w:bCs/>
                          <w:color w:val="FFC000"/>
                          <w:lang w:val="en-US" w:eastAsia="zh-CN"/>
                        </w:rPr>
                        <w:t>瓦村沟</w:t>
                      </w:r>
                    </w:p>
                  </w:txbxContent>
                </v:textbox>
              </v:shape>
            </w:pict>
          </mc:Fallback>
        </mc:AlternateContent>
      </w:r>
      <w:r>
        <w:rPr>
          <w:sz w:val="21"/>
        </w:rPr>
        <mc:AlternateContent>
          <mc:Choice Requires="wps">
            <w:drawing>
              <wp:anchor distT="0" distB="0" distL="114300" distR="114300" simplePos="0" relativeHeight="251939840" behindDoc="0" locked="0" layoutInCell="1" allowOverlap="1">
                <wp:simplePos x="0" y="0"/>
                <wp:positionH relativeFrom="column">
                  <wp:posOffset>4056380</wp:posOffset>
                </wp:positionH>
                <wp:positionV relativeFrom="paragraph">
                  <wp:posOffset>2716530</wp:posOffset>
                </wp:positionV>
                <wp:extent cx="801370" cy="277495"/>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80137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C32E0C">
                            <w:pPr>
                              <w:rPr>
                                <w:rFonts w:hint="eastAsia" w:eastAsia="宋体"/>
                                <w:b/>
                                <w:bCs/>
                                <w:color w:val="FFC000"/>
                                <w:lang w:val="en-US" w:eastAsia="zh-CN"/>
                              </w:rPr>
                            </w:pPr>
                            <w:r>
                              <w:rPr>
                                <w:rFonts w:hint="eastAsia"/>
                                <w:b/>
                                <w:bCs/>
                                <w:color w:val="FFC000"/>
                                <w:lang w:val="en-US" w:eastAsia="zh-CN"/>
                              </w:rPr>
                              <w:t>三泉沟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4pt;margin-top:213.9pt;height:21.85pt;width:63.1pt;z-index:251939840;mso-width-relative:page;mso-height-relative:page;" filled="f" stroked="f" coordsize="21600,21600" o:gfxdata="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&#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HkeLPcAAAACwEAAA8AAAAAAAAAAQAgAAAAIgAA&#10;AGRycy9kb3ducmV2LnhtbFBLAQIUABQAAAAIAIdO4kAqFWO3PQIAAGkEAAAOAAAAAAAAAAEAIAAA&#10;ACsBAABkcnMvZTJvRG9jLnhtbFBLBQYAAAAABgAGAFkBAADaBQAAAAA=&#10;">
                <v:fill on="f" focussize="0,0"/>
                <v:stroke on="f" weight="0.5pt"/>
                <v:imagedata o:title=""/>
                <o:lock v:ext="edit" aspectratio="f"/>
                <v:textbox>
                  <w:txbxContent>
                    <w:p w14:paraId="5FC32E0C">
                      <w:pPr>
                        <w:rPr>
                          <w:rFonts w:hint="eastAsia" w:eastAsia="宋体"/>
                          <w:b/>
                          <w:bCs/>
                          <w:color w:val="FFC000"/>
                          <w:lang w:val="en-US" w:eastAsia="zh-CN"/>
                        </w:rPr>
                      </w:pPr>
                      <w:r>
                        <w:rPr>
                          <w:rFonts w:hint="eastAsia"/>
                          <w:b/>
                          <w:bCs/>
                          <w:color w:val="FFC000"/>
                          <w:lang w:val="en-US" w:eastAsia="zh-CN"/>
                        </w:rPr>
                        <w:t>三泉沟</w:t>
                      </w:r>
                    </w:p>
                  </w:txbxContent>
                </v:textbox>
              </v:shape>
            </w:pict>
          </mc:Fallback>
        </mc:AlternateContent>
      </w:r>
      <w:r>
        <w:rPr>
          <w:sz w:val="21"/>
        </w:rPr>
        <mc:AlternateContent>
          <mc:Choice Requires="wps">
            <w:drawing>
              <wp:anchor distT="0" distB="0" distL="114300" distR="114300" simplePos="0" relativeHeight="251937792" behindDoc="0" locked="0" layoutInCell="1" allowOverlap="1">
                <wp:simplePos x="0" y="0"/>
                <wp:positionH relativeFrom="column">
                  <wp:posOffset>1047115</wp:posOffset>
                </wp:positionH>
                <wp:positionV relativeFrom="paragraph">
                  <wp:posOffset>4206240</wp:posOffset>
                </wp:positionV>
                <wp:extent cx="767080" cy="277495"/>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9755D1">
                            <w:pPr>
                              <w:rPr>
                                <w:rFonts w:hint="eastAsia" w:eastAsia="宋体"/>
                                <w:b/>
                                <w:bCs/>
                                <w:color w:val="FFC000"/>
                                <w:lang w:val="en-US" w:eastAsia="zh-CN"/>
                              </w:rPr>
                            </w:pPr>
                            <w:r>
                              <w:rPr>
                                <w:rFonts w:hint="eastAsia"/>
                                <w:b/>
                                <w:bCs/>
                                <w:color w:val="FFC000"/>
                                <w:lang w:val="en-US" w:eastAsia="zh-CN"/>
                              </w:rPr>
                              <w:t>袁家河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45pt;margin-top:331.2pt;height:21.85pt;width:60.4pt;z-index:251937792;mso-width-relative:page;mso-height-relative:page;" filled="f" stroked="f" coordsize="21600,21600" o:gfxdata="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GAIRG3AAAAAsBAAAPAAAAAAAAAAEAIAAAACIA&#10;AABkcnMvZG93bnJldi54bWxQSwECFAAUAAAACACHTuJAlwp/Yj4CAABpBAAADgAAAAAAAAABACAA&#10;AAArAQAAZHJzL2Uyb0RvYy54bWxQSwUGAAAAAAYABgBZAQAA2wUAAAAA&#10;">
                <v:fill on="f" focussize="0,0"/>
                <v:stroke on="f" weight="0.5pt"/>
                <v:imagedata o:title=""/>
                <o:lock v:ext="edit" aspectratio="f"/>
                <v:textbox>
                  <w:txbxContent>
                    <w:p w14:paraId="0A9755D1">
                      <w:pPr>
                        <w:rPr>
                          <w:rFonts w:hint="eastAsia" w:eastAsia="宋体"/>
                          <w:b/>
                          <w:bCs/>
                          <w:color w:val="FFC000"/>
                          <w:lang w:val="en-US" w:eastAsia="zh-CN"/>
                        </w:rPr>
                      </w:pPr>
                      <w:r>
                        <w:rPr>
                          <w:rFonts w:hint="eastAsia"/>
                          <w:b/>
                          <w:bCs/>
                          <w:color w:val="FFC000"/>
                          <w:lang w:val="en-US" w:eastAsia="zh-CN"/>
                        </w:rPr>
                        <w:t>袁家河</w:t>
                      </w:r>
                    </w:p>
                  </w:txbxContent>
                </v:textbox>
              </v:shape>
            </w:pict>
          </mc:Fallback>
        </mc:AlternateContent>
      </w:r>
      <w:r>
        <w:rPr>
          <w:sz w:val="21"/>
        </w:rPr>
        <mc:AlternateContent>
          <mc:Choice Requires="wps">
            <w:drawing>
              <wp:anchor distT="0" distB="0" distL="114300" distR="114300" simplePos="0" relativeHeight="251936768" behindDoc="0" locked="0" layoutInCell="1" allowOverlap="1">
                <wp:simplePos x="0" y="0"/>
                <wp:positionH relativeFrom="column">
                  <wp:posOffset>668020</wp:posOffset>
                </wp:positionH>
                <wp:positionV relativeFrom="paragraph">
                  <wp:posOffset>3373755</wp:posOffset>
                </wp:positionV>
                <wp:extent cx="767080" cy="277495"/>
                <wp:effectExtent l="0" t="0" r="0" b="0"/>
                <wp:wrapNone/>
                <wp:docPr id="269" name="文本框 269"/>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ED56B6">
                            <w:pPr>
                              <w:rPr>
                                <w:rFonts w:hint="eastAsia" w:eastAsia="宋体"/>
                                <w:b/>
                                <w:bCs/>
                                <w:color w:val="FFC000"/>
                                <w:lang w:val="en-US" w:eastAsia="zh-CN"/>
                              </w:rPr>
                            </w:pPr>
                            <w:r>
                              <w:rPr>
                                <w:rFonts w:hint="eastAsia"/>
                                <w:b/>
                                <w:bCs/>
                                <w:color w:val="FFC000"/>
                                <w:lang w:val="en-US" w:eastAsia="zh-CN"/>
                              </w:rPr>
                              <w:t>焕然河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6pt;margin-top:265.65pt;height:21.85pt;width:60.4pt;z-index:251936768;mso-width-relative:page;mso-height-relative:page;" filled="f" stroked="f" coordsize="21600,21600" o:gfxdata="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CVdSNsAAAALAQAADwAAAAAAAAABACAAAAAiAAAA&#10;ZHJzL2Rvd25yZXYueG1sUEsBAhQAFAAAAAgAh07iQO4pSdo9AgAAaQQAAA4AAAAAAAAAAQAgAAAA&#10;KgEAAGRycy9lMm9Eb2MueG1sUEsFBgAAAAAGAAYAWQEAANkFAAAAAA==&#10;">
                <v:fill on="f" focussize="0,0"/>
                <v:stroke on="f" weight="0.5pt"/>
                <v:imagedata o:title=""/>
                <o:lock v:ext="edit" aspectratio="f"/>
                <v:textbox>
                  <w:txbxContent>
                    <w:p w14:paraId="05ED56B6">
                      <w:pPr>
                        <w:rPr>
                          <w:rFonts w:hint="eastAsia" w:eastAsia="宋体"/>
                          <w:b/>
                          <w:bCs/>
                          <w:color w:val="FFC000"/>
                          <w:lang w:val="en-US" w:eastAsia="zh-CN"/>
                        </w:rPr>
                      </w:pPr>
                      <w:r>
                        <w:rPr>
                          <w:rFonts w:hint="eastAsia"/>
                          <w:b/>
                          <w:bCs/>
                          <w:color w:val="FFC000"/>
                          <w:lang w:val="en-US" w:eastAsia="zh-CN"/>
                        </w:rPr>
                        <w:t>焕然河</w:t>
                      </w:r>
                    </w:p>
                  </w:txbxContent>
                </v:textbox>
              </v:shape>
            </w:pict>
          </mc:Fallback>
        </mc:AlternateContent>
      </w:r>
      <w:r>
        <w:rPr>
          <w:sz w:val="21"/>
        </w:rPr>
        <mc:AlternateContent>
          <mc:Choice Requires="wps">
            <w:drawing>
              <wp:anchor distT="0" distB="0" distL="114300" distR="114300" simplePos="0" relativeHeight="251938816" behindDoc="0" locked="0" layoutInCell="1" allowOverlap="1">
                <wp:simplePos x="0" y="0"/>
                <wp:positionH relativeFrom="column">
                  <wp:posOffset>1991995</wp:posOffset>
                </wp:positionH>
                <wp:positionV relativeFrom="paragraph">
                  <wp:posOffset>3738880</wp:posOffset>
                </wp:positionV>
                <wp:extent cx="1154430" cy="277495"/>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115443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B3B116">
                            <w:pPr>
                              <w:rPr>
                                <w:rFonts w:hint="eastAsia" w:eastAsia="宋体"/>
                                <w:b/>
                                <w:bCs/>
                                <w:color w:val="FFC000"/>
                                <w:lang w:val="en-US" w:eastAsia="zh-CN"/>
                              </w:rPr>
                            </w:pPr>
                            <w:r>
                              <w:rPr>
                                <w:rFonts w:hint="eastAsia"/>
                                <w:b/>
                                <w:bCs/>
                                <w:color w:val="FFC000"/>
                                <w:lang w:val="en-US" w:eastAsia="zh-CN"/>
                              </w:rPr>
                              <w:t>天津路排涝沟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85pt;margin-top:294.4pt;height:21.85pt;width:90.9pt;z-index:251938816;mso-width-relative:page;mso-height-relative:page;" filled="f" stroked="f" coordsize="21600,21600" o:gfxdata="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UKBg93AAAAAsBAAAPAAAAAAAAAAEAIAAAACIA&#10;AABkcnMvZG93bnJldi54bWxQSwECFAAUAAAACACHTuJAjzu3Fj4CAABqBAAADgAAAAAAAAABACAA&#10;AAArAQAAZHJzL2Uyb0RvYy54bWxQSwUGAAAAAAYABgBZAQAA2wUAAAAA&#10;">
                <v:fill on="f" focussize="0,0"/>
                <v:stroke on="f" weight="0.5pt"/>
                <v:imagedata o:title=""/>
                <o:lock v:ext="edit" aspectratio="f"/>
                <v:textbox>
                  <w:txbxContent>
                    <w:p w14:paraId="2EB3B116">
                      <w:pPr>
                        <w:rPr>
                          <w:rFonts w:hint="eastAsia" w:eastAsia="宋体"/>
                          <w:b/>
                          <w:bCs/>
                          <w:color w:val="FFC000"/>
                          <w:lang w:val="en-US" w:eastAsia="zh-CN"/>
                        </w:rPr>
                      </w:pPr>
                      <w:r>
                        <w:rPr>
                          <w:rFonts w:hint="eastAsia"/>
                          <w:b/>
                          <w:bCs/>
                          <w:color w:val="FFC000"/>
                          <w:lang w:val="en-US" w:eastAsia="zh-CN"/>
                        </w:rPr>
                        <w:t>天津路排涝沟</w:t>
                      </w:r>
                    </w:p>
                  </w:txbxContent>
                </v:textbox>
              </v:shape>
            </w:pict>
          </mc:Fallback>
        </mc:AlternateContent>
      </w:r>
      <w:r>
        <w:rPr>
          <w:sz w:val="21"/>
        </w:rPr>
        <mc:AlternateContent>
          <mc:Choice Requires="wps">
            <w:drawing>
              <wp:anchor distT="0" distB="0" distL="114300" distR="114300" simplePos="0" relativeHeight="251844608" behindDoc="0" locked="0" layoutInCell="1" allowOverlap="1">
                <wp:simplePos x="0" y="0"/>
                <wp:positionH relativeFrom="column">
                  <wp:posOffset>674370</wp:posOffset>
                </wp:positionH>
                <wp:positionV relativeFrom="paragraph">
                  <wp:posOffset>1515110</wp:posOffset>
                </wp:positionV>
                <wp:extent cx="767080" cy="277495"/>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E6D7D9">
                            <w:pPr>
                              <w:rPr>
                                <w:rFonts w:hint="eastAsia" w:eastAsia="宋体"/>
                                <w:b/>
                                <w:bCs/>
                                <w:color w:val="FFC000"/>
                                <w:lang w:val="en-US" w:eastAsia="zh-CN"/>
                              </w:rPr>
                            </w:pPr>
                            <w:r>
                              <w:rPr>
                                <w:rFonts w:hint="eastAsia"/>
                                <w:b/>
                                <w:bCs/>
                                <w:color w:val="FFC000"/>
                                <w:lang w:val="en-US" w:eastAsia="zh-CN"/>
                              </w:rPr>
                              <w:t>白蛇沟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1pt;margin-top:119.3pt;height:21.85pt;width:60.4pt;z-index:251844608;mso-width-relative:page;mso-height-relative:page;" filled="f" stroked="f" coordsize="21600,21600" o:gfxdata="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AxXjV2gAAAAsBAAAPAAAAAAAAAAEAIAAAACIAAABk&#10;cnMvZG93bnJldi54bWxQSwECFAAUAAAACACHTuJA2LvfFD0CAABpBAAADgAAAAAAAAABACAAAAAp&#10;AQAAZHJzL2Uyb0RvYy54bWxQSwUGAAAAAAYABgBZAQAA2AUAAAAA&#10;">
                <v:fill on="f" focussize="0,0"/>
                <v:stroke on="f" weight="0.5pt"/>
                <v:imagedata o:title=""/>
                <o:lock v:ext="edit" aspectratio="f"/>
                <v:textbox>
                  <w:txbxContent>
                    <w:p w14:paraId="0CE6D7D9">
                      <w:pPr>
                        <w:rPr>
                          <w:rFonts w:hint="eastAsia" w:eastAsia="宋体"/>
                          <w:b/>
                          <w:bCs/>
                          <w:color w:val="FFC000"/>
                          <w:lang w:val="en-US" w:eastAsia="zh-CN"/>
                        </w:rPr>
                      </w:pPr>
                      <w:r>
                        <w:rPr>
                          <w:rFonts w:hint="eastAsia"/>
                          <w:b/>
                          <w:bCs/>
                          <w:color w:val="FFC000"/>
                          <w:lang w:val="en-US" w:eastAsia="zh-CN"/>
                        </w:rPr>
                        <w:t>白蛇沟</w:t>
                      </w:r>
                    </w:p>
                  </w:txbxContent>
                </v:textbox>
              </v:shape>
            </w:pict>
          </mc:Fallback>
        </mc:AlternateContent>
      </w:r>
      <w:r>
        <w:rPr>
          <w:rFonts w:hint="eastAsia" w:eastAsia="宋体"/>
          <w:lang w:eastAsia="zh-CN"/>
        </w:rPr>
        <w:drawing>
          <wp:inline distT="0" distB="0" distL="114300" distR="114300">
            <wp:extent cx="8217535" cy="5768340"/>
            <wp:effectExtent l="0" t="0" r="12065" b="3810"/>
            <wp:docPr id="271" name="图片 271" descr="dfebd5b107d6685af8b04477ca12f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dfebd5b107d6685af8b04477ca12fcd"/>
                    <pic:cNvPicPr>
                      <a:picLocks noChangeAspect="1"/>
                    </pic:cNvPicPr>
                  </pic:nvPicPr>
                  <pic:blipFill>
                    <a:blip r:embed="rId85"/>
                    <a:stretch>
                      <a:fillRect/>
                    </a:stretch>
                  </pic:blipFill>
                  <pic:spPr>
                    <a:xfrm>
                      <a:off x="0" y="0"/>
                      <a:ext cx="8217535" cy="5768340"/>
                    </a:xfrm>
                    <a:prstGeom prst="rect">
                      <a:avLst/>
                    </a:prstGeom>
                  </pic:spPr>
                </pic:pic>
              </a:graphicData>
            </a:graphic>
          </wp:inline>
        </w:drawing>
      </w:r>
    </w:p>
    <w:p w14:paraId="100F827E">
      <w:pPr>
        <w:pStyle w:val="2"/>
        <w:ind w:left="0" w:leftChars="0" w:firstLine="0" w:firstLineChars="0"/>
        <w:jc w:val="center"/>
        <w:rPr>
          <w:rFonts w:hint="eastAsia"/>
          <w:lang w:val="en-US" w:eastAsia="zh-CN"/>
        </w:rPr>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pPr>
    </w:p>
    <w:p w14:paraId="749DC42B">
      <w:pPr>
        <w:jc w:val="left"/>
        <w:rPr>
          <w:rFonts w:hint="default" w:ascii="Times New Roman" w:hAnsi="Times New Roman" w:eastAsia="宋体" w:cs="Times New Roman"/>
          <w:lang w:eastAsia="zh-CN"/>
        </w:rPr>
      </w:pPr>
      <w:r>
        <w:rPr>
          <w:rFonts w:hint="default"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11</w:t>
      </w:r>
      <w:r>
        <w:rPr>
          <w:rFonts w:hint="default" w:ascii="Times New Roman" w:hAnsi="Times New Roman" w:eastAsia="宋体" w:cs="Times New Roman"/>
          <w:b/>
          <w:bCs w:val="0"/>
          <w:kern w:val="0"/>
          <w:sz w:val="24"/>
          <w:szCs w:val="24"/>
          <w:highlight w:val="none"/>
          <w:lang w:val="en-US" w:eastAsia="zh-CN" w:bidi="ar-SA"/>
        </w:rPr>
        <w:t xml:space="preserve"> </w:t>
      </w:r>
      <w:r>
        <w:rPr>
          <w:rFonts w:hint="default" w:ascii="Times New Roman" w:hAnsi="Times New Roman" w:eastAsia="宋体" w:cs="Times New Roman"/>
        </w:rPr>
        <mc:AlternateContent>
          <mc:Choice Requires="wps">
            <w:drawing>
              <wp:anchor distT="0" distB="0" distL="114300" distR="114300" simplePos="0" relativeHeight="251979776" behindDoc="0" locked="0" layoutInCell="1" allowOverlap="1">
                <wp:simplePos x="0" y="0"/>
                <wp:positionH relativeFrom="column">
                  <wp:posOffset>5092700</wp:posOffset>
                </wp:positionH>
                <wp:positionV relativeFrom="paragraph">
                  <wp:posOffset>8032750</wp:posOffset>
                </wp:positionV>
                <wp:extent cx="1102995" cy="261620"/>
                <wp:effectExtent l="0" t="0" r="0" b="0"/>
                <wp:wrapNone/>
                <wp:docPr id="272" name="矩形 272"/>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260880F0">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01pt;margin-top:632.5pt;height:20.6pt;width:86.85pt;z-index:251979776;mso-width-relative:page;mso-height-relative:page;" filled="f" stroked="f" coordsize="21600,21600" o:gfxdata="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OTIIA3dAAAADQEA&#10;AA8AAAAAAAAAAQAgAAAAIgAAAGRycy9kb3ducmV2LnhtbFBLAQIUABQAAAAIAIdO4kCUacPbowEA&#10;AEUDAAAOAAAAAAAAAAEAIAAAACwBAABkcnMvZTJvRG9jLnhtbFBLBQYAAAAABgAGAFkBAABBBQAA&#10;AAA=&#10;">
                <v:fill on="f" focussize="0,0"/>
                <v:stroke on="f"/>
                <v:imagedata o:title=""/>
                <o:lock v:ext="edit" aspectratio="f"/>
                <v:textbox>
                  <w:txbxContent>
                    <w:p w14:paraId="260880F0">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980800" behindDoc="0" locked="0" layoutInCell="1" allowOverlap="1">
                <wp:simplePos x="0" y="0"/>
                <wp:positionH relativeFrom="column">
                  <wp:posOffset>5245100</wp:posOffset>
                </wp:positionH>
                <wp:positionV relativeFrom="paragraph">
                  <wp:posOffset>8185150</wp:posOffset>
                </wp:positionV>
                <wp:extent cx="1102995" cy="261620"/>
                <wp:effectExtent l="0" t="0" r="0" b="0"/>
                <wp:wrapNone/>
                <wp:docPr id="273" name="矩形 273"/>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35B61083">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13pt;margin-top:644.5pt;height:20.6pt;width:86.85pt;z-index:251980800;mso-width-relative:page;mso-height-relative:page;" filled="f" stroked="f" coordsize="21600,21600" o:gfxdata="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MG3jPt0AAAAN&#10;AQAADwAAAAAAAAABACAAAAAiAAAAZHJzL2Rvd25yZXYueG1sUEsBAhQAFAAAAAgAh07iQDdUC/il&#10;AQAARQMAAA4AAAAAAAAAAQAgAAAALAEAAGRycy9lMm9Eb2MueG1sUEsFBgAAAAAGAAYAWQEAAEMF&#10;AAAAAA==&#10;">
                <v:fill on="f" focussize="0,0"/>
                <v:stroke on="f"/>
                <v:imagedata o:title=""/>
                <o:lock v:ext="edit" aspectratio="f"/>
                <v:textbox>
                  <w:txbxContent>
                    <w:p w14:paraId="35B61083">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eastAsia" w:ascii="Times New Roman" w:hAnsi="Times New Roman" w:cs="Times New Roman"/>
          <w:b/>
          <w:bCs w:val="0"/>
          <w:kern w:val="0"/>
          <w:sz w:val="24"/>
          <w:szCs w:val="24"/>
          <w:highlight w:val="none"/>
          <w:lang w:val="en-US" w:eastAsia="zh-CN" w:bidi="ar-SA"/>
        </w:rPr>
        <w:t>项目</w:t>
      </w:r>
      <w:r>
        <w:rPr>
          <w:rFonts w:hint="eastAsia" w:cs="Times New Roman"/>
          <w:b/>
          <w:bCs w:val="0"/>
          <w:kern w:val="0"/>
          <w:sz w:val="24"/>
          <w:szCs w:val="24"/>
          <w:highlight w:val="none"/>
          <w:lang w:val="en-US" w:eastAsia="zh-CN" w:bidi="ar-SA"/>
        </w:rPr>
        <w:t>评价范围土地利用现状图</w:t>
      </w:r>
      <w:bookmarkStart w:id="9" w:name="_GoBack"/>
      <w:bookmarkEnd w:id="9"/>
    </w:p>
    <w:p w14:paraId="54BD8BCE">
      <w:pPr>
        <w:pStyle w:val="2"/>
        <w:ind w:left="0" w:leftChars="0" w:firstLine="0" w:firstLineChars="0"/>
        <w:jc w:val="center"/>
        <w:rPr>
          <w:rFonts w:hint="eastAsia"/>
          <w:lang w:val="en-US" w:eastAsia="zh-CN"/>
        </w:rPr>
      </w:pPr>
      <w:r>
        <w:rPr>
          <w:rFonts w:hint="default" w:ascii="Times New Roman" w:hAnsi="Times New Roman" w:eastAsia="宋体" w:cs="Times New Roman"/>
          <w:highlight w:val="none"/>
        </w:rPr>
        <w:drawing>
          <wp:anchor distT="0" distB="0" distL="114300" distR="114300" simplePos="0" relativeHeight="251981824" behindDoc="0" locked="0" layoutInCell="1" allowOverlap="1">
            <wp:simplePos x="0" y="0"/>
            <wp:positionH relativeFrom="page">
              <wp:posOffset>8773160</wp:posOffset>
            </wp:positionH>
            <wp:positionV relativeFrom="paragraph">
              <wp:posOffset>9525</wp:posOffset>
            </wp:positionV>
            <wp:extent cx="784860" cy="791845"/>
            <wp:effectExtent l="0" t="0" r="15240" b="8255"/>
            <wp:wrapNone/>
            <wp:docPr id="27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98"/>
                    <pic:cNvPicPr>
                      <a:picLocks noChangeAspect="1"/>
                    </pic:cNvPicPr>
                  </pic:nvPicPr>
                  <pic:blipFill>
                    <a:blip r:embed="rId60"/>
                    <a:stretch>
                      <a:fillRect/>
                    </a:stretch>
                  </pic:blipFill>
                  <pic:spPr>
                    <a:xfrm>
                      <a:off x="0" y="0"/>
                      <a:ext cx="784860" cy="791845"/>
                    </a:xfrm>
                    <a:prstGeom prst="rect">
                      <a:avLst/>
                    </a:prstGeom>
                    <a:noFill/>
                    <a:ln>
                      <a:noFill/>
                    </a:ln>
                  </pic:spPr>
                </pic:pic>
              </a:graphicData>
            </a:graphic>
          </wp:anchor>
        </w:drawing>
      </w:r>
      <w:r>
        <w:drawing>
          <wp:anchor distT="0" distB="0" distL="114300" distR="114300" simplePos="0" relativeHeight="251982848" behindDoc="0" locked="0" layoutInCell="1" allowOverlap="1">
            <wp:simplePos x="0" y="0"/>
            <wp:positionH relativeFrom="column">
              <wp:posOffset>205105</wp:posOffset>
            </wp:positionH>
            <wp:positionV relativeFrom="paragraph">
              <wp:posOffset>4304030</wp:posOffset>
            </wp:positionV>
            <wp:extent cx="1195070" cy="1621155"/>
            <wp:effectExtent l="0" t="0" r="5080" b="17145"/>
            <wp:wrapNone/>
            <wp:docPr id="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pic:cNvPicPr>
                      <a:picLocks noChangeAspect="1"/>
                    </pic:cNvPicPr>
                  </pic:nvPicPr>
                  <pic:blipFill>
                    <a:blip r:embed="rId86"/>
                    <a:stretch>
                      <a:fillRect/>
                    </a:stretch>
                  </pic:blipFill>
                  <pic:spPr>
                    <a:xfrm>
                      <a:off x="0" y="0"/>
                      <a:ext cx="1195070" cy="1621155"/>
                    </a:xfrm>
                    <a:prstGeom prst="rect">
                      <a:avLst/>
                    </a:prstGeom>
                    <a:noFill/>
                    <a:ln>
                      <a:noFill/>
                    </a:ln>
                  </pic:spPr>
                </pic:pic>
              </a:graphicData>
            </a:graphic>
          </wp:anchor>
        </w:drawing>
      </w:r>
      <w:r>
        <w:drawing>
          <wp:inline distT="0" distB="0" distL="114300" distR="114300">
            <wp:extent cx="8453120" cy="5873115"/>
            <wp:effectExtent l="0" t="0" r="5080" b="13335"/>
            <wp:docPr id="276" name="图片 27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11"/>
                    <pic:cNvPicPr>
                      <a:picLocks noChangeAspect="1"/>
                    </pic:cNvPicPr>
                  </pic:nvPicPr>
                  <pic:blipFill>
                    <a:blip r:embed="rId87"/>
                    <a:stretch>
                      <a:fillRect/>
                    </a:stretch>
                  </pic:blipFill>
                  <pic:spPr>
                    <a:xfrm>
                      <a:off x="0" y="0"/>
                      <a:ext cx="8453120" cy="5873115"/>
                    </a:xfrm>
                    <a:prstGeom prst="rect">
                      <a:avLst/>
                    </a:prstGeom>
                  </pic:spPr>
                </pic:pic>
              </a:graphicData>
            </a:graphic>
          </wp:inline>
        </w:drawing>
      </w:r>
    </w:p>
    <w:p w14:paraId="58D49A00">
      <w:pPr>
        <w:pStyle w:val="2"/>
        <w:ind w:left="0" w:leftChars="0" w:firstLine="0" w:firstLineChars="0"/>
        <w:jc w:val="center"/>
        <w:rPr>
          <w:rFonts w:hint="eastAsia"/>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pPr>
    </w:p>
    <w:p w14:paraId="0F05EC67">
      <w:pPr>
        <w:jc w:val="left"/>
        <w:rPr>
          <w:rFonts w:hint="default" w:ascii="Times New Roman" w:hAnsi="Times New Roman" w:eastAsia="宋体" w:cs="Times New Roman"/>
          <w:lang w:eastAsia="zh-CN"/>
        </w:rPr>
      </w:pPr>
      <w:r>
        <w:rPr>
          <w:rFonts w:hint="default" w:ascii="Times New Roman" w:hAnsi="Times New Roman" w:eastAsia="宋体" w:cs="Times New Roman"/>
          <w:highlight w:val="none"/>
        </w:rPr>
        <w:drawing>
          <wp:anchor distT="0" distB="0" distL="114300" distR="114300" simplePos="0" relativeHeight="251683840" behindDoc="0" locked="0" layoutInCell="1" allowOverlap="1">
            <wp:simplePos x="0" y="0"/>
            <wp:positionH relativeFrom="page">
              <wp:posOffset>9217660</wp:posOffset>
            </wp:positionH>
            <wp:positionV relativeFrom="paragraph">
              <wp:posOffset>230505</wp:posOffset>
            </wp:positionV>
            <wp:extent cx="733425" cy="739775"/>
            <wp:effectExtent l="0" t="0" r="9525" b="3175"/>
            <wp:wrapNone/>
            <wp:docPr id="27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8"/>
                    <pic:cNvPicPr>
                      <a:picLocks noChangeAspect="1"/>
                    </pic:cNvPicPr>
                  </pic:nvPicPr>
                  <pic:blipFill>
                    <a:blip r:embed="rId60"/>
                    <a:stretch>
                      <a:fillRect/>
                    </a:stretch>
                  </pic:blipFill>
                  <pic:spPr>
                    <a:xfrm>
                      <a:off x="0" y="0"/>
                      <a:ext cx="733425" cy="739775"/>
                    </a:xfrm>
                    <a:prstGeom prst="rect">
                      <a:avLst/>
                    </a:prstGeom>
                    <a:noFill/>
                    <a:ln>
                      <a:noFill/>
                    </a:ln>
                  </pic:spPr>
                </pic:pic>
              </a:graphicData>
            </a:graphic>
          </wp:anchor>
        </w:drawing>
      </w:r>
      <w:r>
        <w:rPr>
          <w:rFonts w:hint="default" w:ascii="Times New Roman" w:hAnsi="Times New Roman" w:eastAsia="宋体" w:cs="Times New Roman"/>
          <w:b/>
          <w:bCs w:val="0"/>
          <w:kern w:val="0"/>
          <w:sz w:val="24"/>
          <w:szCs w:val="24"/>
          <w:highlight w:val="none"/>
          <w:lang w:val="en-US" w:eastAsia="zh-CN" w:bidi="ar-SA"/>
        </w:rPr>
        <w:t>附图</w:t>
      </w:r>
      <w:r>
        <w:rPr>
          <w:rFonts w:hint="eastAsia" w:cs="Times New Roman"/>
          <w:b/>
          <w:bCs w:val="0"/>
          <w:kern w:val="0"/>
          <w:sz w:val="24"/>
          <w:szCs w:val="24"/>
          <w:highlight w:val="none"/>
          <w:lang w:val="en-US" w:eastAsia="zh-CN" w:bidi="ar-SA"/>
        </w:rPr>
        <w:t>12</w:t>
      </w:r>
      <w:r>
        <w:rPr>
          <w:rFonts w:hint="default" w:ascii="Times New Roman" w:hAnsi="Times New Roman" w:eastAsia="宋体" w:cs="Times New Roman"/>
          <w:b/>
          <w:bCs w:val="0"/>
          <w:kern w:val="0"/>
          <w:sz w:val="24"/>
          <w:szCs w:val="24"/>
          <w:highlight w:val="none"/>
          <w:lang w:val="en-US" w:eastAsia="zh-CN" w:bidi="ar-SA"/>
        </w:rPr>
        <w:t xml:space="preserve"> 项目监测点位布置图</w:t>
      </w:r>
      <w:r>
        <w:rPr>
          <w:rFonts w:hint="default" w:ascii="Times New Roman" w:hAnsi="Times New Roman" w:eastAsia="宋体" w:cs="Times New Roman"/>
        </w:rPr>
        <mc:AlternateContent>
          <mc:Choice Requires="wps">
            <w:drawing>
              <wp:anchor distT="0" distB="0" distL="114300" distR="114300" simplePos="0" relativeHeight="251673600" behindDoc="0" locked="0" layoutInCell="1" allowOverlap="1">
                <wp:simplePos x="0" y="0"/>
                <wp:positionH relativeFrom="column">
                  <wp:posOffset>5092700</wp:posOffset>
                </wp:positionH>
                <wp:positionV relativeFrom="paragraph">
                  <wp:posOffset>8032750</wp:posOffset>
                </wp:positionV>
                <wp:extent cx="1102995" cy="261620"/>
                <wp:effectExtent l="0" t="0" r="0" b="0"/>
                <wp:wrapNone/>
                <wp:docPr id="277" name="矩形 277"/>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35610B3E">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01pt;margin-top:632.5pt;height:20.6pt;width:86.85pt;z-index:251673600;mso-width-relative:page;mso-height-relative:page;" filled="f" stroked="f" coordsize="21600,21600" o:gfxdata="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5MggDd0AAAAN&#10;AQAADwAAAAAAAAABACAAAAAiAAAAZHJzL2Rvd25yZXYueG1sUEsBAhQAFAAAAAgAh07iQLuiK3el&#10;AQAARQMAAA4AAAAAAAAAAQAgAAAALAEAAGRycy9lMm9Eb2MueG1sUEsFBgAAAAAGAAYAWQEAAEMF&#10;AAAAAA==&#10;">
                <v:fill on="f" focussize="0,0"/>
                <v:stroke on="f"/>
                <v:imagedata o:title=""/>
                <o:lock v:ext="edit" aspectratio="f"/>
                <v:textbox>
                  <w:txbxContent>
                    <w:p w14:paraId="35610B3E">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r>
        <w:rPr>
          <w:rFonts w:hint="default" w:ascii="Times New Roman" w:hAnsi="Times New Roman" w:eastAsia="宋体" w:cs="Times New Roman"/>
        </w:rPr>
        <mc:AlternateContent>
          <mc:Choice Requires="wps">
            <w:drawing>
              <wp:anchor distT="0" distB="0" distL="114300" distR="114300" simplePos="0" relativeHeight="251674624" behindDoc="0" locked="0" layoutInCell="1" allowOverlap="1">
                <wp:simplePos x="0" y="0"/>
                <wp:positionH relativeFrom="column">
                  <wp:posOffset>5245100</wp:posOffset>
                </wp:positionH>
                <wp:positionV relativeFrom="paragraph">
                  <wp:posOffset>8185150</wp:posOffset>
                </wp:positionV>
                <wp:extent cx="1102995" cy="261620"/>
                <wp:effectExtent l="0" t="0" r="0" b="0"/>
                <wp:wrapNone/>
                <wp:docPr id="278" name="矩形 278"/>
                <wp:cNvGraphicFramePr/>
                <a:graphic xmlns:a="http://schemas.openxmlformats.org/drawingml/2006/main">
                  <a:graphicData uri="http://schemas.microsoft.com/office/word/2010/wordprocessingShape">
                    <wps:wsp>
                      <wps:cNvSpPr/>
                      <wps:spPr>
                        <a:xfrm>
                          <a:off x="0" y="0"/>
                          <a:ext cx="1102995" cy="261620"/>
                        </a:xfrm>
                        <a:prstGeom prst="rect">
                          <a:avLst/>
                        </a:prstGeom>
                        <a:noFill/>
                        <a:ln>
                          <a:noFill/>
                        </a:ln>
                      </wps:spPr>
                      <wps:txbx>
                        <w:txbxContent>
                          <w:p w14:paraId="5CF1E58B">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wps:txbx>
                      <wps:bodyPr upright="1"/>
                    </wps:wsp>
                  </a:graphicData>
                </a:graphic>
              </wp:anchor>
            </w:drawing>
          </mc:Choice>
          <mc:Fallback>
            <w:pict>
              <v:rect id="_x0000_s1026" o:spid="_x0000_s1026" o:spt="1" style="position:absolute;left:0pt;margin-left:413pt;margin-top:644.5pt;height:20.6pt;width:86.85pt;z-index:251674624;mso-width-relative:page;mso-height-relative:page;" filled="f" stroked="f" coordsize="21600,21600" o:gfxdata="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DBt4z7dAAAADQEA&#10;AA8AAAAAAAAAAQAgAAAAIgAAAGRycy9kb3ducmV2LnhtbFBLAQIUABQAAAAIAIdO4kCL+WNZowEA&#10;AEUDAAAOAAAAAAAAAAEAIAAAACwBAABkcnMvZTJvRG9jLnhtbFBLBQYAAAAABgAGAFkBAABBBQAA&#10;AAA=&#10;">
                <v:fill on="f" focussize="0,0"/>
                <v:stroke on="f"/>
                <v:imagedata o:title=""/>
                <o:lock v:ext="edit" aspectratio="f"/>
                <v:textbox>
                  <w:txbxContent>
                    <w:p w14:paraId="5CF1E58B">
                      <w:pPr>
                        <w:rPr>
                          <w:rFonts w:hint="eastAsia" w:ascii="宋体" w:hAnsi="宋体" w:eastAsia="宋体" w:cs="宋体"/>
                          <w:b/>
                          <w:bCs/>
                          <w:color w:val="FFFF00"/>
                          <w:sz w:val="24"/>
                          <w:lang w:eastAsia="zh-CN"/>
                        </w:rPr>
                      </w:pPr>
                      <w:r>
                        <w:rPr>
                          <w:rFonts w:hint="eastAsia" w:ascii="宋体" w:hAnsi="宋体" w:eastAsia="宋体" w:cs="宋体"/>
                          <w:b/>
                          <w:bCs/>
                          <w:color w:val="FFFF00"/>
                          <w:sz w:val="24"/>
                          <w:lang w:eastAsia="zh-CN"/>
                        </w:rPr>
                        <w:t>混凝土预制场</w:t>
                      </w:r>
                    </w:p>
                  </w:txbxContent>
                </v:textbox>
              </v:rect>
            </w:pict>
          </mc:Fallback>
        </mc:AlternateContent>
      </w:r>
    </w:p>
    <w:p w14:paraId="7BBCB1E9">
      <w:pPr>
        <w:rPr>
          <w:rFonts w:hint="default" w:ascii="Times New Roman" w:hAnsi="Times New Roman" w:eastAsia="宋体" w:cs="Times New Roman"/>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78720" behindDoc="0" locked="0" layoutInCell="1" allowOverlap="1">
                <wp:simplePos x="0" y="0"/>
                <wp:positionH relativeFrom="column">
                  <wp:posOffset>7324725</wp:posOffset>
                </wp:positionH>
                <wp:positionV relativeFrom="paragraph">
                  <wp:posOffset>4352925</wp:posOffset>
                </wp:positionV>
                <wp:extent cx="107950" cy="107950"/>
                <wp:effectExtent l="7620" t="10795" r="17780" b="14605"/>
                <wp:wrapNone/>
                <wp:docPr id="280" name="等腰三角形 280"/>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76.75pt;margin-top:342.75pt;height:8.5pt;width:8.5pt;z-index:251678720;mso-width-relative:page;mso-height-relative:page;" fillcolor="#FF0000" filled="t" stroked="t" coordsize="21600,21600" o:gfxdata="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fcRgTNkA&#10;AAANAQAADwAAAAAAAAABACAAAAAiAAAAZHJzL2Rvd25yZXYueG1sUEsBAhQAFAAAAAgAh07iQA80&#10;UBMeAgAAWgQAAA4AAAAAAAAAAQAgAAAAKAEAAGRycy9lMm9Eb2MueG1sUEsFBgAAAAAGAAYAWQEA&#10;ALgFAAAAAA==&#10;" adj="1080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857920" behindDoc="0" locked="0" layoutInCell="1" allowOverlap="1">
                <wp:simplePos x="0" y="0"/>
                <wp:positionH relativeFrom="column">
                  <wp:posOffset>8173720</wp:posOffset>
                </wp:positionH>
                <wp:positionV relativeFrom="paragraph">
                  <wp:posOffset>1468755</wp:posOffset>
                </wp:positionV>
                <wp:extent cx="1040765" cy="277495"/>
                <wp:effectExtent l="0" t="0" r="0" b="0"/>
                <wp:wrapNone/>
                <wp:docPr id="281" name="文本框 281"/>
                <wp:cNvGraphicFramePr/>
                <a:graphic xmlns:a="http://schemas.openxmlformats.org/drawingml/2006/main">
                  <a:graphicData uri="http://schemas.microsoft.com/office/word/2010/wordprocessingShape">
                    <wps:wsp>
                      <wps:cNvSpPr txBox="1"/>
                      <wps:spPr>
                        <a:xfrm>
                          <a:off x="0" y="0"/>
                          <a:ext cx="104076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C96E57">
                            <w:pPr>
                              <w:rPr>
                                <w:rFonts w:hint="eastAsia" w:eastAsia="宋体"/>
                                <w:b/>
                                <w:bCs/>
                                <w:color w:val="FFC000"/>
                                <w:lang w:eastAsia="zh-CN"/>
                              </w:rPr>
                            </w:pPr>
                            <w:r>
                              <w:rPr>
                                <w:rFonts w:hint="eastAsia"/>
                                <w:b/>
                                <w:bCs/>
                                <w:color w:val="FFC000"/>
                                <w:lang w:eastAsia="zh-CN"/>
                              </w:rPr>
                              <w:t>大高村排涝沟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3.6pt;margin-top:115.65pt;height:21.85pt;width:81.95pt;z-index:251857920;mso-width-relative:page;mso-height-relative:page;" filled="f" stroked="f" coordsize="21600,21600" o:gfxdata="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p3Wpe3AAAAA0BAAAPAAAAAAAAAAEAIAAAACIA&#10;AABkcnMvZG93bnJldi54bWxQSwECFAAUAAAACACHTuJAfMF9nT4CAABqBAAADgAAAAAAAAABACAA&#10;AAArAQAAZHJzL2Uyb0RvYy54bWxQSwUGAAAAAAYABgBZAQAA2wUAAAAA&#10;">
                <v:fill on="f" focussize="0,0"/>
                <v:stroke on="f" weight="0.5pt"/>
                <v:imagedata o:title=""/>
                <o:lock v:ext="edit" aspectratio="f"/>
                <v:textbox>
                  <w:txbxContent>
                    <w:p w14:paraId="5FC96E57">
                      <w:pPr>
                        <w:rPr>
                          <w:rFonts w:hint="eastAsia" w:eastAsia="宋体"/>
                          <w:b/>
                          <w:bCs/>
                          <w:color w:val="FFC000"/>
                          <w:lang w:eastAsia="zh-CN"/>
                        </w:rPr>
                      </w:pPr>
                      <w:r>
                        <w:rPr>
                          <w:rFonts w:hint="eastAsia"/>
                          <w:b/>
                          <w:bCs/>
                          <w:color w:val="FFC000"/>
                          <w:lang w:eastAsia="zh-CN"/>
                        </w:rPr>
                        <w:t>大高村排涝沟</w:t>
                      </w:r>
                    </w:p>
                  </w:txbxContent>
                </v:textbox>
              </v:shape>
            </w:pict>
          </mc:Fallback>
        </mc:AlternateContent>
      </w:r>
      <w:r>
        <w:rPr>
          <w:sz w:val="21"/>
        </w:rPr>
        <mc:AlternateContent>
          <mc:Choice Requires="wps">
            <w:drawing>
              <wp:anchor distT="0" distB="0" distL="114300" distR="114300" simplePos="0" relativeHeight="251856896" behindDoc="0" locked="0" layoutInCell="1" allowOverlap="1">
                <wp:simplePos x="0" y="0"/>
                <wp:positionH relativeFrom="column">
                  <wp:posOffset>7546975</wp:posOffset>
                </wp:positionH>
                <wp:positionV relativeFrom="paragraph">
                  <wp:posOffset>1510665</wp:posOffset>
                </wp:positionV>
                <wp:extent cx="645795" cy="277495"/>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64579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0ABDCD">
                            <w:pPr>
                              <w:rPr>
                                <w:rFonts w:hint="eastAsia" w:eastAsia="宋体"/>
                                <w:b/>
                                <w:bCs/>
                                <w:color w:val="FFC000"/>
                                <w:lang w:eastAsia="zh-CN"/>
                              </w:rPr>
                            </w:pPr>
                            <w:r>
                              <w:rPr>
                                <w:rFonts w:hint="eastAsia"/>
                                <w:b/>
                                <w:bCs/>
                                <w:color w:val="FFC000"/>
                                <w:lang w:eastAsia="zh-CN"/>
                              </w:rPr>
                              <w:t>涝淄河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4.25pt;margin-top:118.95pt;height:21.85pt;width:50.85pt;z-index:251856896;mso-width-relative:page;mso-height-relative:page;" filled="f" stroked="f" coordsize="21600,21600" o:gfxdata="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&#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EijUNwAAAANAQAADwAAAAAAAAABACAAAAAiAAAA&#10;ZHJzL2Rvd25yZXYueG1sUEsBAhQAFAAAAAgAh07iQFOE4bA8AgAAaQQAAA4AAAAAAAAAAQAgAAAA&#10;KwEAAGRycy9lMm9Eb2MueG1sUEsFBgAAAAAGAAYAWQEAANkFAAAAAA==&#10;">
                <v:fill on="f" focussize="0,0"/>
                <v:stroke on="f" weight="0.5pt"/>
                <v:imagedata o:title=""/>
                <o:lock v:ext="edit" aspectratio="f"/>
                <v:textbox>
                  <w:txbxContent>
                    <w:p w14:paraId="570ABDCD">
                      <w:pPr>
                        <w:rPr>
                          <w:rFonts w:hint="eastAsia" w:eastAsia="宋体"/>
                          <w:b/>
                          <w:bCs/>
                          <w:color w:val="FFC000"/>
                          <w:lang w:eastAsia="zh-CN"/>
                        </w:rPr>
                      </w:pPr>
                      <w:r>
                        <w:rPr>
                          <w:rFonts w:hint="eastAsia"/>
                          <w:b/>
                          <w:bCs/>
                          <w:color w:val="FFC000"/>
                          <w:lang w:eastAsia="zh-CN"/>
                        </w:rPr>
                        <w:t>涝淄河</w:t>
                      </w:r>
                    </w:p>
                  </w:txbxContent>
                </v:textbox>
              </v:shape>
            </w:pict>
          </mc:Fallback>
        </mc:AlternateContent>
      </w:r>
      <w:r>
        <w:rPr>
          <w:sz w:val="21"/>
        </w:rPr>
        <mc:AlternateContent>
          <mc:Choice Requires="wps">
            <w:drawing>
              <wp:anchor distT="0" distB="0" distL="114300" distR="114300" simplePos="0" relativeHeight="251855872" behindDoc="0" locked="0" layoutInCell="1" allowOverlap="1">
                <wp:simplePos x="0" y="0"/>
                <wp:positionH relativeFrom="column">
                  <wp:posOffset>5974080</wp:posOffset>
                </wp:positionH>
                <wp:positionV relativeFrom="paragraph">
                  <wp:posOffset>1272540</wp:posOffset>
                </wp:positionV>
                <wp:extent cx="1162050" cy="277495"/>
                <wp:effectExtent l="0" t="0" r="0" b="0"/>
                <wp:wrapNone/>
                <wp:docPr id="283" name="文本框 283"/>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D92D4D">
                            <w:pPr>
                              <w:rPr>
                                <w:rFonts w:hint="eastAsia" w:eastAsia="宋体"/>
                                <w:b/>
                                <w:bCs/>
                                <w:color w:val="FFC000"/>
                                <w:lang w:val="en-US" w:eastAsia="zh-CN"/>
                              </w:rPr>
                            </w:pPr>
                            <w:r>
                              <w:rPr>
                                <w:rFonts w:hint="eastAsia"/>
                                <w:b/>
                                <w:bCs/>
                                <w:color w:val="FFC000"/>
                                <w:lang w:val="en-US" w:eastAsia="zh-CN"/>
                              </w:rPr>
                              <w:t>东猪龙河东支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4pt;margin-top:100.2pt;height:21.85pt;width:91.5pt;z-index:251855872;mso-width-relative:page;mso-height-relative:page;" filled="f" stroked="f" coordsize="21600,21600" o:gfxdata="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daGg9sAAAAMAQAADwAAAAAAAAABACAAAAAiAAAA&#10;ZHJzL2Rvd25yZXYueG1sUEsBAhQAFAAAAAgAh07iQEhQU409AgAAagQAAA4AAAAAAAAAAQAgAAAA&#10;KgEAAGRycy9lMm9Eb2MueG1sUEsFBgAAAAAGAAYAWQEAANkFAAAAAA==&#10;">
                <v:fill on="f" focussize="0,0"/>
                <v:stroke on="f" weight="0.5pt"/>
                <v:imagedata o:title=""/>
                <o:lock v:ext="edit" aspectratio="f"/>
                <v:textbox>
                  <w:txbxContent>
                    <w:p w14:paraId="22D92D4D">
                      <w:pPr>
                        <w:rPr>
                          <w:rFonts w:hint="eastAsia" w:eastAsia="宋体"/>
                          <w:b/>
                          <w:bCs/>
                          <w:color w:val="FFC000"/>
                          <w:lang w:val="en-US" w:eastAsia="zh-CN"/>
                        </w:rPr>
                      </w:pPr>
                      <w:r>
                        <w:rPr>
                          <w:rFonts w:hint="eastAsia"/>
                          <w:b/>
                          <w:bCs/>
                          <w:color w:val="FFC000"/>
                          <w:lang w:val="en-US" w:eastAsia="zh-CN"/>
                        </w:rPr>
                        <w:t>东猪龙河东支</w:t>
                      </w:r>
                    </w:p>
                  </w:txbxContent>
                </v:textbox>
              </v:shape>
            </w:pict>
          </mc:Fallback>
        </mc:AlternateContent>
      </w:r>
      <w:r>
        <w:rPr>
          <w:sz w:val="21"/>
        </w:rPr>
        <mc:AlternateContent>
          <mc:Choice Requires="wps">
            <w:drawing>
              <wp:anchor distT="0" distB="0" distL="114300" distR="114300" simplePos="0" relativeHeight="251854848" behindDoc="0" locked="0" layoutInCell="1" allowOverlap="1">
                <wp:simplePos x="0" y="0"/>
                <wp:positionH relativeFrom="column">
                  <wp:posOffset>5525135</wp:posOffset>
                </wp:positionH>
                <wp:positionV relativeFrom="paragraph">
                  <wp:posOffset>1827530</wp:posOffset>
                </wp:positionV>
                <wp:extent cx="1162050" cy="277495"/>
                <wp:effectExtent l="0" t="0" r="0" b="0"/>
                <wp:wrapNone/>
                <wp:docPr id="284" name="文本框 284"/>
                <wp:cNvGraphicFramePr/>
                <a:graphic xmlns:a="http://schemas.openxmlformats.org/drawingml/2006/main">
                  <a:graphicData uri="http://schemas.microsoft.com/office/word/2010/wordprocessingShape">
                    <wps:wsp>
                      <wps:cNvSpPr txBox="1"/>
                      <wps:spPr>
                        <a:xfrm>
                          <a:off x="0" y="0"/>
                          <a:ext cx="116205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F8BDEB">
                            <w:pPr>
                              <w:rPr>
                                <w:rFonts w:hint="eastAsia" w:eastAsia="宋体"/>
                                <w:b/>
                                <w:bCs/>
                                <w:color w:val="FFC000"/>
                                <w:lang w:val="en-US" w:eastAsia="zh-CN"/>
                              </w:rPr>
                            </w:pPr>
                            <w:r>
                              <w:rPr>
                                <w:rFonts w:hint="eastAsia"/>
                                <w:b/>
                                <w:bCs/>
                                <w:color w:val="FFC000"/>
                                <w:lang w:val="en-US" w:eastAsia="zh-CN"/>
                              </w:rPr>
                              <w:t>东猪龙河西支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05pt;margin-top:143.9pt;height:21.85pt;width:91.5pt;z-index:251854848;mso-width-relative:page;mso-height-relative:page;" filled="f" stroked="f" coordsize="21600,21600" o:gfxdata="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j3jdtwAAAAMAQAADwAAAAAAAAABACAAAAAiAAAA&#10;ZHJzL2Rvd25yZXYueG1sUEsBAhQAFAAAAAgAh07iQDTqDsI8AgAAagQAAA4AAAAAAAAAAQAgAAAA&#10;KwEAAGRycy9lMm9Eb2MueG1sUEsFBgAAAAAGAAYAWQEAANkFAAAAAA==&#10;">
                <v:fill on="f" focussize="0,0"/>
                <v:stroke on="f" weight="0.5pt"/>
                <v:imagedata o:title=""/>
                <o:lock v:ext="edit" aspectratio="f"/>
                <v:textbox>
                  <w:txbxContent>
                    <w:p w14:paraId="2FF8BDEB">
                      <w:pPr>
                        <w:rPr>
                          <w:rFonts w:hint="eastAsia" w:eastAsia="宋体"/>
                          <w:b/>
                          <w:bCs/>
                          <w:color w:val="FFC000"/>
                          <w:lang w:val="en-US" w:eastAsia="zh-CN"/>
                        </w:rPr>
                      </w:pPr>
                      <w:r>
                        <w:rPr>
                          <w:rFonts w:hint="eastAsia"/>
                          <w:b/>
                          <w:bCs/>
                          <w:color w:val="FFC000"/>
                          <w:lang w:val="en-US" w:eastAsia="zh-CN"/>
                        </w:rPr>
                        <w:t>东猪龙河西支</w:t>
                      </w:r>
                    </w:p>
                  </w:txbxContent>
                </v:textbox>
              </v:shape>
            </w:pict>
          </mc:Fallback>
        </mc:AlternateContent>
      </w:r>
      <w:r>
        <w:rPr>
          <w:sz w:val="21"/>
        </w:rPr>
        <mc:AlternateContent>
          <mc:Choice Requires="wps">
            <w:drawing>
              <wp:anchor distT="0" distB="0" distL="114300" distR="114300" simplePos="0" relativeHeight="251853824" behindDoc="0" locked="0" layoutInCell="1" allowOverlap="1">
                <wp:simplePos x="0" y="0"/>
                <wp:positionH relativeFrom="column">
                  <wp:posOffset>5864225</wp:posOffset>
                </wp:positionH>
                <wp:positionV relativeFrom="paragraph">
                  <wp:posOffset>2957830</wp:posOffset>
                </wp:positionV>
                <wp:extent cx="815975" cy="277495"/>
                <wp:effectExtent l="0" t="0" r="0" b="0"/>
                <wp:wrapNone/>
                <wp:docPr id="285" name="文本框 285"/>
                <wp:cNvGraphicFramePr/>
                <a:graphic xmlns:a="http://schemas.openxmlformats.org/drawingml/2006/main">
                  <a:graphicData uri="http://schemas.microsoft.com/office/word/2010/wordprocessingShape">
                    <wps:wsp>
                      <wps:cNvSpPr txBox="1"/>
                      <wps:spPr>
                        <a:xfrm>
                          <a:off x="0" y="0"/>
                          <a:ext cx="81597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1DEF6D">
                            <w:pPr>
                              <w:rPr>
                                <w:rFonts w:hint="eastAsia" w:eastAsia="宋体"/>
                                <w:b/>
                                <w:bCs/>
                                <w:color w:val="FFC000"/>
                                <w:lang w:val="en-US" w:eastAsia="zh-CN"/>
                              </w:rPr>
                            </w:pPr>
                            <w:r>
                              <w:rPr>
                                <w:rFonts w:hint="eastAsia"/>
                                <w:b/>
                                <w:bCs/>
                                <w:color w:val="FFC000"/>
                                <w:lang w:val="en-US" w:eastAsia="zh-CN"/>
                              </w:rPr>
                              <w:t>漫泗河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75pt;margin-top:232.9pt;height:21.85pt;width:64.25pt;z-index:251853824;mso-width-relative:page;mso-height-relative:page;" filled="f" stroked="f" coordsize="21600,21600" o:gfxdata="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hdCTNwAAAAMAQAADwAAAAAAAAABACAAAAAi&#10;AAAAZHJzL2Rvd25yZXYueG1sUEsBAhQAFAAAAAgAh07iQICYz8g/AgAAaQQAAA4AAAAAAAAAAQAg&#10;AAAAKwEAAGRycy9lMm9Eb2MueG1sUEsFBgAAAAAGAAYAWQEAANwFAAAAAA==&#10;">
                <v:fill on="f" focussize="0,0"/>
                <v:stroke on="f" weight="0.5pt"/>
                <v:imagedata o:title=""/>
                <o:lock v:ext="edit" aspectratio="f"/>
                <v:textbox>
                  <w:txbxContent>
                    <w:p w14:paraId="461DEF6D">
                      <w:pPr>
                        <w:rPr>
                          <w:rFonts w:hint="eastAsia" w:eastAsia="宋体"/>
                          <w:b/>
                          <w:bCs/>
                          <w:color w:val="FFC000"/>
                          <w:lang w:val="en-US" w:eastAsia="zh-CN"/>
                        </w:rPr>
                      </w:pPr>
                      <w:r>
                        <w:rPr>
                          <w:rFonts w:hint="eastAsia"/>
                          <w:b/>
                          <w:bCs/>
                          <w:color w:val="FFC000"/>
                          <w:lang w:val="en-US" w:eastAsia="zh-CN"/>
                        </w:rPr>
                        <w:t>漫泗河</w:t>
                      </w:r>
                    </w:p>
                  </w:txbxContent>
                </v:textbox>
              </v:shape>
            </w:pict>
          </mc:Fallback>
        </mc:AlternateContent>
      </w:r>
      <w:r>
        <w:rPr>
          <w:sz w:val="21"/>
        </w:rPr>
        <mc:AlternateContent>
          <mc:Choice Requires="wps">
            <w:drawing>
              <wp:anchor distT="0" distB="0" distL="114300" distR="114300" simplePos="0" relativeHeight="251852800" behindDoc="0" locked="0" layoutInCell="1" allowOverlap="1">
                <wp:simplePos x="0" y="0"/>
                <wp:positionH relativeFrom="column">
                  <wp:posOffset>4956810</wp:posOffset>
                </wp:positionH>
                <wp:positionV relativeFrom="paragraph">
                  <wp:posOffset>2992755</wp:posOffset>
                </wp:positionV>
                <wp:extent cx="1012190" cy="277495"/>
                <wp:effectExtent l="0" t="0" r="0" b="0"/>
                <wp:wrapNone/>
                <wp:docPr id="286" name="文本框 286"/>
                <wp:cNvGraphicFramePr/>
                <a:graphic xmlns:a="http://schemas.openxmlformats.org/drawingml/2006/main">
                  <a:graphicData uri="http://schemas.microsoft.com/office/word/2010/wordprocessingShape">
                    <wps:wsp>
                      <wps:cNvSpPr txBox="1"/>
                      <wps:spPr>
                        <a:xfrm>
                          <a:off x="0" y="0"/>
                          <a:ext cx="101219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4B504A">
                            <w:pPr>
                              <w:rPr>
                                <w:rFonts w:hint="eastAsia" w:eastAsia="宋体"/>
                                <w:b/>
                                <w:bCs/>
                                <w:color w:val="FFC000"/>
                                <w:lang w:val="en-US" w:eastAsia="zh-CN"/>
                              </w:rPr>
                            </w:pPr>
                            <w:r>
                              <w:rPr>
                                <w:rFonts w:hint="eastAsia"/>
                                <w:b/>
                                <w:bCs/>
                                <w:color w:val="FFC000"/>
                                <w:lang w:val="en-US" w:eastAsia="zh-CN"/>
                              </w:rPr>
                              <w:t>小旦村排涝沟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3pt;margin-top:235.65pt;height:21.85pt;width:79.7pt;z-index:251852800;mso-width-relative:page;mso-height-relative:page;" filled="f" stroked="f" coordsize="21600,21600" o:gfxdata="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rkyHN0AAAALAQAADwAAAAAAAAABACAAAAAi&#10;AAAAZHJzL2Rvd25yZXYueG1sUEsBAhQAFAAAAAgAh07iQCmgVYc+AgAAagQAAA4AAAAAAAAAAQAg&#10;AAAALAEAAGRycy9lMm9Eb2MueG1sUEsFBgAAAAAGAAYAWQEAANwFAAAAAA==&#10;">
                <v:fill on="f" focussize="0,0"/>
                <v:stroke on="f" weight="0.5pt"/>
                <v:imagedata o:title=""/>
                <o:lock v:ext="edit" aspectratio="f"/>
                <v:textbox>
                  <w:txbxContent>
                    <w:p w14:paraId="464B504A">
                      <w:pPr>
                        <w:rPr>
                          <w:rFonts w:hint="eastAsia" w:eastAsia="宋体"/>
                          <w:b/>
                          <w:bCs/>
                          <w:color w:val="FFC000"/>
                          <w:lang w:val="en-US" w:eastAsia="zh-CN"/>
                        </w:rPr>
                      </w:pPr>
                      <w:r>
                        <w:rPr>
                          <w:rFonts w:hint="eastAsia"/>
                          <w:b/>
                          <w:bCs/>
                          <w:color w:val="FFC000"/>
                          <w:lang w:val="en-US" w:eastAsia="zh-CN"/>
                        </w:rPr>
                        <w:t>小旦村排涝沟</w:t>
                      </w:r>
                    </w:p>
                  </w:txbxContent>
                </v:textbox>
              </v:shape>
            </w:pict>
          </mc:Fallback>
        </mc:AlternateContent>
      </w:r>
      <w:r>
        <w:rPr>
          <w:sz w:val="21"/>
        </w:rPr>
        <mc:AlternateContent>
          <mc:Choice Requires="wps">
            <w:drawing>
              <wp:anchor distT="0" distB="0" distL="114300" distR="114300" simplePos="0" relativeHeight="251851776" behindDoc="0" locked="0" layoutInCell="1" allowOverlap="1">
                <wp:simplePos x="0" y="0"/>
                <wp:positionH relativeFrom="column">
                  <wp:posOffset>5007610</wp:posOffset>
                </wp:positionH>
                <wp:positionV relativeFrom="paragraph">
                  <wp:posOffset>3282315</wp:posOffset>
                </wp:positionV>
                <wp:extent cx="767080" cy="277495"/>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5889D7">
                            <w:pPr>
                              <w:rPr>
                                <w:rFonts w:hint="eastAsia" w:eastAsia="宋体"/>
                                <w:b/>
                                <w:bCs/>
                                <w:color w:val="FFC000"/>
                                <w:lang w:val="en-US" w:eastAsia="zh-CN"/>
                              </w:rPr>
                            </w:pPr>
                            <w:r>
                              <w:rPr>
                                <w:rFonts w:hint="eastAsia"/>
                                <w:b/>
                                <w:bCs/>
                                <w:color w:val="FFC000"/>
                                <w:lang w:val="en-US" w:eastAsia="zh-CN"/>
                              </w:rPr>
                              <w:t>暖水河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3pt;margin-top:258.45pt;height:21.85pt;width:60.4pt;z-index:251851776;mso-width-relative:page;mso-height-relative:page;" filled="f" stroked="f" coordsize="21600,21600" o:gfxdata="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8CSsfcAAAACwEAAA8AAAAAAAAAAQAgAAAAIgAA&#10;AGRycy9kb3ducmV2LnhtbFBLAQIUABQAAAAIAIdO4kARBhObPQIAAGkEAAAOAAAAAAAAAAEAIAAA&#10;ACsBAABkcnMvZTJvRG9jLnhtbFBLBQYAAAAABgAGAFkBAADaBQAAAAA=&#10;">
                <v:fill on="f" focussize="0,0"/>
                <v:stroke on="f" weight="0.5pt"/>
                <v:imagedata o:title=""/>
                <o:lock v:ext="edit" aspectratio="f"/>
                <v:textbox>
                  <w:txbxContent>
                    <w:p w14:paraId="505889D7">
                      <w:pPr>
                        <w:rPr>
                          <w:rFonts w:hint="eastAsia" w:eastAsia="宋体"/>
                          <w:b/>
                          <w:bCs/>
                          <w:color w:val="FFC000"/>
                          <w:lang w:val="en-US" w:eastAsia="zh-CN"/>
                        </w:rPr>
                      </w:pPr>
                      <w:r>
                        <w:rPr>
                          <w:rFonts w:hint="eastAsia"/>
                          <w:b/>
                          <w:bCs/>
                          <w:color w:val="FFC000"/>
                          <w:lang w:val="en-US" w:eastAsia="zh-CN"/>
                        </w:rPr>
                        <w:t>暖水河</w:t>
                      </w:r>
                    </w:p>
                  </w:txbxContent>
                </v:textbox>
              </v:shape>
            </w:pict>
          </mc:Fallback>
        </mc:AlternateContent>
      </w:r>
      <w:r>
        <w:rPr>
          <w:sz w:val="21"/>
        </w:rPr>
        <mc:AlternateContent>
          <mc:Choice Requires="wps">
            <w:drawing>
              <wp:anchor distT="0" distB="0" distL="114300" distR="114300" simplePos="0" relativeHeight="251850752" behindDoc="0" locked="0" layoutInCell="1" allowOverlap="1">
                <wp:simplePos x="0" y="0"/>
                <wp:positionH relativeFrom="column">
                  <wp:posOffset>4276725</wp:posOffset>
                </wp:positionH>
                <wp:positionV relativeFrom="paragraph">
                  <wp:posOffset>2130425</wp:posOffset>
                </wp:positionV>
                <wp:extent cx="801370" cy="277495"/>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80137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DF434B">
                            <w:pPr>
                              <w:rPr>
                                <w:rFonts w:hint="eastAsia" w:eastAsia="宋体"/>
                                <w:b/>
                                <w:bCs/>
                                <w:color w:val="FFC000"/>
                                <w:lang w:val="en-US" w:eastAsia="zh-CN"/>
                              </w:rPr>
                            </w:pPr>
                            <w:r>
                              <w:rPr>
                                <w:rFonts w:hint="eastAsia"/>
                                <w:b/>
                                <w:bCs/>
                                <w:color w:val="FFC000"/>
                                <w:lang w:val="en-US" w:eastAsia="zh-CN"/>
                              </w:rPr>
                              <w:t>三泉沟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75pt;margin-top:167.75pt;height:21.85pt;width:63.1pt;z-index:251850752;mso-width-relative:page;mso-height-relative:page;" filled="f" stroked="f" coordsize="21600,21600" o:gfxdata="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&#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VXLJTcAAAACwEAAA8AAAAAAAAAAQAgAAAAIgAA&#10;AGRycy9kb3ducmV2LnhtbFBLAQIUABQAAAAIAIdO4kAhFhd4PQIAAGkEAAAOAAAAAAAAAAEAIAAA&#10;ACsBAABkcnMvZTJvRG9jLnhtbFBLBQYAAAAABgAGAFkBAADaBQAAAAA=&#10;">
                <v:fill on="f" focussize="0,0"/>
                <v:stroke on="f" weight="0.5pt"/>
                <v:imagedata o:title=""/>
                <o:lock v:ext="edit" aspectratio="f"/>
                <v:textbox>
                  <w:txbxContent>
                    <w:p w14:paraId="4FDF434B">
                      <w:pPr>
                        <w:rPr>
                          <w:rFonts w:hint="eastAsia" w:eastAsia="宋体"/>
                          <w:b/>
                          <w:bCs/>
                          <w:color w:val="FFC000"/>
                          <w:lang w:val="en-US" w:eastAsia="zh-CN"/>
                        </w:rPr>
                      </w:pPr>
                      <w:r>
                        <w:rPr>
                          <w:rFonts w:hint="eastAsia"/>
                          <w:b/>
                          <w:bCs/>
                          <w:color w:val="FFC000"/>
                          <w:lang w:val="en-US" w:eastAsia="zh-CN"/>
                        </w:rPr>
                        <w:t>三泉沟</w:t>
                      </w:r>
                    </w:p>
                  </w:txbxContent>
                </v:textbox>
              </v:shape>
            </w:pict>
          </mc:Fallback>
        </mc:AlternateContent>
      </w:r>
      <w:r>
        <w:rPr>
          <w:sz w:val="21"/>
        </w:rPr>
        <mc:AlternateContent>
          <mc:Choice Requires="wps">
            <w:drawing>
              <wp:anchor distT="0" distB="0" distL="114300" distR="114300" simplePos="0" relativeHeight="251849728" behindDoc="0" locked="0" layoutInCell="1" allowOverlap="1">
                <wp:simplePos x="0" y="0"/>
                <wp:positionH relativeFrom="column">
                  <wp:posOffset>3933825</wp:posOffset>
                </wp:positionH>
                <wp:positionV relativeFrom="paragraph">
                  <wp:posOffset>3279775</wp:posOffset>
                </wp:positionV>
                <wp:extent cx="767080" cy="277495"/>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30148">
                            <w:pPr>
                              <w:rPr>
                                <w:rFonts w:hint="eastAsia" w:eastAsia="宋体"/>
                                <w:b/>
                                <w:bCs/>
                                <w:color w:val="FFC000"/>
                                <w:lang w:val="en-US" w:eastAsia="zh-CN"/>
                              </w:rPr>
                            </w:pPr>
                            <w:r>
                              <w:rPr>
                                <w:rFonts w:hint="eastAsia"/>
                                <w:b/>
                                <w:bCs/>
                                <w:color w:val="FFC000"/>
                                <w:lang w:val="en-US" w:eastAsia="zh-CN"/>
                              </w:rPr>
                              <w:t>瓦村沟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75pt;margin-top:258.25pt;height:21.85pt;width:60.4pt;z-index:251849728;mso-width-relative:page;mso-height-relative:page;" filled="f" stroked="f" coordsize="21600,21600" o:gfxdata="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afdmNsAAAALAQAADwAAAAAAAAABACAAAAAiAAAA&#10;ZHJzL2Rvd25yZXYueG1sUEsBAhQAFAAAAAgAh07iQBZd8kQ9AgAAaQQAAA4AAAAAAAAAAQAgAAAA&#10;KgEAAGRycy9lMm9Eb2MueG1sUEsFBgAAAAAGAAYAWQEAANkFAAAAAA==&#10;">
                <v:fill on="f" focussize="0,0"/>
                <v:stroke on="f" weight="0.5pt"/>
                <v:imagedata o:title=""/>
                <o:lock v:ext="edit" aspectratio="f"/>
                <v:textbox>
                  <w:txbxContent>
                    <w:p w14:paraId="52D30148">
                      <w:pPr>
                        <w:rPr>
                          <w:rFonts w:hint="eastAsia" w:eastAsia="宋体"/>
                          <w:b/>
                          <w:bCs/>
                          <w:color w:val="FFC000"/>
                          <w:lang w:val="en-US" w:eastAsia="zh-CN"/>
                        </w:rPr>
                      </w:pPr>
                      <w:r>
                        <w:rPr>
                          <w:rFonts w:hint="eastAsia"/>
                          <w:b/>
                          <w:bCs/>
                          <w:color w:val="FFC000"/>
                          <w:lang w:val="en-US" w:eastAsia="zh-CN"/>
                        </w:rPr>
                        <w:t>瓦村沟</w:t>
                      </w:r>
                    </w:p>
                  </w:txbxContent>
                </v:textbox>
              </v:shape>
            </w:pict>
          </mc:Fallback>
        </mc:AlternateContent>
      </w:r>
      <w:r>
        <w:rPr>
          <w:sz w:val="21"/>
        </w:rPr>
        <mc:AlternateContent>
          <mc:Choice Requires="wps">
            <w:drawing>
              <wp:anchor distT="0" distB="0" distL="114300" distR="114300" simplePos="0" relativeHeight="251848704" behindDoc="0" locked="0" layoutInCell="1" allowOverlap="1">
                <wp:simplePos x="0" y="0"/>
                <wp:positionH relativeFrom="column">
                  <wp:posOffset>2492375</wp:posOffset>
                </wp:positionH>
                <wp:positionV relativeFrom="paragraph">
                  <wp:posOffset>2376170</wp:posOffset>
                </wp:positionV>
                <wp:extent cx="1154430" cy="277495"/>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15443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08F234">
                            <w:pPr>
                              <w:rPr>
                                <w:rFonts w:hint="eastAsia" w:eastAsia="宋体"/>
                                <w:b/>
                                <w:bCs/>
                                <w:color w:val="FFC000"/>
                                <w:lang w:val="en-US" w:eastAsia="zh-CN"/>
                              </w:rPr>
                            </w:pPr>
                            <w:r>
                              <w:rPr>
                                <w:rFonts w:hint="eastAsia"/>
                                <w:b/>
                                <w:bCs/>
                                <w:color w:val="FFC000"/>
                                <w:lang w:val="en-US" w:eastAsia="zh-CN"/>
                              </w:rPr>
                              <w:t>天津路排涝沟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25pt;margin-top:187.1pt;height:21.85pt;width:90.9pt;z-index:251848704;mso-width-relative:page;mso-height-relative:page;" filled="f" stroked="f" coordsize="21600,21600" o:gfxdata="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lznR3QAAAAsBAAAPAAAAAAAAAAEAIAAAACIA&#10;AABkcnMvZG93bnJldi54bWxQSwECFAAUAAAACACHTuJA9+Fl0D0CAABqBAAADgAAAAAAAAABACAA&#10;AAAsAQAAZHJzL2Uyb0RvYy54bWxQSwUGAAAAAAYABgBZAQAA2wUAAAAA&#10;">
                <v:fill on="f" focussize="0,0"/>
                <v:stroke on="f" weight="0.5pt"/>
                <v:imagedata o:title=""/>
                <o:lock v:ext="edit" aspectratio="f"/>
                <v:textbox>
                  <w:txbxContent>
                    <w:p w14:paraId="5908F234">
                      <w:pPr>
                        <w:rPr>
                          <w:rFonts w:hint="eastAsia" w:eastAsia="宋体"/>
                          <w:b/>
                          <w:bCs/>
                          <w:color w:val="FFC000"/>
                          <w:lang w:val="en-US" w:eastAsia="zh-CN"/>
                        </w:rPr>
                      </w:pPr>
                      <w:r>
                        <w:rPr>
                          <w:rFonts w:hint="eastAsia"/>
                          <w:b/>
                          <w:bCs/>
                          <w:color w:val="FFC000"/>
                          <w:lang w:val="en-US" w:eastAsia="zh-CN"/>
                        </w:rPr>
                        <w:t>天津路排涝沟</w:t>
                      </w:r>
                    </w:p>
                  </w:txbxContent>
                </v:textbox>
              </v:shape>
            </w:pict>
          </mc:Fallback>
        </mc:AlternateContent>
      </w:r>
      <w:r>
        <w:rPr>
          <w:sz w:val="21"/>
        </w:rPr>
        <mc:AlternateContent>
          <mc:Choice Requires="wps">
            <w:drawing>
              <wp:anchor distT="0" distB="0" distL="114300" distR="114300" simplePos="0" relativeHeight="251847680" behindDoc="0" locked="0" layoutInCell="1" allowOverlap="1">
                <wp:simplePos x="0" y="0"/>
                <wp:positionH relativeFrom="column">
                  <wp:posOffset>1327785</wp:posOffset>
                </wp:positionH>
                <wp:positionV relativeFrom="paragraph">
                  <wp:posOffset>3514090</wp:posOffset>
                </wp:positionV>
                <wp:extent cx="767080" cy="277495"/>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9C4172">
                            <w:pPr>
                              <w:rPr>
                                <w:rFonts w:hint="eastAsia" w:eastAsia="宋体"/>
                                <w:b/>
                                <w:bCs/>
                                <w:color w:val="FFC000"/>
                                <w:lang w:val="en-US" w:eastAsia="zh-CN"/>
                              </w:rPr>
                            </w:pPr>
                            <w:r>
                              <w:rPr>
                                <w:rFonts w:hint="eastAsia"/>
                                <w:b/>
                                <w:bCs/>
                                <w:color w:val="FFC000"/>
                                <w:lang w:val="en-US" w:eastAsia="zh-CN"/>
                              </w:rPr>
                              <w:t>袁家河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55pt;margin-top:276.7pt;height:21.85pt;width:60.4pt;z-index:251847680;mso-width-relative:page;mso-height-relative:page;" filled="f" stroked="f" coordsize="21600,21600" o:gfxdata="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&#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DikBncAAAACwEAAA8AAAAAAAAAAQAgAAAAIgAA&#10;AGRycy9kb3ducmV2LnhtbFBLAQIUABQAAAAIAIdO4kCtwHy8PQIAAGkEAAAOAAAAAAAAAAEAIAAA&#10;ACsBAABkcnMvZTJvRG9jLnhtbFBLBQYAAAAABgAGAFkBAADaBQAAAAA=&#10;">
                <v:fill on="f" focussize="0,0"/>
                <v:stroke on="f" weight="0.5pt"/>
                <v:imagedata o:title=""/>
                <o:lock v:ext="edit" aspectratio="f"/>
                <v:textbox>
                  <w:txbxContent>
                    <w:p w14:paraId="059C4172">
                      <w:pPr>
                        <w:rPr>
                          <w:rFonts w:hint="eastAsia" w:eastAsia="宋体"/>
                          <w:b/>
                          <w:bCs/>
                          <w:color w:val="FFC000"/>
                          <w:lang w:val="en-US" w:eastAsia="zh-CN"/>
                        </w:rPr>
                      </w:pPr>
                      <w:r>
                        <w:rPr>
                          <w:rFonts w:hint="eastAsia"/>
                          <w:b/>
                          <w:bCs/>
                          <w:color w:val="FFC000"/>
                          <w:lang w:val="en-US" w:eastAsia="zh-CN"/>
                        </w:rPr>
                        <w:t>袁家河</w:t>
                      </w:r>
                    </w:p>
                  </w:txbxContent>
                </v:textbox>
              </v:shape>
            </w:pict>
          </mc:Fallback>
        </mc:AlternateContent>
      </w:r>
      <w:r>
        <w:rPr>
          <w:sz w:val="21"/>
        </w:rPr>
        <mc:AlternateContent>
          <mc:Choice Requires="wps">
            <w:drawing>
              <wp:anchor distT="0" distB="0" distL="114300" distR="114300" simplePos="0" relativeHeight="251846656" behindDoc="0" locked="0" layoutInCell="1" allowOverlap="1">
                <wp:simplePos x="0" y="0"/>
                <wp:positionH relativeFrom="column">
                  <wp:posOffset>708025</wp:posOffset>
                </wp:positionH>
                <wp:positionV relativeFrom="paragraph">
                  <wp:posOffset>2790825</wp:posOffset>
                </wp:positionV>
                <wp:extent cx="767080" cy="277495"/>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5B977D">
                            <w:pPr>
                              <w:rPr>
                                <w:rFonts w:hint="eastAsia" w:eastAsia="宋体"/>
                                <w:b/>
                                <w:bCs/>
                                <w:color w:val="FFC000"/>
                                <w:lang w:val="en-US" w:eastAsia="zh-CN"/>
                              </w:rPr>
                            </w:pPr>
                            <w:r>
                              <w:rPr>
                                <w:rFonts w:hint="eastAsia"/>
                                <w:b/>
                                <w:bCs/>
                                <w:color w:val="FFC000"/>
                                <w:lang w:val="en-US" w:eastAsia="zh-CN"/>
                              </w:rPr>
                              <w:t>焕然河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5pt;margin-top:219.75pt;height:21.85pt;width:60.4pt;z-index:251846656;mso-width-relative:page;mso-height-relative:page;" filled="f" stroked="f" coordsize="21600,21600" o:gfxdata="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IxunB2gAAAAsBAAAPAAAAAAAAAAEAIAAAACIAAABk&#10;cnMvZG93bnJldi54bWxQSwECFAAUAAAACACHTuJAOtBU5j0CAABpBAAADgAAAAAAAAABACAAAAAp&#10;AQAAZHJzL2Uyb0RvYy54bWxQSwUGAAAAAAYABgBZAQAA2AUAAAAA&#10;">
                <v:fill on="f" focussize="0,0"/>
                <v:stroke on="f" weight="0.5pt"/>
                <v:imagedata o:title=""/>
                <o:lock v:ext="edit" aspectratio="f"/>
                <v:textbox>
                  <w:txbxContent>
                    <w:p w14:paraId="735B977D">
                      <w:pPr>
                        <w:rPr>
                          <w:rFonts w:hint="eastAsia" w:eastAsia="宋体"/>
                          <w:b/>
                          <w:bCs/>
                          <w:color w:val="FFC000"/>
                          <w:lang w:val="en-US" w:eastAsia="zh-CN"/>
                        </w:rPr>
                      </w:pPr>
                      <w:r>
                        <w:rPr>
                          <w:rFonts w:hint="eastAsia"/>
                          <w:b/>
                          <w:bCs/>
                          <w:color w:val="FFC000"/>
                          <w:lang w:val="en-US" w:eastAsia="zh-CN"/>
                        </w:rPr>
                        <w:t>焕然河</w:t>
                      </w:r>
                    </w:p>
                  </w:txbxContent>
                </v:textbox>
              </v:shape>
            </w:pict>
          </mc:Fallback>
        </mc:AlternateContent>
      </w:r>
      <w:r>
        <w:rPr>
          <w:sz w:val="21"/>
        </w:rPr>
        <mc:AlternateContent>
          <mc:Choice Requires="wps">
            <w:drawing>
              <wp:anchor distT="0" distB="0" distL="114300" distR="114300" simplePos="0" relativeHeight="251845632" behindDoc="0" locked="0" layoutInCell="1" allowOverlap="1">
                <wp:simplePos x="0" y="0"/>
                <wp:positionH relativeFrom="column">
                  <wp:posOffset>1289050</wp:posOffset>
                </wp:positionH>
                <wp:positionV relativeFrom="paragraph">
                  <wp:posOffset>1014095</wp:posOffset>
                </wp:positionV>
                <wp:extent cx="767080" cy="277495"/>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76708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892D54">
                            <w:pPr>
                              <w:rPr>
                                <w:rFonts w:hint="eastAsia" w:eastAsia="宋体"/>
                                <w:b/>
                                <w:bCs/>
                                <w:color w:val="FFC000"/>
                                <w:lang w:val="en-US" w:eastAsia="zh-CN"/>
                              </w:rPr>
                            </w:pPr>
                            <w:r>
                              <w:rPr>
                                <w:rFonts w:hint="eastAsia"/>
                                <w:b/>
                                <w:bCs/>
                                <w:color w:val="FFC000"/>
                                <w:lang w:val="en-US" w:eastAsia="zh-CN"/>
                              </w:rPr>
                              <w:t>白蛇沟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5pt;margin-top:79.85pt;height:21.85pt;width:60.4pt;z-index:251845632;mso-width-relative:page;mso-height-relative:page;" filled="f" stroked="f" coordsize="21600,21600" o:gfxdata="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&#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xuQctoAAAALAQAADwAAAAAAAAABACAAAAAiAAAA&#10;ZHJzL2Rvd25yZXYueG1sUEsBAhQAFAAAAAgAh07iQLffTNA+AgAAaQQAAA4AAAAAAAAAAQAgAAAA&#10;KQEAAGRycy9lMm9Eb2MueG1sUEsFBgAAAAAGAAYAWQEAANkFAAAAAA==&#10;">
                <v:fill on="f" focussize="0,0"/>
                <v:stroke on="f" weight="0.5pt"/>
                <v:imagedata o:title=""/>
                <o:lock v:ext="edit" aspectratio="f"/>
                <v:textbox>
                  <w:txbxContent>
                    <w:p w14:paraId="4B892D54">
                      <w:pPr>
                        <w:rPr>
                          <w:rFonts w:hint="eastAsia" w:eastAsia="宋体"/>
                          <w:b/>
                          <w:bCs/>
                          <w:color w:val="FFC000"/>
                          <w:lang w:val="en-US" w:eastAsia="zh-CN"/>
                        </w:rPr>
                      </w:pPr>
                      <w:r>
                        <w:rPr>
                          <w:rFonts w:hint="eastAsia"/>
                          <w:b/>
                          <w:bCs/>
                          <w:color w:val="FFC000"/>
                          <w:lang w:val="en-US" w:eastAsia="zh-CN"/>
                        </w:rPr>
                        <w:t>白蛇沟</w:t>
                      </w:r>
                    </w:p>
                  </w:txbxContent>
                </v:textbox>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79744" behindDoc="0" locked="0" layoutInCell="1" allowOverlap="1">
                <wp:simplePos x="0" y="0"/>
                <wp:positionH relativeFrom="column">
                  <wp:posOffset>7606665</wp:posOffset>
                </wp:positionH>
                <wp:positionV relativeFrom="paragraph">
                  <wp:posOffset>4271010</wp:posOffset>
                </wp:positionV>
                <wp:extent cx="915035" cy="260350"/>
                <wp:effectExtent l="4445" t="4445" r="13970" b="20955"/>
                <wp:wrapNone/>
                <wp:docPr id="294" name="文本框 294"/>
                <wp:cNvGraphicFramePr/>
                <a:graphic xmlns:a="http://schemas.openxmlformats.org/drawingml/2006/main">
                  <a:graphicData uri="http://schemas.microsoft.com/office/word/2010/wordprocessingShape">
                    <wps:wsp>
                      <wps:cNvSpPr txBox="1"/>
                      <wps:spPr>
                        <a:xfrm>
                          <a:off x="0" y="0"/>
                          <a:ext cx="915035" cy="260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D7E976">
                            <w:pPr>
                              <w:rPr>
                                <w:rFonts w:hint="eastAsia" w:eastAsia="宋体"/>
                                <w:lang w:eastAsia="zh-CN"/>
                              </w:rPr>
                            </w:pPr>
                            <w:r>
                              <w:rPr>
                                <w:rFonts w:hint="eastAsia"/>
                                <w:lang w:eastAsia="zh-CN"/>
                              </w:rPr>
                              <w:t>噪声监测点</w:t>
                            </w:r>
                          </w:p>
                        </w:txbxContent>
                      </wps:txbx>
                      <wps:bodyPr upright="1"/>
                    </wps:wsp>
                  </a:graphicData>
                </a:graphic>
              </wp:anchor>
            </w:drawing>
          </mc:Choice>
          <mc:Fallback>
            <w:pict>
              <v:shape id="_x0000_s1026" o:spid="_x0000_s1026" o:spt="202" type="#_x0000_t202" style="position:absolute;left:0pt;margin-left:598.95pt;margin-top:336.3pt;height:20.5pt;width:72.05pt;z-index:251679744;mso-width-relative:page;mso-height-relative:page;" fillcolor="#FFFFFF" filled="t" stroked="t" coordsize="21600,21600" o:gfxdata="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fQKLx2wAAAA0BAAAPAAAAAAAAAAEA&#10;IAAAACIAAABkcnMvZG93bnJldi54bWxQSwECFAAUAAAACACHTuJAAvUregwCAAA5BAAADgAAAAAA&#10;AAABACAAAAAqAQAAZHJzL2Uyb0RvYy54bWxQSwUGAAAAAAYABgBZAQAAqAUAAAAA&#10;">
                <v:fill on="t" focussize="0,0"/>
                <v:stroke color="#000000" joinstyle="miter"/>
                <v:imagedata o:title=""/>
                <o:lock v:ext="edit" aspectratio="f"/>
                <v:textbox>
                  <w:txbxContent>
                    <w:p w14:paraId="17D7E976">
                      <w:pPr>
                        <w:rPr>
                          <w:rFonts w:hint="eastAsia" w:eastAsia="宋体"/>
                          <w:lang w:eastAsia="zh-CN"/>
                        </w:rPr>
                      </w:pPr>
                      <w:r>
                        <w:rPr>
                          <w:rFonts w:hint="eastAsia"/>
                          <w:lang w:eastAsia="zh-CN"/>
                        </w:rPr>
                        <w:t>噪声监测点</w:t>
                      </w:r>
                    </w:p>
                  </w:txbxContent>
                </v:textbox>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77696" behindDoc="0" locked="0" layoutInCell="1" allowOverlap="1">
                <wp:simplePos x="0" y="0"/>
                <wp:positionH relativeFrom="column">
                  <wp:posOffset>7568565</wp:posOffset>
                </wp:positionH>
                <wp:positionV relativeFrom="paragraph">
                  <wp:posOffset>3972560</wp:posOffset>
                </wp:positionV>
                <wp:extent cx="915035" cy="260350"/>
                <wp:effectExtent l="4445" t="4445" r="13970" b="20955"/>
                <wp:wrapNone/>
                <wp:docPr id="296" name="文本框 296"/>
                <wp:cNvGraphicFramePr/>
                <a:graphic xmlns:a="http://schemas.openxmlformats.org/drawingml/2006/main">
                  <a:graphicData uri="http://schemas.microsoft.com/office/word/2010/wordprocessingShape">
                    <wps:wsp>
                      <wps:cNvSpPr txBox="1"/>
                      <wps:spPr>
                        <a:xfrm>
                          <a:off x="0" y="0"/>
                          <a:ext cx="915035" cy="260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B3E2D9">
                            <w:pPr>
                              <w:rPr>
                                <w:rFonts w:hint="eastAsia" w:eastAsia="宋体"/>
                                <w:lang w:eastAsia="zh-CN"/>
                              </w:rPr>
                            </w:pPr>
                            <w:r>
                              <w:rPr>
                                <w:rFonts w:hint="eastAsia"/>
                                <w:lang w:eastAsia="zh-CN"/>
                              </w:rPr>
                              <w:t>大气监测点</w:t>
                            </w:r>
                          </w:p>
                        </w:txbxContent>
                      </wps:txbx>
                      <wps:bodyPr upright="1"/>
                    </wps:wsp>
                  </a:graphicData>
                </a:graphic>
              </wp:anchor>
            </w:drawing>
          </mc:Choice>
          <mc:Fallback>
            <w:pict>
              <v:shape id="_x0000_s1026" o:spid="_x0000_s1026" o:spt="202" type="#_x0000_t202" style="position:absolute;left:0pt;margin-left:595.95pt;margin-top:312.8pt;height:20.5pt;width:72.05pt;z-index:251677696;mso-width-relative:page;mso-height-relative:page;" fillcolor="#FFFFFF" filled="t" stroked="t" coordsize="21600,21600" o:gfxdata="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82BIbaAAAADQEAAA8AAAAAAAAAAQAg&#10;AAAAIgAAAGRycy9kb3ducmV2LnhtbFBLAQIUABQAAAAIAIdO4kBDJGcwDAIAADkEAAAOAAAAAAAA&#10;AAEAIAAAACkBAABkcnMvZTJvRG9jLnhtbFBLBQYAAAAABgAGAFkBAACnBQAAAAA=&#10;">
                <v:fill on="t" focussize="0,0"/>
                <v:stroke color="#000000" joinstyle="miter"/>
                <v:imagedata o:title=""/>
                <o:lock v:ext="edit" aspectratio="f"/>
                <v:textbox>
                  <w:txbxContent>
                    <w:p w14:paraId="6AB3E2D9">
                      <w:pPr>
                        <w:rPr>
                          <w:rFonts w:hint="eastAsia" w:eastAsia="宋体"/>
                          <w:lang w:eastAsia="zh-CN"/>
                        </w:rPr>
                      </w:pPr>
                      <w:r>
                        <w:rPr>
                          <w:rFonts w:hint="eastAsia"/>
                          <w:lang w:eastAsia="zh-CN"/>
                        </w:rPr>
                        <w:t>大气监测点</w:t>
                      </w:r>
                    </w:p>
                  </w:txbxContent>
                </v:textbox>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76672" behindDoc="0" locked="0" layoutInCell="1" allowOverlap="1">
                <wp:simplePos x="0" y="0"/>
                <wp:positionH relativeFrom="column">
                  <wp:posOffset>7336790</wp:posOffset>
                </wp:positionH>
                <wp:positionV relativeFrom="paragraph">
                  <wp:posOffset>4029710</wp:posOffset>
                </wp:positionV>
                <wp:extent cx="107950" cy="107950"/>
                <wp:effectExtent l="7620" t="10795" r="17780" b="14605"/>
                <wp:wrapNone/>
                <wp:docPr id="295" name="等腰三角形 295"/>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77.7pt;margin-top:317.3pt;height:8.5pt;width:8.5pt;z-index:251676672;mso-width-relative:page;mso-height-relative:page;" fillcolor="#FFFF00" filled="t" stroked="t" coordsize="21600,21600" o:gfxdata="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4CCMtkA&#10;AAANAQAADwAAAAAAAAABACAAAAAiAAAAZHJzL2Rvd25yZXYueG1sUEsBAhQAFAAAAAgAh07iQJg6&#10;dxkeAgAAWgQAAA4AAAAAAAAAAQAgAAAAKAEAAGRycy9lMm9Eb2MueG1sUEsFBgAAAAAGAAYAWQEA&#10;ALgFA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75648" behindDoc="0" locked="0" layoutInCell="1" allowOverlap="1">
                <wp:simplePos x="0" y="0"/>
                <wp:positionH relativeFrom="column">
                  <wp:posOffset>7506335</wp:posOffset>
                </wp:positionH>
                <wp:positionV relativeFrom="paragraph">
                  <wp:posOffset>3634740</wp:posOffset>
                </wp:positionV>
                <wp:extent cx="1123950" cy="260350"/>
                <wp:effectExtent l="4445" t="4445" r="14605" b="20955"/>
                <wp:wrapNone/>
                <wp:docPr id="297" name="文本框 297"/>
                <wp:cNvGraphicFramePr/>
                <a:graphic xmlns:a="http://schemas.openxmlformats.org/drawingml/2006/main">
                  <a:graphicData uri="http://schemas.microsoft.com/office/word/2010/wordprocessingShape">
                    <wps:wsp>
                      <wps:cNvSpPr txBox="1"/>
                      <wps:spPr>
                        <a:xfrm>
                          <a:off x="0" y="0"/>
                          <a:ext cx="1123950" cy="260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1418DE">
                            <w:pPr>
                              <w:rPr>
                                <w:rFonts w:hint="eastAsia" w:eastAsia="宋体"/>
                                <w:lang w:eastAsia="zh-CN"/>
                              </w:rPr>
                            </w:pPr>
                            <w:r>
                              <w:rPr>
                                <w:rFonts w:hint="eastAsia"/>
                                <w:lang w:eastAsia="zh-CN"/>
                              </w:rPr>
                              <w:t>地表水监测点位</w:t>
                            </w:r>
                          </w:p>
                        </w:txbxContent>
                      </wps:txbx>
                      <wps:bodyPr upright="1"/>
                    </wps:wsp>
                  </a:graphicData>
                </a:graphic>
              </wp:anchor>
            </w:drawing>
          </mc:Choice>
          <mc:Fallback>
            <w:pict>
              <v:shape id="_x0000_s1026" o:spid="_x0000_s1026" o:spt="202" type="#_x0000_t202" style="position:absolute;left:0pt;margin-left:591.05pt;margin-top:286.2pt;height:20.5pt;width:88.5pt;z-index:251675648;mso-width-relative:page;mso-height-relative:page;" fillcolor="#FFFFFF" filled="t" stroked="t" coordsize="21600,21600" o:gfxdata="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H/xI+2wAAAA0BAAAPAAAAAAAAAAEA&#10;IAAAACIAAABkcnMvZG93bnJldi54bWxQSwECFAAUAAAACACHTuJA1nx9hQwCAAA6BAAADgAAAAAA&#10;AAABACAAAAAqAQAAZHJzL2Uyb0RvYy54bWxQSwUGAAAAAAYABgBZAQAAqAUAAAAA&#10;">
                <v:fill on="t" focussize="0,0"/>
                <v:stroke color="#000000" joinstyle="miter"/>
                <v:imagedata o:title=""/>
                <o:lock v:ext="edit" aspectratio="f"/>
                <v:textbox>
                  <w:txbxContent>
                    <w:p w14:paraId="7F1418DE">
                      <w:pPr>
                        <w:rPr>
                          <w:rFonts w:hint="eastAsia" w:eastAsia="宋体"/>
                          <w:lang w:eastAsia="zh-CN"/>
                        </w:rPr>
                      </w:pPr>
                      <w:r>
                        <w:rPr>
                          <w:rFonts w:hint="eastAsia"/>
                          <w:lang w:eastAsia="zh-CN"/>
                        </w:rPr>
                        <w:t>地表水监测点位</w:t>
                      </w:r>
                    </w:p>
                  </w:txbxContent>
                </v:textbox>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1008" behindDoc="0" locked="0" layoutInCell="1" allowOverlap="1">
                <wp:simplePos x="0" y="0"/>
                <wp:positionH relativeFrom="column">
                  <wp:posOffset>7323455</wp:posOffset>
                </wp:positionH>
                <wp:positionV relativeFrom="paragraph">
                  <wp:posOffset>3694430</wp:posOffset>
                </wp:positionV>
                <wp:extent cx="107950" cy="107950"/>
                <wp:effectExtent l="4445" t="4445" r="20955" b="20955"/>
                <wp:wrapNone/>
                <wp:docPr id="298" name="椭圆 29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76.65pt;margin-top:290.9pt;height:8.5pt;width:8.5pt;z-index:251691008;mso-width-relative:page;mso-height-relative:page;" fillcolor="#000000 [3213]" filled="t" stroked="t" coordsize="21600,21600" o:gfxdata="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eWyRG2gAAAA0BAAAPAAAAAAAAAAEAIAAAACIAAABkcnMvZG93bnJldi54bWxQ&#10;SwECFAAUAAAACACHTuJAXy5Y1vUBAAAaBAAADgAAAAAAAAABACAAAAApAQAAZHJzL2Uyb0RvYy54&#10;bWxQSwUGAAAAAAYABgBZAQAAkA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2816" behindDoc="0" locked="0" layoutInCell="1" allowOverlap="1">
                <wp:simplePos x="0" y="0"/>
                <wp:positionH relativeFrom="column">
                  <wp:posOffset>7469505</wp:posOffset>
                </wp:positionH>
                <wp:positionV relativeFrom="paragraph">
                  <wp:posOffset>3286760</wp:posOffset>
                </wp:positionV>
                <wp:extent cx="1123950" cy="277495"/>
                <wp:effectExtent l="4445" t="4445" r="14605" b="22860"/>
                <wp:wrapNone/>
                <wp:docPr id="299" name="文本框 299"/>
                <wp:cNvGraphicFramePr/>
                <a:graphic xmlns:a="http://schemas.openxmlformats.org/drawingml/2006/main">
                  <a:graphicData uri="http://schemas.microsoft.com/office/word/2010/wordprocessingShape">
                    <wps:wsp>
                      <wps:cNvSpPr txBox="1"/>
                      <wps:spPr>
                        <a:xfrm>
                          <a:off x="0" y="0"/>
                          <a:ext cx="1123950" cy="277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619048">
                            <w:pPr>
                              <w:rPr>
                                <w:rFonts w:hint="eastAsia" w:eastAsia="宋体"/>
                                <w:lang w:eastAsia="zh-CN"/>
                              </w:rPr>
                            </w:pPr>
                            <w:r>
                              <w:rPr>
                                <w:rFonts w:hint="eastAsia"/>
                                <w:lang w:eastAsia="zh-CN"/>
                              </w:rPr>
                              <w:t>地下水监测点位</w:t>
                            </w:r>
                          </w:p>
                        </w:txbxContent>
                      </wps:txbx>
                      <wps:bodyPr upright="1"/>
                    </wps:wsp>
                  </a:graphicData>
                </a:graphic>
              </wp:anchor>
            </w:drawing>
          </mc:Choice>
          <mc:Fallback>
            <w:pict>
              <v:shape id="_x0000_s1026" o:spid="_x0000_s1026" o:spt="202" type="#_x0000_t202" style="position:absolute;left:0pt;margin-left:588.15pt;margin-top:258.8pt;height:21.85pt;width:88.5pt;z-index:251682816;mso-width-relative:page;mso-height-relative:page;" fillcolor="#FFFFFF" filled="t" stroked="t" coordsize="21600,21600" o:gfxdata="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hK4INkAAAANAQAADwAAAAAAAAABACAA&#10;AAAiAAAAZHJzL2Rvd25yZXYueG1sUEsBAhQAFAAAAAgAh07iQM7YTe4MAgAAOgQAAA4AAAAAAAAA&#10;AQAgAAAAKAEAAGRycy9lMm9Eb2MueG1sUEsFBgAAAAAGAAYAWQEAAKYFAAAAAA==&#10;">
                <v:fill on="t" focussize="0,0"/>
                <v:stroke color="#000000" joinstyle="miter"/>
                <v:imagedata o:title=""/>
                <o:lock v:ext="edit" aspectratio="f"/>
                <v:textbox>
                  <w:txbxContent>
                    <w:p w14:paraId="11619048">
                      <w:pPr>
                        <w:rPr>
                          <w:rFonts w:hint="eastAsia" w:eastAsia="宋体"/>
                          <w:lang w:eastAsia="zh-CN"/>
                        </w:rPr>
                      </w:pPr>
                      <w:r>
                        <w:rPr>
                          <w:rFonts w:hint="eastAsia"/>
                          <w:lang w:eastAsia="zh-CN"/>
                        </w:rPr>
                        <w:t>地下水监测点位</w:t>
                      </w:r>
                    </w:p>
                  </w:txbxContent>
                </v:textbox>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1792" behindDoc="0" locked="0" layoutInCell="1" allowOverlap="1">
                <wp:simplePos x="0" y="0"/>
                <wp:positionH relativeFrom="column">
                  <wp:posOffset>7311390</wp:posOffset>
                </wp:positionH>
                <wp:positionV relativeFrom="paragraph">
                  <wp:posOffset>3396615</wp:posOffset>
                </wp:positionV>
                <wp:extent cx="107950" cy="107950"/>
                <wp:effectExtent l="4445" t="4445" r="20955" b="20955"/>
                <wp:wrapNone/>
                <wp:docPr id="300" name="椭圆 30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75.7pt;margin-top:267.45pt;height:8.5pt;width:8.5pt;z-index:251681792;mso-width-relative:page;mso-height-relative:page;" fillcolor="#00B0F0" filled="t" stroked="t" coordsize="21600,21600" o:gfxdata="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1xeINoAAAANAQAADwAAAAAAAAABACAAAAAiAAAAZHJzL2Rvd25yZXYueG1sUEsB&#10;AhQAFAAAAAgAh07iQCBB57jzAQAAGgQAAA4AAAAAAAAAAQAgAAAAKQ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42560" behindDoc="0" locked="0" layoutInCell="1" allowOverlap="1">
                <wp:simplePos x="0" y="0"/>
                <wp:positionH relativeFrom="column">
                  <wp:posOffset>5387340</wp:posOffset>
                </wp:positionH>
                <wp:positionV relativeFrom="paragraph">
                  <wp:posOffset>2881630</wp:posOffset>
                </wp:positionV>
                <wp:extent cx="107950" cy="107950"/>
                <wp:effectExtent l="7620" t="10795" r="17780" b="14605"/>
                <wp:wrapNone/>
                <wp:docPr id="332" name="等腰三角形 332"/>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24.2pt;margin-top:226.9pt;height:8.5pt;width:8.5pt;z-index:251842560;mso-width-relative:page;mso-height-relative:page;" fillcolor="#FFFF00" filled="t" stroked="t" coordsize="21600,21600" o:gfxdata="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n15uu1wAA&#10;AAsBAAAPAAAAAAAAAAEAIAAAACIAAABkcnMvZG93bnJldi54bWxQSwECFAAUAAAACACHTuJAK4dH&#10;Th8CAABaBAAADgAAAAAAAAABACAAAAAmAQAAZHJzL2Uyb0RvYy54bWxQSwUGAAAAAAYABgBZAQAA&#10;twU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41536" behindDoc="0" locked="0" layoutInCell="1" allowOverlap="1">
                <wp:simplePos x="0" y="0"/>
                <wp:positionH relativeFrom="column">
                  <wp:posOffset>5361305</wp:posOffset>
                </wp:positionH>
                <wp:positionV relativeFrom="paragraph">
                  <wp:posOffset>3020695</wp:posOffset>
                </wp:positionV>
                <wp:extent cx="107950" cy="107950"/>
                <wp:effectExtent l="7620" t="10795" r="17780" b="14605"/>
                <wp:wrapNone/>
                <wp:docPr id="333" name="等腰三角形 333"/>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22.15pt;margin-top:237.85pt;height:8.5pt;width:8.5pt;z-index:251841536;mso-width-relative:page;mso-height-relative:page;" fillcolor="#FF0000" filled="t" stroked="t" coordsize="21600,21600" o:gfxdata="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e95VvZ&#10;AAAACwEAAA8AAAAAAAAAAQAgAAAAIgAAAGRycy9kb3ducmV2LnhtbFBLAQIUABQAAAAIAIdO4kCT&#10;Uax2HwIAAFoEAAAOAAAAAAAAAAEAIAAAACgBAABkcnMvZTJvRG9jLnhtbFBLBQYAAAAABgAGAFkB&#10;AAC5BQ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40512" behindDoc="0" locked="0" layoutInCell="1" allowOverlap="1">
                <wp:simplePos x="0" y="0"/>
                <wp:positionH relativeFrom="column">
                  <wp:posOffset>5440045</wp:posOffset>
                </wp:positionH>
                <wp:positionV relativeFrom="paragraph">
                  <wp:posOffset>3179445</wp:posOffset>
                </wp:positionV>
                <wp:extent cx="107950" cy="107950"/>
                <wp:effectExtent l="4445" t="4445" r="20955" b="20955"/>
                <wp:wrapNone/>
                <wp:docPr id="334" name="椭圆 33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28.35pt;margin-top:250.35pt;height:8.5pt;width:8.5pt;z-index:251840512;mso-width-relative:page;mso-height-relative:page;" fillcolor="#00B0F0" filled="t" stroked="t" coordsize="21600,21600" o:gfxdata="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8MXJ+dkAAAALAQAADwAAAAAAAAABACAAAAAiAAAAZHJzL2Rvd25yZXYueG1sUEsB&#10;AhQAFAAAAAgAh07iQPa4l5/0AQAAGgQAAA4AAAAAAAAAAQAgAAAAKA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13888" behindDoc="0" locked="0" layoutInCell="1" allowOverlap="1">
                <wp:simplePos x="0" y="0"/>
                <wp:positionH relativeFrom="column">
                  <wp:posOffset>5762625</wp:posOffset>
                </wp:positionH>
                <wp:positionV relativeFrom="paragraph">
                  <wp:posOffset>2847975</wp:posOffset>
                </wp:positionV>
                <wp:extent cx="107950" cy="107950"/>
                <wp:effectExtent l="4445" t="4445" r="20955" b="20955"/>
                <wp:wrapNone/>
                <wp:docPr id="337" name="椭圆 33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53.75pt;margin-top:224.25pt;height:8.5pt;width:8.5pt;z-index:251813888;mso-width-relative:page;mso-height-relative:page;" fillcolor="#00B0F0" filled="t" stroked="t" coordsize="21600,21600" o:gfxdata="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wHUPraAAAACwEAAA8AAAAAAAAAAQAgAAAAIgAAAGRycy9kb3ducmV2LnhtbFBL&#10;AQIUABQAAAAIAIdO4kCChXNW9AEAABoEAAAOAAAAAAAAAAEAIAAAACkBAABkcnMvZTJvRG9jLnht&#10;bFBLBQYAAAAABgAGAFkBAACPBQ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12864" behindDoc="0" locked="0" layoutInCell="1" allowOverlap="1">
                <wp:simplePos x="0" y="0"/>
                <wp:positionH relativeFrom="column">
                  <wp:posOffset>5853430</wp:posOffset>
                </wp:positionH>
                <wp:positionV relativeFrom="paragraph">
                  <wp:posOffset>2851150</wp:posOffset>
                </wp:positionV>
                <wp:extent cx="107950" cy="107950"/>
                <wp:effectExtent l="7620" t="10795" r="17780" b="14605"/>
                <wp:wrapNone/>
                <wp:docPr id="339" name="等腰三角形 339"/>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60.9pt;margin-top:224.5pt;height:8.5pt;width:8.5pt;z-index:251812864;mso-width-relative:page;mso-height-relative:page;" fillcolor="#FF0000" filled="t" stroked="t" coordsize="21600,21600" o:gfxdata="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Vk0RxNgA&#10;AAALAQAADwAAAAAAAAABACAAAAAiAAAAZHJzL2Rvd25yZXYueG1sUEsBAhQAFAAAAAgAh07iQJ+v&#10;Y5MfAgAAWgQAAA4AAAAAAAAAAQAgAAAAJwEAAGRycy9lMm9Eb2MueG1sUEsFBgAAAAAGAAYAWQEA&#10;ALgF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10816" behindDoc="0" locked="0" layoutInCell="1" allowOverlap="1">
                <wp:simplePos x="0" y="0"/>
                <wp:positionH relativeFrom="column">
                  <wp:posOffset>5922010</wp:posOffset>
                </wp:positionH>
                <wp:positionV relativeFrom="paragraph">
                  <wp:posOffset>2914015</wp:posOffset>
                </wp:positionV>
                <wp:extent cx="107950" cy="107950"/>
                <wp:effectExtent l="7620" t="10795" r="17780" b="14605"/>
                <wp:wrapNone/>
                <wp:docPr id="340" name="等腰三角形 340"/>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66.3pt;margin-top:229.45pt;height:8.5pt;width:8.5pt;z-index:251810816;mso-width-relative:page;mso-height-relative:page;" fillcolor="#FFFF00" filled="t" stroked="t" coordsize="21600,21600" o:gfxdata="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fGc0vZ&#10;AAAACwEAAA8AAAAAAAAAAQAgAAAAIgAAAGRycy9kb3ducmV2LnhtbFBLAQIUABQAAAAIAIdO4kCz&#10;iwAn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9488" behindDoc="0" locked="0" layoutInCell="1" allowOverlap="1">
                <wp:simplePos x="0" y="0"/>
                <wp:positionH relativeFrom="column">
                  <wp:posOffset>5735320</wp:posOffset>
                </wp:positionH>
                <wp:positionV relativeFrom="paragraph">
                  <wp:posOffset>2983865</wp:posOffset>
                </wp:positionV>
                <wp:extent cx="104775" cy="114300"/>
                <wp:effectExtent l="4445" t="4445" r="5080" b="14605"/>
                <wp:wrapNone/>
                <wp:docPr id="341" name="椭圆 341"/>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51.6pt;margin-top:234.95pt;height:9pt;width:8.25pt;z-index:251839488;mso-width-relative:page;mso-height-relative:page;" fillcolor="#000000 [3213]" filled="t" stroked="t" coordsize="21600,21600" o:gfxdata="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xB7WDbAAAACwEAAA8AAAAAAAAAAQAgAAAAIgAAAGRycy9kb3ducmV2&#10;LnhtbFBLAQIUABQAAAAIAIdO4kAl1Sry+QEAABoEAAAOAAAAAAAAAAEAIAAAACoBAABkcnMvZTJv&#10;RG9jLnhtbFBLBQYAAAAABgAGAFkBAACVBQ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8464" behindDoc="0" locked="0" layoutInCell="1" allowOverlap="1">
                <wp:simplePos x="0" y="0"/>
                <wp:positionH relativeFrom="column">
                  <wp:posOffset>5497195</wp:posOffset>
                </wp:positionH>
                <wp:positionV relativeFrom="paragraph">
                  <wp:posOffset>2997200</wp:posOffset>
                </wp:positionV>
                <wp:extent cx="104775" cy="114300"/>
                <wp:effectExtent l="4445" t="4445" r="5080" b="14605"/>
                <wp:wrapNone/>
                <wp:docPr id="342" name="椭圆 34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32.85pt;margin-top:236pt;height:9pt;width:8.25pt;z-index:251838464;mso-width-relative:page;mso-height-relative:page;" fillcolor="#000000 [3213]" filled="t" stroked="t" coordsize="21600,21600" o:gfxdata="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QiyTb2wAAAAsBAAAPAAAAAAAAAAEAIAAAACIAAABkcnMvZG93bnJl&#10;di54bWxQSwECFAAUAAAACACHTuJAUejOO/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4368" behindDoc="0" locked="0" layoutInCell="1" allowOverlap="1">
                <wp:simplePos x="0" y="0"/>
                <wp:positionH relativeFrom="column">
                  <wp:posOffset>6620510</wp:posOffset>
                </wp:positionH>
                <wp:positionV relativeFrom="paragraph">
                  <wp:posOffset>2244725</wp:posOffset>
                </wp:positionV>
                <wp:extent cx="107950" cy="107950"/>
                <wp:effectExtent l="7620" t="10795" r="17780" b="14605"/>
                <wp:wrapNone/>
                <wp:docPr id="345" name="等腰三角形 345"/>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21.3pt;margin-top:176.75pt;height:8.5pt;width:8.5pt;z-index:251834368;mso-width-relative:page;mso-height-relative:page;" fillcolor="#FFFF00" filled="t" stroked="t" coordsize="21600,21600" o:gfxdata="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qcHZjZ&#10;AAAADQEAAA8AAAAAAAAAAQAgAAAAIgAAAGRycy9kb3ducmV2LnhtbFBLAQIUABQAAAAIAIdO4kC1&#10;dOdV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6416" behindDoc="0" locked="0" layoutInCell="1" allowOverlap="1">
                <wp:simplePos x="0" y="0"/>
                <wp:positionH relativeFrom="column">
                  <wp:posOffset>6766560</wp:posOffset>
                </wp:positionH>
                <wp:positionV relativeFrom="paragraph">
                  <wp:posOffset>2042795</wp:posOffset>
                </wp:positionV>
                <wp:extent cx="107950" cy="107950"/>
                <wp:effectExtent l="4445" t="4445" r="20955" b="20955"/>
                <wp:wrapNone/>
                <wp:docPr id="348" name="椭圆 34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32.8pt;margin-top:160.85pt;height:8.5pt;width:8.5pt;z-index:251836416;mso-width-relative:page;mso-height-relative:page;" fillcolor="#00B0F0" filled="t" stroked="t" coordsize="21600,21600" o:gfxdata="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qIG7H2QAAAA0BAAAPAAAAAAAAAAEAIAAAACIAAABkcnMvZG93bnJldi54bWxQSwEC&#10;FAAUAAAACACHTuJAoy7oJfMBAAAaBAAADgAAAAAAAAABACAAAAAoAQAAZHJzL2Uyb0RvYy54bWxQ&#10;SwUGAAAAAAYABgBZAQAAjQU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5392" behindDoc="0" locked="0" layoutInCell="1" allowOverlap="1">
                <wp:simplePos x="0" y="0"/>
                <wp:positionH relativeFrom="column">
                  <wp:posOffset>6626225</wp:posOffset>
                </wp:positionH>
                <wp:positionV relativeFrom="paragraph">
                  <wp:posOffset>2073275</wp:posOffset>
                </wp:positionV>
                <wp:extent cx="107950" cy="107950"/>
                <wp:effectExtent l="7620" t="10795" r="17780" b="14605"/>
                <wp:wrapNone/>
                <wp:docPr id="351" name="等腰三角形 351"/>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21.75pt;margin-top:163.25pt;height:8.5pt;width:8.5pt;z-index:251835392;mso-width-relative:page;mso-height-relative:page;" fillcolor="#FF0000" filled="t" stroked="t" coordsize="21600,21600" o:gfxdata="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zQKjNYAAAAN&#10;AQAADwAAAAAAAAABACAAAAAiAAAAZHJzL2Rvd25yZXYueG1sUEsBAhQAFAAAAAgAh07iQNy29EUe&#10;AgAAWgQAAA4AAAAAAAAAAQAgAAAAJQEAAGRycy9lMm9Eb2MueG1sUEsFBgAAAAAGAAYAWQEAALUF&#10;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3648" behindDoc="0" locked="0" layoutInCell="1" allowOverlap="1">
                <wp:simplePos x="0" y="0"/>
                <wp:positionH relativeFrom="column">
                  <wp:posOffset>7350125</wp:posOffset>
                </wp:positionH>
                <wp:positionV relativeFrom="paragraph">
                  <wp:posOffset>1293495</wp:posOffset>
                </wp:positionV>
                <wp:extent cx="107950" cy="107950"/>
                <wp:effectExtent l="7620" t="10795" r="17780" b="14605"/>
                <wp:wrapNone/>
                <wp:docPr id="354" name="等腰三角形 354"/>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78.75pt;margin-top:101.85pt;height:8.5pt;width:8.5pt;z-index:251803648;mso-width-relative:page;mso-height-relative:page;" fillcolor="#FFFF00" filled="t" stroked="t" coordsize="21600,21600" o:gfxdata="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LmybTZ&#10;AAAADQEAAA8AAAAAAAAAAQAgAAAAIgAAAGRycy9kb3ducmV2LnhtbFBLAQIUABQAAAAIAIdO4kCc&#10;U8wV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5696" behindDoc="0" locked="0" layoutInCell="1" allowOverlap="1">
                <wp:simplePos x="0" y="0"/>
                <wp:positionH relativeFrom="column">
                  <wp:posOffset>7282815</wp:posOffset>
                </wp:positionH>
                <wp:positionV relativeFrom="paragraph">
                  <wp:posOffset>1504315</wp:posOffset>
                </wp:positionV>
                <wp:extent cx="107950" cy="107950"/>
                <wp:effectExtent l="4445" t="4445" r="20955" b="20955"/>
                <wp:wrapNone/>
                <wp:docPr id="355" name="椭圆 35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73.45pt;margin-top:118.45pt;height:8.5pt;width:8.5pt;z-index:251805696;mso-width-relative:page;mso-height-relative:page;" fillcolor="#00B0F0" filled="t" stroked="t" coordsize="21600,21600" o:gfxdata="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9rPDPYAAAADQEAAA8AAAAAAAAAAQAgAAAAIgAAAGRycy9kb3ducmV2LnhtbFBLAQIU&#10;ABQAAAAIAIdO4kDV81nB8wEAABoEAAAOAAAAAAAAAAEAIAAAACcBAABkcnMvZTJvRG9jLnhtbFBL&#10;BQYAAAAABgAGAFkBAACMBQ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4672" behindDoc="0" locked="0" layoutInCell="1" allowOverlap="1">
                <wp:simplePos x="0" y="0"/>
                <wp:positionH relativeFrom="column">
                  <wp:posOffset>7237095</wp:posOffset>
                </wp:positionH>
                <wp:positionV relativeFrom="paragraph">
                  <wp:posOffset>1363345</wp:posOffset>
                </wp:positionV>
                <wp:extent cx="107950" cy="107950"/>
                <wp:effectExtent l="7620" t="10795" r="17780" b="14605"/>
                <wp:wrapNone/>
                <wp:docPr id="356" name="等腰三角形 356"/>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69.85pt;margin-top:107.35pt;height:8.5pt;width:8.5pt;z-index:251804672;mso-width-relative:page;mso-height-relative:page;" fillcolor="#FF0000" filled="t" stroked="t" coordsize="21600,21600" o:gfxdata="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f/weCtgA&#10;AAANAQAADwAAAAAAAAABACAAAAAiAAAAZHJzL2Rvd25yZXYueG1sUEsBAhQAFAAAAAgAh07iQCbQ&#10;egMfAgAAWgQAAA4AAAAAAAAAAQAgAAAAJwEAAGRycy9lMm9Eb2MueG1sUEsFBgAAAAAGAAYAWQEA&#10;ALgF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7440" behindDoc="0" locked="0" layoutInCell="1" allowOverlap="1">
                <wp:simplePos x="0" y="0"/>
                <wp:positionH relativeFrom="column">
                  <wp:posOffset>7487285</wp:posOffset>
                </wp:positionH>
                <wp:positionV relativeFrom="paragraph">
                  <wp:posOffset>1063625</wp:posOffset>
                </wp:positionV>
                <wp:extent cx="104775" cy="114300"/>
                <wp:effectExtent l="4445" t="4445" r="5080" b="14605"/>
                <wp:wrapNone/>
                <wp:docPr id="357" name="椭圆 357"/>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89.55pt;margin-top:83.75pt;height:9pt;width:8.25pt;z-index:251837440;mso-width-relative:page;mso-height-relative:page;" fillcolor="#000000 [3213]" filled="t" stroked="t" coordsize="21600,21600" o:gfxdata="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qpxz42wAAAA0BAAAPAAAAAAAAAAEAIAAAACIAAABkcnMvZG93bnJl&#10;di54bWxQSwECFAAUAAAACACHTuJAu2TcPv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7744" behindDoc="0" locked="0" layoutInCell="1" allowOverlap="1">
                <wp:simplePos x="0" y="0"/>
                <wp:positionH relativeFrom="column">
                  <wp:posOffset>6043295</wp:posOffset>
                </wp:positionH>
                <wp:positionV relativeFrom="paragraph">
                  <wp:posOffset>1475740</wp:posOffset>
                </wp:positionV>
                <wp:extent cx="104775" cy="114300"/>
                <wp:effectExtent l="4445" t="4445" r="5080" b="14605"/>
                <wp:wrapNone/>
                <wp:docPr id="358" name="椭圆 358"/>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75.85pt;margin-top:116.2pt;height:9pt;width:8.25pt;z-index:251807744;mso-width-relative:page;mso-height-relative:page;" fillcolor="#000000 [3213]" filled="t" stroked="t" coordsize="21600,21600" o:gfxdata="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dNNbN2wAAAAsBAAAPAAAAAAAAAAEAIAAAACIAAABkcnMvZG93bnJl&#10;di54bWxQSwECFAAUAAAACACHTuJAnaBKZv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9792" behindDoc="0" locked="0" layoutInCell="1" allowOverlap="1">
                <wp:simplePos x="0" y="0"/>
                <wp:positionH relativeFrom="column">
                  <wp:posOffset>5901055</wp:posOffset>
                </wp:positionH>
                <wp:positionV relativeFrom="paragraph">
                  <wp:posOffset>1204595</wp:posOffset>
                </wp:positionV>
                <wp:extent cx="107950" cy="107950"/>
                <wp:effectExtent l="7620" t="10795" r="17780" b="14605"/>
                <wp:wrapNone/>
                <wp:docPr id="359" name="等腰三角形 359"/>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64.65pt;margin-top:94.85pt;height:8.5pt;width:8.5pt;z-index:251809792;mso-width-relative:page;mso-height-relative:page;" fillcolor="#FF0000" filled="t" stroked="t" coordsize="21600,21600" o:gfxdata="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smqgnZ&#10;AAAACwEAAA8AAAAAAAAAAQAgAAAAIgAAAGRycy9kb3ducmV2LnhtbFBLAQIUABQAAAAIAIdO4kAs&#10;0VKUHwIAAFoEAAAOAAAAAAAAAAEAIAAAACgBAABkcnMvZTJvRG9jLnhtbFBLBQYAAAAABgAGAFkB&#10;AAC5BQ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11840" behindDoc="0" locked="0" layoutInCell="1" allowOverlap="1">
                <wp:simplePos x="0" y="0"/>
                <wp:positionH relativeFrom="column">
                  <wp:posOffset>5749290</wp:posOffset>
                </wp:positionH>
                <wp:positionV relativeFrom="paragraph">
                  <wp:posOffset>1304290</wp:posOffset>
                </wp:positionV>
                <wp:extent cx="107950" cy="107950"/>
                <wp:effectExtent l="4445" t="4445" r="20955" b="20955"/>
                <wp:wrapNone/>
                <wp:docPr id="360" name="椭圆 36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52.7pt;margin-top:102.7pt;height:8.5pt;width:8.5pt;z-index:251811840;mso-width-relative:page;mso-height-relative:page;" fillcolor="#00B0F0" filled="t" stroked="t" coordsize="21600,21600" o:gfxdata="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HuUxNcAAAALAQAADwAAAAAAAAABACAAAAAiAAAAZHJzL2Rvd25yZXYueG1sUEsBAhQA&#10;FAAAAAgAh07iQBDjpRfzAQAAGgQAAA4AAAAAAAAAAQAgAAAAJgEAAGRycy9lMm9Eb2MueG1sUEsF&#10;BgAAAAAGAAYAWQEAAIs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8768" behindDoc="0" locked="0" layoutInCell="1" allowOverlap="1">
                <wp:simplePos x="0" y="0"/>
                <wp:positionH relativeFrom="column">
                  <wp:posOffset>5888355</wp:posOffset>
                </wp:positionH>
                <wp:positionV relativeFrom="paragraph">
                  <wp:posOffset>1335405</wp:posOffset>
                </wp:positionV>
                <wp:extent cx="107950" cy="107950"/>
                <wp:effectExtent l="7620" t="10795" r="17780" b="14605"/>
                <wp:wrapNone/>
                <wp:docPr id="361" name="等腰三角形 361"/>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63.65pt;margin-top:105.15pt;height:8.5pt;width:8.5pt;z-index:251808768;mso-width-relative:page;mso-height-relative:page;" fillcolor="#FFFF00" filled="t" stroked="t" coordsize="21600,21600" o:gfxdata="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0CBTq1wAA&#10;AAsBAAAPAAAAAAAAAAEAIAAAACIAAABkcnMvZG93bnJldi54bWxQSwECFAAUAAAACACHTuJA45AL&#10;iR8CAABaBAAADgAAAAAAAAABACAAAAAmAQAAZHJzL2Uyb0RvYy54bWxQSwUGAAAAAAYABgBZAQAA&#10;twU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3344" behindDoc="0" locked="0" layoutInCell="1" allowOverlap="1">
                <wp:simplePos x="0" y="0"/>
                <wp:positionH relativeFrom="column">
                  <wp:posOffset>5503545</wp:posOffset>
                </wp:positionH>
                <wp:positionV relativeFrom="paragraph">
                  <wp:posOffset>1724660</wp:posOffset>
                </wp:positionV>
                <wp:extent cx="104775" cy="114300"/>
                <wp:effectExtent l="4445" t="4445" r="5080" b="14605"/>
                <wp:wrapNone/>
                <wp:docPr id="362" name="椭圆 36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33.35pt;margin-top:135.8pt;height:9pt;width:8.25pt;z-index:251833344;mso-width-relative:page;mso-height-relative:page;" fillcolor="#000000 [3213]" filled="t" stroked="t" coordsize="21600,21600" o:gfxdata="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vsCfbAAAACwEAAA8AAAAAAAAAAQAgAAAAIgAAAGRycy9kb3ducmV2&#10;LnhtbFBLAQIUABQAAAAIAIdO4kB+dCDo+QEAABoEAAAOAAAAAAAAAAEAIAAAACoBAABkcnMvZTJv&#10;RG9jLnhtbFBLBQYAAAAABgAGAFkBAACVBQ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8960" behindDoc="0" locked="0" layoutInCell="1" allowOverlap="1">
                <wp:simplePos x="0" y="0"/>
                <wp:positionH relativeFrom="column">
                  <wp:posOffset>4766310</wp:posOffset>
                </wp:positionH>
                <wp:positionV relativeFrom="paragraph">
                  <wp:posOffset>2436495</wp:posOffset>
                </wp:positionV>
                <wp:extent cx="104775" cy="114300"/>
                <wp:effectExtent l="4445" t="4445" r="5080" b="14605"/>
                <wp:wrapNone/>
                <wp:docPr id="363" name="椭圆 363"/>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75.3pt;margin-top:191.85pt;height:9pt;width:8.25pt;z-index:251688960;mso-width-relative:page;mso-height-relative:page;" fillcolor="#000000 [3213]" filled="t" stroked="t" coordsize="21600,21600" o:gfxdata="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0o7Zr2wAAAAsBAAAPAAAAAAAAAAEAIAAAACIAAABkcnMvZG93bnJl&#10;di54bWxQSwECFAAUAAAACACHTuJAbZ2sGf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7152" behindDoc="0" locked="0" layoutInCell="1" allowOverlap="1">
                <wp:simplePos x="0" y="0"/>
                <wp:positionH relativeFrom="column">
                  <wp:posOffset>8096250</wp:posOffset>
                </wp:positionH>
                <wp:positionV relativeFrom="paragraph">
                  <wp:posOffset>1347470</wp:posOffset>
                </wp:positionV>
                <wp:extent cx="107950" cy="107950"/>
                <wp:effectExtent l="4445" t="4445" r="20955" b="20955"/>
                <wp:wrapNone/>
                <wp:docPr id="364" name="椭圆 36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637.5pt;margin-top:106.1pt;height:8.5pt;width:8.5pt;z-index:251697152;mso-width-relative:page;mso-height-relative:page;" fillcolor="#00B0F0" filled="t" stroked="t" coordsize="21600,21600" o:gfxdata="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hWRgfXAAAADQEAAA8AAAAAAAAAAQAgAAAAIgAAAGRycy9kb3ducmV2LnhtbFBLAQIU&#10;ABQAAAAIAIdO4kDeS3Rn9AEAABoEAAAOAAAAAAAAAAEAIAAAACYBAABkcnMvZTJvRG9jLnhtbFBL&#10;BQYAAAAABgAGAFkBAACMBQ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9984" behindDoc="0" locked="0" layoutInCell="1" allowOverlap="1">
                <wp:simplePos x="0" y="0"/>
                <wp:positionH relativeFrom="column">
                  <wp:posOffset>8048625</wp:posOffset>
                </wp:positionH>
                <wp:positionV relativeFrom="paragraph">
                  <wp:posOffset>1716405</wp:posOffset>
                </wp:positionV>
                <wp:extent cx="104775" cy="114300"/>
                <wp:effectExtent l="4445" t="4445" r="5080" b="14605"/>
                <wp:wrapNone/>
                <wp:docPr id="365" name="椭圆 365"/>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633.75pt;margin-top:135.15pt;height:9pt;width:8.25pt;z-index:251689984;mso-width-relative:page;mso-height-relative:page;" fillcolor="#000000 [3213]" filled="t" stroked="t" coordsize="21600,21600" o:gfxdata="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05vFvbAAAADQEAAA8AAAAAAAAAAQAgAAAAIgAAAGRycy9kb3ducmV2&#10;LnhtbFBLAQIUABQAAAAIAIdO4kDE4RVR+QEAABoEAAAOAAAAAAAAAAEAIAAAACoBAABkcnMvZTJv&#10;RG9jLnhtbFBLBQYAAAAABgAGAFkBAACVBQ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7392" behindDoc="0" locked="0" layoutInCell="1" allowOverlap="1">
                <wp:simplePos x="0" y="0"/>
                <wp:positionH relativeFrom="column">
                  <wp:posOffset>8199120</wp:posOffset>
                </wp:positionH>
                <wp:positionV relativeFrom="paragraph">
                  <wp:posOffset>1236345</wp:posOffset>
                </wp:positionV>
                <wp:extent cx="107950" cy="107950"/>
                <wp:effectExtent l="7620" t="10795" r="17780" b="14605"/>
                <wp:wrapNone/>
                <wp:docPr id="366" name="等腰三角形 366"/>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645.6pt;margin-top:97.35pt;height:8.5pt;width:8.5pt;z-index:251707392;mso-width-relative:page;mso-height-relative:page;" fillcolor="#FF0000" filled="t" stroked="t" coordsize="21600,21600" o:gfxdata="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0wBY3Z&#10;AAAADQEAAA8AAAAAAAAAAQAgAAAAIgAAAGRycy9kb3ducmV2LnhtbFBLAQIUABQAAAAIAIdO4kBf&#10;7FrtHwIAAFoEAAAOAAAAAAAAAAEAIAAAACgBAABkcnMvZTJvRG9jLnhtbFBLBQYAAAAABgAGAFkB&#10;AAC5BQ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8176" behindDoc="0" locked="0" layoutInCell="1" allowOverlap="1">
                <wp:simplePos x="0" y="0"/>
                <wp:positionH relativeFrom="column">
                  <wp:posOffset>8097520</wp:posOffset>
                </wp:positionH>
                <wp:positionV relativeFrom="paragraph">
                  <wp:posOffset>1245235</wp:posOffset>
                </wp:positionV>
                <wp:extent cx="107950" cy="107950"/>
                <wp:effectExtent l="7620" t="10795" r="17780" b="14605"/>
                <wp:wrapNone/>
                <wp:docPr id="367" name="等腰三角形 367"/>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637.6pt;margin-top:98.05pt;height:8.5pt;width:8.5pt;z-index:251698176;mso-width-relative:page;mso-height-relative:page;" fillcolor="#FFFF00" filled="t" stroked="t" coordsize="21600,21600" o:gfxdata="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9wOuTZ&#10;AAAADQEAAA8AAAAAAAAAAQAgAAAAIgAAAGRycy9kb3ducmV2LnhtbFBLAQIUABQAAAAIAIdO4kDn&#10;OrHV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9440" behindDoc="0" locked="0" layoutInCell="1" allowOverlap="1">
                <wp:simplePos x="0" y="0"/>
                <wp:positionH relativeFrom="column">
                  <wp:posOffset>5045075</wp:posOffset>
                </wp:positionH>
                <wp:positionV relativeFrom="paragraph">
                  <wp:posOffset>2036445</wp:posOffset>
                </wp:positionV>
                <wp:extent cx="107950" cy="107950"/>
                <wp:effectExtent l="7620" t="10795" r="17780" b="14605"/>
                <wp:wrapNone/>
                <wp:docPr id="368" name="等腰三角形 368"/>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97.25pt;margin-top:160.35pt;height:8.5pt;width:8.5pt;z-index:251709440;mso-width-relative:page;mso-height-relative:page;" fillcolor="#FF0000" filled="t" stroked="t" coordsize="21600,21600" o:gfxdata="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OAGetkA&#10;AAALAQAADwAAAAAAAAABACAAAAAiAAAAZHJzL2Rvd25yZXYueG1sUEsBAhQAFAAAAAgAh07iQKsh&#10;RmAeAgAAWgQAAA4AAAAAAAAAAQAgAAAAKAEAAGRycy9lMm9Eb2MueG1sUEsFBgAAAAAGAAYAWQEA&#10;ALgF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2272" behindDoc="0" locked="0" layoutInCell="1" allowOverlap="1">
                <wp:simplePos x="0" y="0"/>
                <wp:positionH relativeFrom="column">
                  <wp:posOffset>4991100</wp:posOffset>
                </wp:positionH>
                <wp:positionV relativeFrom="paragraph">
                  <wp:posOffset>1941830</wp:posOffset>
                </wp:positionV>
                <wp:extent cx="107950" cy="107950"/>
                <wp:effectExtent l="7620" t="10795" r="17780" b="14605"/>
                <wp:wrapNone/>
                <wp:docPr id="369" name="等腰三角形 369"/>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93pt;margin-top:152.9pt;height:8.5pt;width:8.5pt;z-index:251702272;mso-width-relative:page;mso-height-relative:page;" fillcolor="#FFFF00" filled="t" stroked="t" coordsize="21600,21600" o:gfxdata="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tvEUtgA&#10;AAALAQAADwAAAAAAAAABACAAAAAiAAAAZHJzL2Rvd25yZXYueG1sUEsBAhQAFAAAAAgAh07iQBP3&#10;rVgfAgAAWgQAAA4AAAAAAAAAAQAgAAAAJwEAAGRycy9lMm9Eb2MueG1sUEsFBgAAAAAGAAYAWQEA&#10;ALgFA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3296" behindDoc="0" locked="0" layoutInCell="1" allowOverlap="1">
                <wp:simplePos x="0" y="0"/>
                <wp:positionH relativeFrom="column">
                  <wp:posOffset>4915535</wp:posOffset>
                </wp:positionH>
                <wp:positionV relativeFrom="paragraph">
                  <wp:posOffset>3388995</wp:posOffset>
                </wp:positionV>
                <wp:extent cx="107950" cy="107950"/>
                <wp:effectExtent l="7620" t="10795" r="17780" b="14605"/>
                <wp:wrapNone/>
                <wp:docPr id="370" name="等腰三角形 370"/>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87.05pt;margin-top:266.85pt;height:8.5pt;width:8.5pt;z-index:251703296;mso-width-relative:page;mso-height-relative:page;" fillcolor="#FFFF00" filled="t" stroked="t" coordsize="21600,21600" o:gfxdata="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tb0YLZ&#10;AAAACwEAAA8AAAAAAAAAAQAgAAAAIgAAAGRycy9kb3ducmV2LnhtbFBLAQIUABQAAAAIAIdO4kDK&#10;tyDJ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72576" behindDoc="0" locked="0" layoutInCell="1" allowOverlap="1">
                <wp:simplePos x="0" y="0"/>
                <wp:positionH relativeFrom="column">
                  <wp:posOffset>5008245</wp:posOffset>
                </wp:positionH>
                <wp:positionV relativeFrom="paragraph">
                  <wp:posOffset>2965450</wp:posOffset>
                </wp:positionV>
                <wp:extent cx="104775" cy="114300"/>
                <wp:effectExtent l="4445" t="4445" r="5080" b="14605"/>
                <wp:wrapNone/>
                <wp:docPr id="371" name="椭圆 371"/>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94.35pt;margin-top:233.5pt;height:9pt;width:8.25pt;z-index:251672576;mso-width-relative:page;mso-height-relative:page;" fillcolor="#000000 [3213]" filled="t" stroked="t" coordsize="21600,21600" o:gfxdata="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uxXE19oAAAALAQAADwAAAAAAAAABACAAAAAiAAAAZHJzL2Rvd25yZXYu&#10;eG1sUEsBAhQAFAAAAAgAh07iQD2Ei6X5AQAAGgQAAA4AAAAAAAAAAQAgAAAAKQEAAGRycy9lMm9E&#10;b2MueG1sUEsFBgAAAAAGAAYAWQEAAJQFA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4320" behindDoc="0" locked="0" layoutInCell="1" allowOverlap="1">
                <wp:simplePos x="0" y="0"/>
                <wp:positionH relativeFrom="column">
                  <wp:posOffset>4841875</wp:posOffset>
                </wp:positionH>
                <wp:positionV relativeFrom="paragraph">
                  <wp:posOffset>3147695</wp:posOffset>
                </wp:positionV>
                <wp:extent cx="107950" cy="107950"/>
                <wp:effectExtent l="7620" t="10795" r="17780" b="14605"/>
                <wp:wrapNone/>
                <wp:docPr id="372" name="等腰三角形 372"/>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81.25pt;margin-top:247.85pt;height:8.5pt;width:8.5pt;z-index:251704320;mso-width-relative:page;mso-height-relative:page;" fillcolor="#FF0000" filled="t" stroked="t" coordsize="21600,21600" o:gfxdata="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9bZnPZ&#10;AAAACwEAAA8AAAAAAAAAAQAgAAAAIgAAAGRycy9kb3ducmV2LnhtbFBLAQIUABQAAAAIAIdO4kBw&#10;NJbfHwIAAFoEAAAOAAAAAAAAAAEAIAAAACgBAABkcnMvZTJvRG9jLnhtbFBLBQYAAAAABgAGAFkB&#10;AAC5BQ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6128" behindDoc="0" locked="0" layoutInCell="1" allowOverlap="1">
                <wp:simplePos x="0" y="0"/>
                <wp:positionH relativeFrom="column">
                  <wp:posOffset>4831715</wp:posOffset>
                </wp:positionH>
                <wp:positionV relativeFrom="paragraph">
                  <wp:posOffset>3292475</wp:posOffset>
                </wp:positionV>
                <wp:extent cx="107950" cy="107950"/>
                <wp:effectExtent l="4445" t="4445" r="20955" b="20955"/>
                <wp:wrapNone/>
                <wp:docPr id="373" name="椭圆 37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80.45pt;margin-top:259.25pt;height:8.5pt;width:8.5pt;z-index:251696128;mso-width-relative:page;mso-height-relative:page;" fillcolor="#00B0F0" filled="t" stroked="t" coordsize="21600,21600" o:gfxdata="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x6pQtkAAAALAQAADwAAAAAAAAABACAAAAAiAAAAZHJzL2Rvd25yZXYueG1sUEsB&#10;AhQAFAAAAAgAh07iQFMTDlr0AQAAGgQAAA4AAAAAAAAAAQAgAAAAKA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9200" behindDoc="0" locked="0" layoutInCell="1" allowOverlap="1">
                <wp:simplePos x="0" y="0"/>
                <wp:positionH relativeFrom="column">
                  <wp:posOffset>3902075</wp:posOffset>
                </wp:positionH>
                <wp:positionV relativeFrom="paragraph">
                  <wp:posOffset>2664460</wp:posOffset>
                </wp:positionV>
                <wp:extent cx="107950" cy="107950"/>
                <wp:effectExtent l="7620" t="10795" r="17780" b="14605"/>
                <wp:wrapNone/>
                <wp:docPr id="374" name="等腰三角形 374"/>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07.25pt;margin-top:209.8pt;height:8.5pt;width:8.5pt;z-index:251699200;mso-width-relative:page;mso-height-relative:page;" fillcolor="#FFFF00" filled="t" stroked="t" coordsize="21600,21600" o:gfxdata="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1uOm9gA&#10;AAALAQAADwAAAAAAAAABACAAAAAiAAAAZHJzL2Rvd25yZXYueG1sUEsBAhQAFAAAAAgAh07iQDKE&#10;86EfAgAAWgQAAA4AAAAAAAAAAQAgAAAAJwEAAGRycy9lMm9Eb2MueG1sUEsFBgAAAAAGAAYAWQEA&#10;ALgFA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6912" behindDoc="0" locked="0" layoutInCell="1" allowOverlap="1">
                <wp:simplePos x="0" y="0"/>
                <wp:positionH relativeFrom="column">
                  <wp:posOffset>4204335</wp:posOffset>
                </wp:positionH>
                <wp:positionV relativeFrom="paragraph">
                  <wp:posOffset>2969260</wp:posOffset>
                </wp:positionV>
                <wp:extent cx="104775" cy="114300"/>
                <wp:effectExtent l="4445" t="4445" r="5080" b="14605"/>
                <wp:wrapNone/>
                <wp:docPr id="375" name="椭圆 375"/>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31.05pt;margin-top:233.8pt;height:9pt;width:8.25pt;z-index:251686912;mso-width-relative:page;mso-height-relative:page;" fillcolor="#000000 [3213]" filled="t" stroked="t" coordsize="21600,21600" o:gfxdata="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EzrRtoAAAALAQAADwAAAAAAAAABACAAAAAiAAAAZHJzL2Rvd25yZXYu&#10;eG1sUEsBAhQAFAAAAAgAh07iQPMsWtX5AQAAGgQAAA4AAAAAAAAAAQAgAAAAKQEAAGRycy9lMm9E&#10;b2MueG1sUEsFBgAAAAAGAAYAWQEAAJQFA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5104" behindDoc="0" locked="0" layoutInCell="1" allowOverlap="1">
                <wp:simplePos x="0" y="0"/>
                <wp:positionH relativeFrom="column">
                  <wp:posOffset>3658870</wp:posOffset>
                </wp:positionH>
                <wp:positionV relativeFrom="paragraph">
                  <wp:posOffset>2620010</wp:posOffset>
                </wp:positionV>
                <wp:extent cx="107950" cy="107950"/>
                <wp:effectExtent l="4445" t="4445" r="20955" b="20955"/>
                <wp:wrapNone/>
                <wp:docPr id="376" name="椭圆 37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88.1pt;margin-top:206.3pt;height:8.5pt;width:8.5pt;z-index:251695104;mso-width-relative:page;mso-height-relative:page;" fillcolor="#00B0F0" filled="t" stroked="t" coordsize="21600,21600" o:gfxdata="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RUYUNkAAAALAQAADwAAAAAAAAABACAAAAAiAAAAZHJzL2Rvd25yZXYueG1sUEsB&#10;AhQAFAAAAAgAh07iQI5SU9v0AQAAGgQAAA4AAAAAAAAAAQAgAAAAKA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32320" behindDoc="0" locked="0" layoutInCell="1" allowOverlap="1">
                <wp:simplePos x="0" y="0"/>
                <wp:positionH relativeFrom="column">
                  <wp:posOffset>2200275</wp:posOffset>
                </wp:positionH>
                <wp:positionV relativeFrom="paragraph">
                  <wp:posOffset>3330575</wp:posOffset>
                </wp:positionV>
                <wp:extent cx="107950" cy="107950"/>
                <wp:effectExtent l="7620" t="10795" r="17780" b="14605"/>
                <wp:wrapNone/>
                <wp:docPr id="377" name="等腰三角形 377"/>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73.25pt;margin-top:262.25pt;height:8.5pt;width:8.5pt;z-index:251832320;mso-width-relative:page;mso-height-relative:page;" fillcolor="#FF0000" filled="t" stroked="t" coordsize="21600,21600" o:gfxdata="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r+hsLdgA&#10;AAALAQAADwAAAAAAAAABACAAAAAiAAAAZHJzL2Rvd25yZXYueG1sUEsBAhQAFAAAAAgAh07iQHbL&#10;ca0fAgAAWgQAAA4AAAAAAAAAAQAgAAAAJwEAAGRycy9lMm9Eb2MueG1sUEsFBgAAAAAGAAYAWQEA&#10;ALgF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2032" behindDoc="0" locked="0" layoutInCell="1" allowOverlap="1">
                <wp:simplePos x="0" y="0"/>
                <wp:positionH relativeFrom="column">
                  <wp:posOffset>2647950</wp:posOffset>
                </wp:positionH>
                <wp:positionV relativeFrom="paragraph">
                  <wp:posOffset>2708275</wp:posOffset>
                </wp:positionV>
                <wp:extent cx="107950" cy="107950"/>
                <wp:effectExtent l="4445" t="4445" r="20955" b="20955"/>
                <wp:wrapNone/>
                <wp:docPr id="378" name="椭圆 37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08.5pt;margin-top:213.25pt;height:8.5pt;width:8.5pt;z-index:251692032;mso-width-relative:page;mso-height-relative:page;" fillcolor="#00B0F0" filled="t" stroked="t" coordsize="21600,21600" o:gfxdata="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dSZ6vaAAAACwEAAA8AAAAAAAAAAQAgAAAAIgAAAGRycy9kb3ducmV2LnhtbFBL&#10;AQIUABQAAAAIAIdO4kC7f0ly9AEAABoEAAAOAAAAAAAAAAEAIAAAACkBAABkcnMvZTJvRG9jLnht&#10;bFBLBQYAAAAABgAGAFkBAACPBQ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10464" behindDoc="0" locked="0" layoutInCell="1" allowOverlap="1">
                <wp:simplePos x="0" y="0"/>
                <wp:positionH relativeFrom="column">
                  <wp:posOffset>1864360</wp:posOffset>
                </wp:positionH>
                <wp:positionV relativeFrom="paragraph">
                  <wp:posOffset>2245995</wp:posOffset>
                </wp:positionV>
                <wp:extent cx="107950" cy="107950"/>
                <wp:effectExtent l="7620" t="10795" r="17780" b="14605"/>
                <wp:wrapNone/>
                <wp:docPr id="379" name="等腰三角形 379"/>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46.8pt;margin-top:176.85pt;height:8.5pt;width:8.5pt;z-index:251710464;mso-width-relative:page;mso-height-relative:page;" fillcolor="#FF0000" filled="t" stroked="t" coordsize="21600,21600" o:gfxdata="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7UvGnZ&#10;AAAACwEAAA8AAAAAAAAAAQAgAAAAIgAAAGRycy9kb3ducmV2LnhtbFBLAQIUABQAAAAIAIdO4kCC&#10;Bm0gHwIAAFoEAAAOAAAAAAAAAAEAIAAAACgBAABkcnMvZTJvRG9jLnhtbFBLBQYAAAAABgAGAFkB&#10;AAC5BQ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0768" behindDoc="0" locked="0" layoutInCell="1" allowOverlap="1">
                <wp:simplePos x="0" y="0"/>
                <wp:positionH relativeFrom="column">
                  <wp:posOffset>1724660</wp:posOffset>
                </wp:positionH>
                <wp:positionV relativeFrom="paragraph">
                  <wp:posOffset>2667635</wp:posOffset>
                </wp:positionV>
                <wp:extent cx="107950" cy="107950"/>
                <wp:effectExtent l="4445" t="4445" r="20955" b="20955"/>
                <wp:wrapNone/>
                <wp:docPr id="380" name="椭圆 38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35.8pt;margin-top:210.05pt;height:8.5pt;width:8.5pt;z-index:251680768;mso-width-relative:page;mso-height-relative:page;" fillcolor="#00B0F0" filled="t" stroked="t" coordsize="21600,21600" o:gfxdata="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NiOlnYAAAACwEAAA8AAAAAAAAAAQAgAAAAIgAAAGRycy9kb3ducmV2LnhtbFBLAQIU&#10;ABQAAAAIAIdO4kAePb9B8wEAABoEAAAOAAAAAAAAAAEAIAAAACcBAABkcnMvZTJvRG9jLnhtbFBL&#10;BQYAAAAABgAGAFkBAACMBQ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2624" behindDoc="0" locked="0" layoutInCell="1" allowOverlap="1">
                <wp:simplePos x="0" y="0"/>
                <wp:positionH relativeFrom="column">
                  <wp:posOffset>1976755</wp:posOffset>
                </wp:positionH>
                <wp:positionV relativeFrom="paragraph">
                  <wp:posOffset>2155825</wp:posOffset>
                </wp:positionV>
                <wp:extent cx="107950" cy="107950"/>
                <wp:effectExtent l="7620" t="10795" r="17780" b="14605"/>
                <wp:wrapNone/>
                <wp:docPr id="381" name="等腰三角形 381"/>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55.65pt;margin-top:169.75pt;height:8.5pt;width:8.5pt;z-index:251802624;mso-width-relative:page;mso-height-relative:page;" fillcolor="#FFFF00" filled="t" stroked="t" coordsize="21600,21600" o:gfxdata="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NhjkTZ&#10;AAAACwEAAA8AAAAAAAAAAQAgAAAAIgAAAGRycy9kb3ducmV2LnhtbFBLAQIUABQAAAAIAIdO4kAr&#10;ulYzHwIAAFoEAAAOAAAAAAAAAAEAIAAAACgBAABkcnMvZTJvRG9jLnhtbFBLBQYAAAAABgAGAFkB&#10;AAC5BQ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01600" behindDoc="0" locked="0" layoutInCell="1" allowOverlap="1">
                <wp:simplePos x="0" y="0"/>
                <wp:positionH relativeFrom="column">
                  <wp:posOffset>2382520</wp:posOffset>
                </wp:positionH>
                <wp:positionV relativeFrom="paragraph">
                  <wp:posOffset>1874520</wp:posOffset>
                </wp:positionV>
                <wp:extent cx="107950" cy="107950"/>
                <wp:effectExtent l="7620" t="10795" r="17780" b="14605"/>
                <wp:wrapNone/>
                <wp:docPr id="382" name="等腰三角形 382"/>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87.6pt;margin-top:147.6pt;height:8.5pt;width:8.5pt;z-index:251801600;mso-width-relative:page;mso-height-relative:page;" fillcolor="#FFFF00" filled="t" stroked="t" coordsize="21600,21600" o:gfxdata="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m0oM41wAA&#10;AAsBAAAPAAAAAAAAAAEAIAAAACIAAABkcnMvZG93bnJldi54bWxQSwECFAAUAAAACACHTuJAKe8L&#10;HR8CAABaBAAADgAAAAAAAAABACAAAAAmAQAAZHJzL2Uyb0RvYy54bWxQSwUGAAAAAAYABgBZAQAA&#10;twU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814912" behindDoc="0" locked="0" layoutInCell="1" allowOverlap="1">
                <wp:simplePos x="0" y="0"/>
                <wp:positionH relativeFrom="column">
                  <wp:posOffset>2409190</wp:posOffset>
                </wp:positionH>
                <wp:positionV relativeFrom="paragraph">
                  <wp:posOffset>2125980</wp:posOffset>
                </wp:positionV>
                <wp:extent cx="104775" cy="114300"/>
                <wp:effectExtent l="4445" t="4445" r="5080" b="14605"/>
                <wp:wrapNone/>
                <wp:docPr id="383" name="椭圆 383"/>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89.7pt;margin-top:167.4pt;height:9pt;width:8.25pt;z-index:251814912;mso-width-relative:page;mso-height-relative:page;" fillcolor="#000000 [3213]" filled="t" stroked="t" coordsize="21600,21600" o:gfxdata="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r+c1m2wAAAAsBAAAPAAAAAAAAAAEAIAAAACIAAABkcnMvZG93bnJl&#10;di54bWxQSwECFAAUAAAACACHTuJAY0O2T/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7936" behindDoc="0" locked="0" layoutInCell="1" allowOverlap="1">
                <wp:simplePos x="0" y="0"/>
                <wp:positionH relativeFrom="column">
                  <wp:posOffset>1937385</wp:posOffset>
                </wp:positionH>
                <wp:positionV relativeFrom="paragraph">
                  <wp:posOffset>2395855</wp:posOffset>
                </wp:positionV>
                <wp:extent cx="104775" cy="114300"/>
                <wp:effectExtent l="4445" t="4445" r="5080" b="14605"/>
                <wp:wrapNone/>
                <wp:docPr id="384" name="椭圆 384"/>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2.55pt;margin-top:188.65pt;height:9pt;width:8.25pt;z-index:251687936;mso-width-relative:page;mso-height-relative:page;" fillcolor="#000000 [3213]" filled="t" stroked="t" coordsize="21600,21600" o:gfxdata="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DOCR62wAAAAsBAAAPAAAAAAAAAAEAIAAAACIAAABkcnMvZG93bnJl&#10;di54bWxQSwECFAAUAAAACACHTuJA2daD9voBAAAaBAAADgAAAAAAAAABACAAAAAq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8416" behindDoc="0" locked="0" layoutInCell="1" allowOverlap="1">
                <wp:simplePos x="0" y="0"/>
                <wp:positionH relativeFrom="column">
                  <wp:posOffset>4585335</wp:posOffset>
                </wp:positionH>
                <wp:positionV relativeFrom="paragraph">
                  <wp:posOffset>3568065</wp:posOffset>
                </wp:positionV>
                <wp:extent cx="107950" cy="107950"/>
                <wp:effectExtent l="7620" t="10795" r="17780" b="14605"/>
                <wp:wrapNone/>
                <wp:docPr id="385" name="等腰三角形 385"/>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61.05pt;margin-top:280.95pt;height:8.5pt;width:8.5pt;z-index:251708416;mso-width-relative:page;mso-height-relative:page;" fillcolor="#FF0000" filled="t" stroked="t" coordsize="21600,21600" o:gfxdata="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5Ry1NkA&#10;AAALAQAADwAAAAAAAAABACAAAAAiAAAAZHJzL2Rvd25yZXYueG1sUEsBAhQAFAAAAAgAh07iQJWT&#10;WnkeAgAAWgQAAA4AAAAAAAAAAQAgAAAAKAEAAGRycy9lMm9Eb2MueG1sUEsFBgAAAAAGAAYAWQEA&#10;ALgFA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6368" behindDoc="0" locked="0" layoutInCell="1" allowOverlap="1">
                <wp:simplePos x="0" y="0"/>
                <wp:positionH relativeFrom="column">
                  <wp:posOffset>1014730</wp:posOffset>
                </wp:positionH>
                <wp:positionV relativeFrom="paragraph">
                  <wp:posOffset>2566035</wp:posOffset>
                </wp:positionV>
                <wp:extent cx="107950" cy="107950"/>
                <wp:effectExtent l="7620" t="10795" r="17780" b="14605"/>
                <wp:wrapNone/>
                <wp:docPr id="386" name="等腰三角形 386"/>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79.9pt;margin-top:202.05pt;height:8.5pt;width:8.5pt;z-index:251706368;mso-width-relative:page;mso-height-relative:page;" fillcolor="#FF0000" filled="t" stroked="t" coordsize="21600,21600" o:gfxdata="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QyWu11wAA&#10;AAsBAAAPAAAAAAAAAAEAIAAAACIAAABkcnMvZG93bnJldi54bWxQSwECFAAUAAAACACHTuJAl8YH&#10;Vx8CAABaBAAADgAAAAAAAAABACAAAAAmAQAAZHJzL2Uyb0RvYy54bWxQSwUGAAAAAAYABgBZAQAA&#10;twUAAAAA&#10;" adj="10800">
                <v:fill on="t" focussize="0,0"/>
                <v:stroke color="#FF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1248" behindDoc="0" locked="0" layoutInCell="1" allowOverlap="1">
                <wp:simplePos x="0" y="0"/>
                <wp:positionH relativeFrom="column">
                  <wp:posOffset>1437640</wp:posOffset>
                </wp:positionH>
                <wp:positionV relativeFrom="paragraph">
                  <wp:posOffset>2334260</wp:posOffset>
                </wp:positionV>
                <wp:extent cx="107950" cy="107950"/>
                <wp:effectExtent l="7620" t="10795" r="17780" b="14605"/>
                <wp:wrapNone/>
                <wp:docPr id="387" name="等腰三角形 387"/>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13.2pt;margin-top:183.8pt;height:8.5pt;width:8.5pt;z-index:251701248;mso-width-relative:page;mso-height-relative:page;" fillcolor="#FFFF00" filled="t" stroked="t" coordsize="21600,21600" o:gfxdata="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uO4qfNgA&#10;AAALAQAADwAAAAAAAAABACAAAAAiAAAAZHJzL2Rvd25yZXYueG1sUEsBAhQAFAAAAAgAh07iQC8Q&#10;7G8fAgAAWgQAAA4AAAAAAAAAAQAgAAAAJwEAAGRycy9lMm9Eb2MueG1sUEsFBgAAAAAGAAYAWQEA&#10;ALgFA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4080" behindDoc="0" locked="0" layoutInCell="1" allowOverlap="1">
                <wp:simplePos x="0" y="0"/>
                <wp:positionH relativeFrom="column">
                  <wp:posOffset>1304925</wp:posOffset>
                </wp:positionH>
                <wp:positionV relativeFrom="paragraph">
                  <wp:posOffset>2442845</wp:posOffset>
                </wp:positionV>
                <wp:extent cx="107950" cy="107950"/>
                <wp:effectExtent l="4445" t="4445" r="20955" b="20955"/>
                <wp:wrapNone/>
                <wp:docPr id="388" name="椭圆 38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02.75pt;margin-top:192.35pt;height:8.5pt;width:8.5pt;z-index:251694080;mso-width-relative:page;mso-height-relative:page;" fillcolor="#00B0F0" filled="t" stroked="t" coordsize="21600,21600" o:gfxdata="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89ztkAAAALAQAADwAAAAAAAAABACAAAAAiAAAAZHJzL2Rvd25yZXYueG1sUEsB&#10;AhQAFAAAAAgAh07iQIJsHKD0AQAAGgQAAA4AAAAAAAAAAQAgAAAAKAEAAGRycy9lMm9Eb2MueG1s&#10;UEsFBgAAAAAGAAYAWQEAAI4FA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5888" behindDoc="0" locked="0" layoutInCell="1" allowOverlap="1">
                <wp:simplePos x="0" y="0"/>
                <wp:positionH relativeFrom="column">
                  <wp:posOffset>1144905</wp:posOffset>
                </wp:positionH>
                <wp:positionV relativeFrom="paragraph">
                  <wp:posOffset>2573020</wp:posOffset>
                </wp:positionV>
                <wp:extent cx="104775" cy="114300"/>
                <wp:effectExtent l="4445" t="4445" r="5080" b="14605"/>
                <wp:wrapNone/>
                <wp:docPr id="389" name="椭圆 389"/>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90.15pt;margin-top:202.6pt;height:9pt;width:8.25pt;z-index:251685888;mso-width-relative:page;mso-height-relative:page;" fillcolor="#000000 [3213]" filled="t" stroked="t" coordsize="21600,21600" o:gfxdata="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iXnhrZAAAACwEAAA8AAAAAAAAAAQAgAAAAIgAAAGRycy9kb3ducmV2&#10;LnhtbFBLAQIUABQAAAAIAIdO4kCYxn2W+wEAABoEAAAOAAAAAAAAAAEAIAAAACgBAABkcnMvZTJv&#10;RG9jLnhtbFBLBQYAAAAABgAGAFkBAACVBQAAAAA=&#10;">
                <v:fill on="t" focussize="0,0"/>
                <v:stroke color="#FFFFFF [3212]" joinstyle="round"/>
                <v:imagedata o:title=""/>
                <o:lock v:ext="edit" aspectratio="f"/>
              </v:shape>
            </w:pict>
          </mc:Fallback>
        </mc:AlternateContent>
      </w:r>
      <w:r>
        <w:drawing>
          <wp:inline distT="0" distB="0" distL="114300" distR="114300">
            <wp:extent cx="9241790" cy="4474210"/>
            <wp:effectExtent l="0" t="0" r="16510" b="2540"/>
            <wp:docPr id="3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9"/>
                    <pic:cNvPicPr>
                      <a:picLocks noChangeAspect="1"/>
                    </pic:cNvPicPr>
                  </pic:nvPicPr>
                  <pic:blipFill>
                    <a:blip r:embed="rId88"/>
                    <a:stretch>
                      <a:fillRect/>
                    </a:stretch>
                  </pic:blipFill>
                  <pic:spPr>
                    <a:xfrm>
                      <a:off x="0" y="0"/>
                      <a:ext cx="9241790" cy="4474210"/>
                    </a:xfrm>
                    <a:prstGeom prst="rect">
                      <a:avLst/>
                    </a:prstGeom>
                    <a:noFill/>
                    <a:ln>
                      <a:noFill/>
                    </a:ln>
                  </pic:spPr>
                </pic:pic>
              </a:graphicData>
            </a:graphic>
          </wp:inline>
        </w:drawing>
      </w:r>
      <w:r>
        <w:rPr>
          <w:rFonts w:hint="default" w:ascii="Times New Roman" w:hAnsi="Times New Roman" w:eastAsia="宋体" w:cs="Times New Roman"/>
          <w:sz w:val="24"/>
          <w:highlight w:val="none"/>
        </w:rPr>
        <mc:AlternateContent>
          <mc:Choice Requires="wps">
            <w:drawing>
              <wp:anchor distT="0" distB="0" distL="114300" distR="114300" simplePos="0" relativeHeight="251700224" behindDoc="0" locked="0" layoutInCell="1" allowOverlap="1">
                <wp:simplePos x="0" y="0"/>
                <wp:positionH relativeFrom="column">
                  <wp:posOffset>2454275</wp:posOffset>
                </wp:positionH>
                <wp:positionV relativeFrom="paragraph">
                  <wp:posOffset>483235</wp:posOffset>
                </wp:positionV>
                <wp:extent cx="107950" cy="107950"/>
                <wp:effectExtent l="7620" t="10795" r="17780" b="14605"/>
                <wp:wrapNone/>
                <wp:docPr id="391" name="等腰三角形 391"/>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FF00"/>
                        </a:solid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93.25pt;margin-top:38.05pt;height:8.5pt;width:8.5pt;z-index:251700224;mso-width-relative:page;mso-height-relative:page;" fillcolor="#FFFF00" filled="t" stroked="t" coordsize="21600,21600" o:gfxdata="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HjclS2AAA&#10;AAkBAAAPAAAAAAAAAAEAIAAAACIAAABkcnMvZG93bnJldi54bWxQSwECFAAUAAAACACHTuJA/FFJ&#10;aR4CAABaBAAADgAAAAAAAAABACAAAAAnAQAAZHJzL2Uyb0RvYy54bWxQSwUGAAAAAAYABgBZAQAA&#10;twUAAAAA&#10;" adj="10800">
                <v:fill on="t" focussize="0,0"/>
                <v:stroke color="#FFFF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84864" behindDoc="0" locked="0" layoutInCell="1" allowOverlap="1">
                <wp:simplePos x="0" y="0"/>
                <wp:positionH relativeFrom="column">
                  <wp:posOffset>2085340</wp:posOffset>
                </wp:positionH>
                <wp:positionV relativeFrom="paragraph">
                  <wp:posOffset>826770</wp:posOffset>
                </wp:positionV>
                <wp:extent cx="104775" cy="114300"/>
                <wp:effectExtent l="4445" t="4445" r="5080" b="14605"/>
                <wp:wrapNone/>
                <wp:docPr id="392" name="椭圆 39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w="9525" cap="flat" cmpd="sng">
                          <a:solidFill>
                            <a:schemeClr val="bg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64.2pt;margin-top:65.1pt;height:9pt;width:8.25pt;z-index:251684864;mso-width-relative:page;mso-height-relative:page;" fillcolor="#000000 [3213]" filled="t" stroked="t" coordsize="21600,21600" o:gfxdata="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rqUR2gAAAAsBAAAPAAAAAAAAAAEAIAAAACIAAABkcnMvZG93bnJl&#10;di54bWxQSwECFAAUAAAACACHTuJAR2d1OvsBAAAaBAAADgAAAAAAAAABACAAAAApAQAAZHJzL2Uy&#10;b0RvYy54bWxQSwUGAAAAAAYABgBZAQAAlgUAAAAA&#10;">
                <v:fill on="t" focussize="0,0"/>
                <v:stroke color="#FFFFFF [3212]"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93056" behindDoc="0" locked="0" layoutInCell="1" allowOverlap="1">
                <wp:simplePos x="0" y="0"/>
                <wp:positionH relativeFrom="column">
                  <wp:posOffset>1997710</wp:posOffset>
                </wp:positionH>
                <wp:positionV relativeFrom="paragraph">
                  <wp:posOffset>1320800</wp:posOffset>
                </wp:positionV>
                <wp:extent cx="107950" cy="107950"/>
                <wp:effectExtent l="4445" t="4445" r="20955" b="20955"/>
                <wp:wrapNone/>
                <wp:docPr id="393" name="椭圆 39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F0"/>
                        </a:solid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7.3pt;margin-top:104pt;height:8.5pt;width:8.5pt;z-index:251693056;mso-width-relative:page;mso-height-relative:page;" fillcolor="#00B0F0" filled="t" stroked="t" coordsize="21600,21600" o:gfxdata="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HfDz82AAAAAsBAAAPAAAAAAAAAAEAIAAAACIAAABkcnMvZG93bnJldi54bWxQSwEC&#10;FAAUAAAACACHTuJAXc0UDPQBAAAaBAAADgAAAAAAAAABACAAAAAnAQAAZHJzL2Uyb0RvYy54bWxQ&#10;SwUGAAAAAAYABgBZAQAAjQUAAAAA&#10;">
                <v:fill on="t" focussize="0,0"/>
                <v:stroke color="#00B0F0" joinstyle="round"/>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05344" behindDoc="0" locked="0" layoutInCell="1" allowOverlap="1">
                <wp:simplePos x="0" y="0"/>
                <wp:positionH relativeFrom="column">
                  <wp:posOffset>1886585</wp:posOffset>
                </wp:positionH>
                <wp:positionV relativeFrom="paragraph">
                  <wp:posOffset>1323340</wp:posOffset>
                </wp:positionV>
                <wp:extent cx="107950" cy="107950"/>
                <wp:effectExtent l="7620" t="10795" r="17780" b="14605"/>
                <wp:wrapNone/>
                <wp:docPr id="394" name="等腰三角形 394"/>
                <wp:cNvGraphicFramePr/>
                <a:graphic xmlns:a="http://schemas.openxmlformats.org/drawingml/2006/main">
                  <a:graphicData uri="http://schemas.microsoft.com/office/word/2010/wordprocessingShape">
                    <wps:wsp>
                      <wps:cNvSpPr/>
                      <wps:spPr>
                        <a:xfrm>
                          <a:off x="0" y="0"/>
                          <a:ext cx="107950" cy="10795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48.55pt;margin-top:104.2pt;height:8.5pt;width:8.5pt;z-index:251705344;mso-width-relative:page;mso-height-relative:page;" fillcolor="#FF0000" filled="t" stroked="t" coordsize="21600,21600" o:gfxdata="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oa+RS2AAA&#10;AAsBAAAPAAAAAAAAAAEAIAAAACIAAABkcnMvZG93bnJldi54bWxQSwECFAAUAAAACACHTuJAvLRx&#10;OR4CAABaBAAADgAAAAAAAAABACAAAAAnAQAAZHJzL2Uyb0RvYy54bWxQSwUGAAAAAAYABgBZAQAA&#10;twUAAAAA&#10;" adj="10800">
                <v:fill on="t" focussize="0,0"/>
                <v:stroke color="#FF0000" joinstyle="miter"/>
                <v:imagedata o:title=""/>
                <o:lock v:ext="edit" aspectratio="f"/>
              </v:shape>
            </w:pict>
          </mc:Fallback>
        </mc:AlternateContent>
      </w:r>
    </w:p>
    <w:p w14:paraId="44B47C41"/>
    <w:p w14:paraId="3410CCF3"/>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A5BBA5">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F0541">
    <w:pPr>
      <w:pStyle w:val="1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posOffset>2822575</wp:posOffset>
              </wp:positionH>
              <wp:positionV relativeFrom="paragraph">
                <wp:posOffset>0</wp:posOffset>
              </wp:positionV>
              <wp:extent cx="208915"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08915" cy="1828800"/>
                      </a:xfrm>
                      <a:prstGeom prst="rect">
                        <a:avLst/>
                      </a:prstGeom>
                      <a:noFill/>
                      <a:ln>
                        <a:noFill/>
                      </a:ln>
                    </wps:spPr>
                    <wps:txbx>
                      <w:txbxContent>
                        <w:p w14:paraId="6841DFC9">
                          <w:pPr>
                            <w:pStyle w:val="15"/>
                          </w:pPr>
                          <w:r>
                            <w:fldChar w:fldCharType="begin"/>
                          </w:r>
                          <w:r>
                            <w:instrText xml:space="preserve"> PAGE  \* MERGEFORMAT </w:instrText>
                          </w:r>
                          <w:r>
                            <w:fldChar w:fldCharType="separate"/>
                          </w:r>
                          <w:r>
                            <w:t>1</w:t>
                          </w:r>
                          <w:r>
                            <w:fldChar w:fldCharType="end"/>
                          </w:r>
                        </w:p>
                      </w:txbxContent>
                    </wps:txbx>
                    <wps:bodyPr wrap="square" lIns="0" tIns="0" rIns="0" bIns="0">
                      <a:spAutoFit/>
                    </wps:bodyPr>
                  </wps:wsp>
                </a:graphicData>
              </a:graphic>
            </wp:anchor>
          </w:drawing>
        </mc:Choice>
        <mc:Fallback>
          <w:pict>
            <v:shape id="_x0000_s1026" o:spid="_x0000_s1026" o:spt="202" type="#_x0000_t202" style="position:absolute;left:0pt;margin-left:222.25pt;margin-top:0pt;height:144pt;width:16.45pt;mso-position-horizontal-relative:margin;z-index:251659264;mso-width-relative:page;mso-height-relative:page;" filled="f" stroked="f" coordsize="21600,21600" o:gfxdata="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cTU1Q1QAAAAgBAAAPAAAAAAAAAAEAIAAAACIAAABkcnMvZG93&#10;bnJldi54bWxQSwECFAAUAAAACACHTuJArrkwT8oBAACQAwAADgAAAAAAAAABACAAAAAkAQAAZHJz&#10;L2Uyb0RvYy54bWxQSwUGAAAAAAYABgBZAQAAYAUAAAAA&#10;">
              <v:fill on="f" focussize="0,0"/>
              <v:stroke on="f"/>
              <v:imagedata o:title=""/>
              <o:lock v:ext="edit" aspectratio="f"/>
              <v:textbox inset="0mm,0mm,0mm,0mm" style="mso-fit-shape-to-text:t;">
                <w:txbxContent>
                  <w:p w14:paraId="6841DFC9">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74E42">
    <w:pPr>
      <w:pStyle w:val="15"/>
      <w:jc w:val="right"/>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1AC3B7">
    <w:pPr>
      <w:snapToGrid w:val="0"/>
      <w:jc w:val="center"/>
      <w:rPr>
        <w:rFonts w:ascii="Calibri" w:hAnsi="Calibri"/>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9F76A3"/>
    <w:multiLevelType w:val="singleLevel"/>
    <w:tmpl w:val="9C9F76A3"/>
    <w:lvl w:ilvl="0" w:tentative="0">
      <w:start w:val="2"/>
      <w:numFmt w:val="chineseCounting"/>
      <w:suff w:val="nothing"/>
      <w:lvlText w:val="（%1）"/>
      <w:lvlJc w:val="left"/>
      <w:rPr>
        <w:rFonts w:hint="eastAsia"/>
      </w:rPr>
    </w:lvl>
  </w:abstractNum>
  <w:abstractNum w:abstractNumId="1">
    <w:nsid w:val="BC714E70"/>
    <w:multiLevelType w:val="singleLevel"/>
    <w:tmpl w:val="BC714E70"/>
    <w:lvl w:ilvl="0" w:tentative="0">
      <w:start w:val="1"/>
      <w:numFmt w:val="chineseCounting"/>
      <w:suff w:val="nothing"/>
      <w:lvlText w:val="%1、"/>
      <w:lvlJc w:val="left"/>
      <w:rPr>
        <w:rFonts w:hint="eastAsia"/>
      </w:rPr>
    </w:lvl>
  </w:abstractNum>
  <w:abstractNum w:abstractNumId="2">
    <w:nsid w:val="D253ECCB"/>
    <w:multiLevelType w:val="singleLevel"/>
    <w:tmpl w:val="D253ECCB"/>
    <w:lvl w:ilvl="0" w:tentative="0">
      <w:start w:val="3"/>
      <w:numFmt w:val="chineseCounting"/>
      <w:suff w:val="nothing"/>
      <w:lvlText w:val="（%1）"/>
      <w:lvlJc w:val="left"/>
      <w:rPr>
        <w:rFonts w:hint="eastAsia"/>
      </w:rPr>
    </w:lvl>
  </w:abstractNum>
  <w:abstractNum w:abstractNumId="3">
    <w:nsid w:val="E2AF79BA"/>
    <w:multiLevelType w:val="singleLevel"/>
    <w:tmpl w:val="E2AF79BA"/>
    <w:lvl w:ilvl="0" w:tentative="0">
      <w:start w:val="3"/>
      <w:numFmt w:val="decimal"/>
      <w:suff w:val="nothing"/>
      <w:lvlText w:val="%1、"/>
      <w:lvlJc w:val="left"/>
    </w:lvl>
  </w:abstractNum>
  <w:abstractNum w:abstractNumId="4">
    <w:nsid w:val="EA166433"/>
    <w:multiLevelType w:val="singleLevel"/>
    <w:tmpl w:val="EA166433"/>
    <w:lvl w:ilvl="0" w:tentative="0">
      <w:start w:val="2"/>
      <w:numFmt w:val="decimal"/>
      <w:suff w:val="nothing"/>
      <w:lvlText w:val="%1、"/>
      <w:lvlJc w:val="left"/>
    </w:lvl>
  </w:abstractNum>
  <w:abstractNum w:abstractNumId="5">
    <w:nsid w:val="FD967B7A"/>
    <w:multiLevelType w:val="singleLevel"/>
    <w:tmpl w:val="FD967B7A"/>
    <w:lvl w:ilvl="0" w:tentative="0">
      <w:start w:val="1"/>
      <w:numFmt w:val="bullet"/>
      <w:pStyle w:val="9"/>
      <w:lvlText w:val=""/>
      <w:lvlJc w:val="left"/>
      <w:pPr>
        <w:tabs>
          <w:tab w:val="left" w:pos="2040"/>
        </w:tabs>
        <w:ind w:left="2040" w:hanging="360"/>
      </w:pPr>
      <w:rPr>
        <w:rFonts w:hint="default" w:ascii="Wingdings" w:hAnsi="Wingdings"/>
      </w:rPr>
    </w:lvl>
  </w:abstractNum>
  <w:abstractNum w:abstractNumId="6">
    <w:nsid w:val="29640555"/>
    <w:multiLevelType w:val="singleLevel"/>
    <w:tmpl w:val="29640555"/>
    <w:lvl w:ilvl="0" w:tentative="0">
      <w:start w:val="1"/>
      <w:numFmt w:val="chineseCounting"/>
      <w:suff w:val="nothing"/>
      <w:lvlText w:val="（%1）"/>
      <w:lvlJc w:val="left"/>
      <w:rPr>
        <w:rFonts w:hint="eastAsia"/>
      </w:rPr>
    </w:lvl>
  </w:abstractNum>
  <w:abstractNum w:abstractNumId="7">
    <w:nsid w:val="2996EE47"/>
    <w:multiLevelType w:val="singleLevel"/>
    <w:tmpl w:val="2996EE47"/>
    <w:lvl w:ilvl="0" w:tentative="0">
      <w:start w:val="1"/>
      <w:numFmt w:val="decimal"/>
      <w:suff w:val="nothing"/>
      <w:lvlText w:val="%1、"/>
      <w:lvlJc w:val="left"/>
    </w:lvl>
  </w:abstractNum>
  <w:abstractNum w:abstractNumId="8">
    <w:nsid w:val="2FA47954"/>
    <w:multiLevelType w:val="singleLevel"/>
    <w:tmpl w:val="2FA47954"/>
    <w:lvl w:ilvl="0" w:tentative="0">
      <w:start w:val="1"/>
      <w:numFmt w:val="chineseCounting"/>
      <w:suff w:val="nothing"/>
      <w:lvlText w:val="%1、"/>
      <w:lvlJc w:val="left"/>
      <w:rPr>
        <w:rFonts w:hint="eastAsia"/>
      </w:rPr>
    </w:lvl>
  </w:abstractNum>
  <w:abstractNum w:abstractNumId="9">
    <w:nsid w:val="4228230C"/>
    <w:multiLevelType w:val="singleLevel"/>
    <w:tmpl w:val="4228230C"/>
    <w:lvl w:ilvl="0" w:tentative="0">
      <w:start w:val="3"/>
      <w:numFmt w:val="chineseCounting"/>
      <w:suff w:val="nothing"/>
      <w:lvlText w:val="%1、"/>
      <w:lvlJc w:val="left"/>
      <w:rPr>
        <w:rFonts w:hint="eastAsia"/>
      </w:rPr>
    </w:lvl>
  </w:abstractNum>
  <w:abstractNum w:abstractNumId="10">
    <w:nsid w:val="4929BC40"/>
    <w:multiLevelType w:val="singleLevel"/>
    <w:tmpl w:val="4929BC40"/>
    <w:lvl w:ilvl="0" w:tentative="0">
      <w:start w:val="2"/>
      <w:numFmt w:val="decimal"/>
      <w:suff w:val="nothing"/>
      <w:lvlText w:val="%1、"/>
      <w:lvlJc w:val="left"/>
    </w:lvl>
  </w:abstractNum>
  <w:abstractNum w:abstractNumId="11">
    <w:nsid w:val="700A871D"/>
    <w:multiLevelType w:val="singleLevel"/>
    <w:tmpl w:val="700A871D"/>
    <w:lvl w:ilvl="0" w:tentative="0">
      <w:start w:val="1"/>
      <w:numFmt w:val="decimal"/>
      <w:suff w:val="nothing"/>
      <w:lvlText w:val="（%1）"/>
      <w:lvlJc w:val="left"/>
    </w:lvl>
  </w:abstractNum>
  <w:abstractNum w:abstractNumId="12">
    <w:nsid w:val="79DD1988"/>
    <w:multiLevelType w:val="singleLevel"/>
    <w:tmpl w:val="79DD1988"/>
    <w:lvl w:ilvl="0" w:tentative="0">
      <w:start w:val="1"/>
      <w:numFmt w:val="decimal"/>
      <w:suff w:val="nothing"/>
      <w:lvlText w:val="%1、"/>
      <w:lvlJc w:val="left"/>
    </w:lvl>
  </w:abstractNum>
  <w:num w:numId="1">
    <w:abstractNumId w:val="5"/>
  </w:num>
  <w:num w:numId="2">
    <w:abstractNumId w:val="9"/>
  </w:num>
  <w:num w:numId="3">
    <w:abstractNumId w:val="1"/>
  </w:num>
  <w:num w:numId="4">
    <w:abstractNumId w:val="4"/>
  </w:num>
  <w:num w:numId="5">
    <w:abstractNumId w:val="2"/>
  </w:num>
  <w:num w:numId="6">
    <w:abstractNumId w:val="10"/>
  </w:num>
  <w:num w:numId="7">
    <w:abstractNumId w:val="3"/>
  </w:num>
  <w:num w:numId="8">
    <w:abstractNumId w:val="0"/>
  </w:num>
  <w:num w:numId="9">
    <w:abstractNumId w:val="12"/>
  </w:num>
  <w:num w:numId="10">
    <w:abstractNumId w:val="7"/>
  </w:num>
  <w:num w:numId="11">
    <w:abstractNumId w:val="6"/>
  </w:num>
  <w:num w:numId="12">
    <w:abstractNumId w:val="8"/>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UxZDQ1NmI4OTk2ZWVlODc0MDE1ZTU5NWUyZWFmZDEifQ=="/>
  </w:docVars>
  <w:rsids>
    <w:rsidRoot w:val="00172A27"/>
    <w:rsid w:val="0015503F"/>
    <w:rsid w:val="00172A27"/>
    <w:rsid w:val="001E3593"/>
    <w:rsid w:val="0022138E"/>
    <w:rsid w:val="00551D6A"/>
    <w:rsid w:val="00566996"/>
    <w:rsid w:val="007756C4"/>
    <w:rsid w:val="007E10CC"/>
    <w:rsid w:val="00B64427"/>
    <w:rsid w:val="00DA61E3"/>
    <w:rsid w:val="00E40880"/>
    <w:rsid w:val="00E57AA6"/>
    <w:rsid w:val="00EA2040"/>
    <w:rsid w:val="00F86C8B"/>
    <w:rsid w:val="016F45ED"/>
    <w:rsid w:val="019978BC"/>
    <w:rsid w:val="01E52B01"/>
    <w:rsid w:val="01F05E96"/>
    <w:rsid w:val="020C4532"/>
    <w:rsid w:val="02100A61"/>
    <w:rsid w:val="02832A82"/>
    <w:rsid w:val="028B48CA"/>
    <w:rsid w:val="02BE10CC"/>
    <w:rsid w:val="02E62FD5"/>
    <w:rsid w:val="032F2286"/>
    <w:rsid w:val="033154D6"/>
    <w:rsid w:val="033169AF"/>
    <w:rsid w:val="034872E6"/>
    <w:rsid w:val="03555A65"/>
    <w:rsid w:val="035F1E46"/>
    <w:rsid w:val="039D24DC"/>
    <w:rsid w:val="03AF1619"/>
    <w:rsid w:val="03C84489"/>
    <w:rsid w:val="03E56DE9"/>
    <w:rsid w:val="03F11C32"/>
    <w:rsid w:val="04131BA8"/>
    <w:rsid w:val="04893C18"/>
    <w:rsid w:val="048B3E34"/>
    <w:rsid w:val="04D347A1"/>
    <w:rsid w:val="05163B25"/>
    <w:rsid w:val="051F459A"/>
    <w:rsid w:val="054933A7"/>
    <w:rsid w:val="054D726B"/>
    <w:rsid w:val="056A2327"/>
    <w:rsid w:val="056B035A"/>
    <w:rsid w:val="057228FE"/>
    <w:rsid w:val="05AF3B52"/>
    <w:rsid w:val="05B20F4D"/>
    <w:rsid w:val="05C173E2"/>
    <w:rsid w:val="05D12F60"/>
    <w:rsid w:val="060A6FDB"/>
    <w:rsid w:val="065546FA"/>
    <w:rsid w:val="065564A8"/>
    <w:rsid w:val="068943A3"/>
    <w:rsid w:val="071535DA"/>
    <w:rsid w:val="071B228E"/>
    <w:rsid w:val="071B5B47"/>
    <w:rsid w:val="071F58FD"/>
    <w:rsid w:val="07247C28"/>
    <w:rsid w:val="073C35E3"/>
    <w:rsid w:val="07416A2C"/>
    <w:rsid w:val="07811A43"/>
    <w:rsid w:val="07AD2313"/>
    <w:rsid w:val="07C02047"/>
    <w:rsid w:val="07D8288D"/>
    <w:rsid w:val="07EC0729"/>
    <w:rsid w:val="07FC2953"/>
    <w:rsid w:val="084C03B9"/>
    <w:rsid w:val="084F33CB"/>
    <w:rsid w:val="08BC2855"/>
    <w:rsid w:val="08EC01A0"/>
    <w:rsid w:val="09594501"/>
    <w:rsid w:val="09E65669"/>
    <w:rsid w:val="0A4610D0"/>
    <w:rsid w:val="0AB10AB1"/>
    <w:rsid w:val="0AED72E8"/>
    <w:rsid w:val="0AF80C84"/>
    <w:rsid w:val="0B381DFF"/>
    <w:rsid w:val="0B7D0738"/>
    <w:rsid w:val="0BF16C73"/>
    <w:rsid w:val="0BF7006F"/>
    <w:rsid w:val="0C2801BA"/>
    <w:rsid w:val="0C4F5747"/>
    <w:rsid w:val="0C594818"/>
    <w:rsid w:val="0C5E6319"/>
    <w:rsid w:val="0C721E1F"/>
    <w:rsid w:val="0C940276"/>
    <w:rsid w:val="0C9B35D7"/>
    <w:rsid w:val="0CD67C16"/>
    <w:rsid w:val="0CD93263"/>
    <w:rsid w:val="0CDA7498"/>
    <w:rsid w:val="0CF34325"/>
    <w:rsid w:val="0D1F15BD"/>
    <w:rsid w:val="0D3E79D7"/>
    <w:rsid w:val="0D464D9C"/>
    <w:rsid w:val="0D8C293E"/>
    <w:rsid w:val="0D9E714C"/>
    <w:rsid w:val="0E0B38F0"/>
    <w:rsid w:val="0E1327A4"/>
    <w:rsid w:val="0E4D292A"/>
    <w:rsid w:val="0E5D4333"/>
    <w:rsid w:val="0E617CE7"/>
    <w:rsid w:val="0F0D45F7"/>
    <w:rsid w:val="0F84395A"/>
    <w:rsid w:val="0F993CB9"/>
    <w:rsid w:val="0FB35FED"/>
    <w:rsid w:val="0FE25086"/>
    <w:rsid w:val="101C1DE4"/>
    <w:rsid w:val="101C3B92"/>
    <w:rsid w:val="10233173"/>
    <w:rsid w:val="103F439A"/>
    <w:rsid w:val="105517FE"/>
    <w:rsid w:val="10572E1C"/>
    <w:rsid w:val="106E35E1"/>
    <w:rsid w:val="10861954"/>
    <w:rsid w:val="108C51BC"/>
    <w:rsid w:val="10BE2E9B"/>
    <w:rsid w:val="10CF32FA"/>
    <w:rsid w:val="10EF15B0"/>
    <w:rsid w:val="10F25D7A"/>
    <w:rsid w:val="10F950CF"/>
    <w:rsid w:val="11034D52"/>
    <w:rsid w:val="111E2CA8"/>
    <w:rsid w:val="1190104B"/>
    <w:rsid w:val="119F0F1F"/>
    <w:rsid w:val="11B60016"/>
    <w:rsid w:val="11C7119D"/>
    <w:rsid w:val="11E50E6A"/>
    <w:rsid w:val="11F823DD"/>
    <w:rsid w:val="12816876"/>
    <w:rsid w:val="12F9465F"/>
    <w:rsid w:val="135B1AD8"/>
    <w:rsid w:val="137D703E"/>
    <w:rsid w:val="137E4DB5"/>
    <w:rsid w:val="138E4DA7"/>
    <w:rsid w:val="13944D5D"/>
    <w:rsid w:val="13AF2F6F"/>
    <w:rsid w:val="13C24CE7"/>
    <w:rsid w:val="13E470BD"/>
    <w:rsid w:val="13EB0A51"/>
    <w:rsid w:val="13F17F8F"/>
    <w:rsid w:val="14373691"/>
    <w:rsid w:val="144759E8"/>
    <w:rsid w:val="145F04F1"/>
    <w:rsid w:val="14643D5A"/>
    <w:rsid w:val="14983A03"/>
    <w:rsid w:val="14CE75AC"/>
    <w:rsid w:val="14CF49B5"/>
    <w:rsid w:val="14CF5102"/>
    <w:rsid w:val="14DE1D5E"/>
    <w:rsid w:val="15190FE8"/>
    <w:rsid w:val="15233C15"/>
    <w:rsid w:val="152C0D1B"/>
    <w:rsid w:val="153D4CD7"/>
    <w:rsid w:val="15A779A4"/>
    <w:rsid w:val="15E45152"/>
    <w:rsid w:val="161339C8"/>
    <w:rsid w:val="161515B4"/>
    <w:rsid w:val="16185BC4"/>
    <w:rsid w:val="16491459"/>
    <w:rsid w:val="1662251B"/>
    <w:rsid w:val="167A643F"/>
    <w:rsid w:val="16AD7C3A"/>
    <w:rsid w:val="16BE02A6"/>
    <w:rsid w:val="16CD4552"/>
    <w:rsid w:val="16EB2510"/>
    <w:rsid w:val="170F66BD"/>
    <w:rsid w:val="172D2B29"/>
    <w:rsid w:val="173002E7"/>
    <w:rsid w:val="173D7210"/>
    <w:rsid w:val="175B02CE"/>
    <w:rsid w:val="176E561B"/>
    <w:rsid w:val="177C5079"/>
    <w:rsid w:val="17800EAB"/>
    <w:rsid w:val="1789411D"/>
    <w:rsid w:val="178C3CF3"/>
    <w:rsid w:val="17976BD3"/>
    <w:rsid w:val="17A50911"/>
    <w:rsid w:val="17E219FC"/>
    <w:rsid w:val="17EE050A"/>
    <w:rsid w:val="17FB6783"/>
    <w:rsid w:val="18575398"/>
    <w:rsid w:val="185C218E"/>
    <w:rsid w:val="18ED383B"/>
    <w:rsid w:val="19107C78"/>
    <w:rsid w:val="191E6BCD"/>
    <w:rsid w:val="19543303"/>
    <w:rsid w:val="19DC576F"/>
    <w:rsid w:val="19DD250A"/>
    <w:rsid w:val="19EF2318"/>
    <w:rsid w:val="1A057D8D"/>
    <w:rsid w:val="1A805D4E"/>
    <w:rsid w:val="1AC47300"/>
    <w:rsid w:val="1AF5570C"/>
    <w:rsid w:val="1B2129A5"/>
    <w:rsid w:val="1B2E6E70"/>
    <w:rsid w:val="1B846C34"/>
    <w:rsid w:val="1BDE669C"/>
    <w:rsid w:val="1C071C07"/>
    <w:rsid w:val="1C180385"/>
    <w:rsid w:val="1CAE0268"/>
    <w:rsid w:val="1CAE2016"/>
    <w:rsid w:val="1CCC4B92"/>
    <w:rsid w:val="1D0A61BF"/>
    <w:rsid w:val="1D81597C"/>
    <w:rsid w:val="1DB47B00"/>
    <w:rsid w:val="1DB7505E"/>
    <w:rsid w:val="1DD552AD"/>
    <w:rsid w:val="1E110AAE"/>
    <w:rsid w:val="1E57048B"/>
    <w:rsid w:val="1E6F1C79"/>
    <w:rsid w:val="1EB27F3B"/>
    <w:rsid w:val="1EB365AF"/>
    <w:rsid w:val="1ED57D2E"/>
    <w:rsid w:val="1EDF6DFF"/>
    <w:rsid w:val="1F244A65"/>
    <w:rsid w:val="1F38206B"/>
    <w:rsid w:val="1F397990"/>
    <w:rsid w:val="1F587D03"/>
    <w:rsid w:val="1F8546C3"/>
    <w:rsid w:val="1F94624F"/>
    <w:rsid w:val="1F9F1A13"/>
    <w:rsid w:val="1FB77434"/>
    <w:rsid w:val="1FD77AD6"/>
    <w:rsid w:val="20052895"/>
    <w:rsid w:val="20384A18"/>
    <w:rsid w:val="2046386B"/>
    <w:rsid w:val="20B120D5"/>
    <w:rsid w:val="20BB11A5"/>
    <w:rsid w:val="20EA3839"/>
    <w:rsid w:val="20EC5803"/>
    <w:rsid w:val="21141C1A"/>
    <w:rsid w:val="212B73A4"/>
    <w:rsid w:val="21304CA2"/>
    <w:rsid w:val="21652BA1"/>
    <w:rsid w:val="21771570"/>
    <w:rsid w:val="21B52099"/>
    <w:rsid w:val="21C603EE"/>
    <w:rsid w:val="21E0212B"/>
    <w:rsid w:val="21F20BF7"/>
    <w:rsid w:val="22097CEF"/>
    <w:rsid w:val="220D5A31"/>
    <w:rsid w:val="22105521"/>
    <w:rsid w:val="221700C3"/>
    <w:rsid w:val="22334B64"/>
    <w:rsid w:val="22525B39"/>
    <w:rsid w:val="22910410"/>
    <w:rsid w:val="22BC67E8"/>
    <w:rsid w:val="22C205C9"/>
    <w:rsid w:val="22C97BAA"/>
    <w:rsid w:val="22EF47D8"/>
    <w:rsid w:val="22F64717"/>
    <w:rsid w:val="239C07D8"/>
    <w:rsid w:val="23BDD68F"/>
    <w:rsid w:val="23DA5DE6"/>
    <w:rsid w:val="23ED2596"/>
    <w:rsid w:val="23FB6A9C"/>
    <w:rsid w:val="23FD7DBD"/>
    <w:rsid w:val="24072015"/>
    <w:rsid w:val="24145333"/>
    <w:rsid w:val="24381A4E"/>
    <w:rsid w:val="24457704"/>
    <w:rsid w:val="2447444D"/>
    <w:rsid w:val="246456B0"/>
    <w:rsid w:val="24992D39"/>
    <w:rsid w:val="24F609FE"/>
    <w:rsid w:val="252214A4"/>
    <w:rsid w:val="252A06A8"/>
    <w:rsid w:val="256736AA"/>
    <w:rsid w:val="256B326E"/>
    <w:rsid w:val="25BC39F6"/>
    <w:rsid w:val="25D86DB9"/>
    <w:rsid w:val="260929B3"/>
    <w:rsid w:val="2611242D"/>
    <w:rsid w:val="26741902"/>
    <w:rsid w:val="26BE1BBF"/>
    <w:rsid w:val="26BF28B9"/>
    <w:rsid w:val="27020878"/>
    <w:rsid w:val="270F224B"/>
    <w:rsid w:val="2714516B"/>
    <w:rsid w:val="273C7412"/>
    <w:rsid w:val="27602AA7"/>
    <w:rsid w:val="27764078"/>
    <w:rsid w:val="277D341D"/>
    <w:rsid w:val="277F4CDB"/>
    <w:rsid w:val="278D08A2"/>
    <w:rsid w:val="27A27024"/>
    <w:rsid w:val="27B527C4"/>
    <w:rsid w:val="27C070A1"/>
    <w:rsid w:val="27F51441"/>
    <w:rsid w:val="27F60D15"/>
    <w:rsid w:val="280B656E"/>
    <w:rsid w:val="281A4A03"/>
    <w:rsid w:val="281F64BE"/>
    <w:rsid w:val="283D6944"/>
    <w:rsid w:val="284519B3"/>
    <w:rsid w:val="286D0FD7"/>
    <w:rsid w:val="28AE6C07"/>
    <w:rsid w:val="28F14EF0"/>
    <w:rsid w:val="2987431B"/>
    <w:rsid w:val="29CF1E07"/>
    <w:rsid w:val="2A100173"/>
    <w:rsid w:val="2A297180"/>
    <w:rsid w:val="2A571F3F"/>
    <w:rsid w:val="2AA75DDE"/>
    <w:rsid w:val="2ACA6325"/>
    <w:rsid w:val="2AD1624A"/>
    <w:rsid w:val="2AD73080"/>
    <w:rsid w:val="2AFA73E1"/>
    <w:rsid w:val="2B3A3D3F"/>
    <w:rsid w:val="2B400C25"/>
    <w:rsid w:val="2B6A165E"/>
    <w:rsid w:val="2B841BF7"/>
    <w:rsid w:val="2BF343F3"/>
    <w:rsid w:val="2BFA0DD4"/>
    <w:rsid w:val="2C245E51"/>
    <w:rsid w:val="2C5700EA"/>
    <w:rsid w:val="2C594F17"/>
    <w:rsid w:val="2C7A1B3E"/>
    <w:rsid w:val="2C865DB3"/>
    <w:rsid w:val="2CAB3EFE"/>
    <w:rsid w:val="2CB03B88"/>
    <w:rsid w:val="2CBD400F"/>
    <w:rsid w:val="2CC87124"/>
    <w:rsid w:val="2CCB451E"/>
    <w:rsid w:val="2CEA649B"/>
    <w:rsid w:val="2D957A25"/>
    <w:rsid w:val="2DBD7E82"/>
    <w:rsid w:val="2DCE0A0A"/>
    <w:rsid w:val="2DD90EBD"/>
    <w:rsid w:val="2E0E500A"/>
    <w:rsid w:val="2E4E5407"/>
    <w:rsid w:val="2EA54019"/>
    <w:rsid w:val="2F002B74"/>
    <w:rsid w:val="2F041F69"/>
    <w:rsid w:val="2F176141"/>
    <w:rsid w:val="2F242826"/>
    <w:rsid w:val="2F737636"/>
    <w:rsid w:val="2FAD43AF"/>
    <w:rsid w:val="2FF43D8C"/>
    <w:rsid w:val="2FFA3A98"/>
    <w:rsid w:val="30032221"/>
    <w:rsid w:val="301914A6"/>
    <w:rsid w:val="3041071B"/>
    <w:rsid w:val="30470360"/>
    <w:rsid w:val="30496F97"/>
    <w:rsid w:val="304A6D53"/>
    <w:rsid w:val="30890F6E"/>
    <w:rsid w:val="30D83820"/>
    <w:rsid w:val="30F564EF"/>
    <w:rsid w:val="31061FC9"/>
    <w:rsid w:val="311161AF"/>
    <w:rsid w:val="31134B29"/>
    <w:rsid w:val="31200821"/>
    <w:rsid w:val="31603DCF"/>
    <w:rsid w:val="318A0E4C"/>
    <w:rsid w:val="3192194D"/>
    <w:rsid w:val="31A517E2"/>
    <w:rsid w:val="31C51E84"/>
    <w:rsid w:val="31F14A27"/>
    <w:rsid w:val="321C3675"/>
    <w:rsid w:val="322A1CE7"/>
    <w:rsid w:val="323768E1"/>
    <w:rsid w:val="3239017C"/>
    <w:rsid w:val="32770A74"/>
    <w:rsid w:val="32904F22"/>
    <w:rsid w:val="33440A10"/>
    <w:rsid w:val="337C2A16"/>
    <w:rsid w:val="337D1F97"/>
    <w:rsid w:val="338B0EAB"/>
    <w:rsid w:val="33A87367"/>
    <w:rsid w:val="33B22800"/>
    <w:rsid w:val="33BC2E13"/>
    <w:rsid w:val="33D32127"/>
    <w:rsid w:val="3411315F"/>
    <w:rsid w:val="34B306BA"/>
    <w:rsid w:val="34B87A7E"/>
    <w:rsid w:val="34D1351F"/>
    <w:rsid w:val="34F70BEB"/>
    <w:rsid w:val="3502519D"/>
    <w:rsid w:val="353D61D5"/>
    <w:rsid w:val="35415D24"/>
    <w:rsid w:val="359914E5"/>
    <w:rsid w:val="35C44201"/>
    <w:rsid w:val="35D01E9E"/>
    <w:rsid w:val="35DF103A"/>
    <w:rsid w:val="35F61B3D"/>
    <w:rsid w:val="36195F2E"/>
    <w:rsid w:val="365B4B65"/>
    <w:rsid w:val="367B6398"/>
    <w:rsid w:val="37490E61"/>
    <w:rsid w:val="37C14A80"/>
    <w:rsid w:val="38170F5F"/>
    <w:rsid w:val="381919E1"/>
    <w:rsid w:val="382B0567"/>
    <w:rsid w:val="386C3059"/>
    <w:rsid w:val="386F2B4A"/>
    <w:rsid w:val="388F6D48"/>
    <w:rsid w:val="389D749A"/>
    <w:rsid w:val="38AD223D"/>
    <w:rsid w:val="38AF73EA"/>
    <w:rsid w:val="38BB1A77"/>
    <w:rsid w:val="38CC58A6"/>
    <w:rsid w:val="38D330D8"/>
    <w:rsid w:val="38EE1CC0"/>
    <w:rsid w:val="392751D2"/>
    <w:rsid w:val="3938603F"/>
    <w:rsid w:val="3974793E"/>
    <w:rsid w:val="39ED28B9"/>
    <w:rsid w:val="39F72DF7"/>
    <w:rsid w:val="3A37310E"/>
    <w:rsid w:val="3ABD599A"/>
    <w:rsid w:val="3ADB0022"/>
    <w:rsid w:val="3B9C3C56"/>
    <w:rsid w:val="3BF35840"/>
    <w:rsid w:val="3BFC05AD"/>
    <w:rsid w:val="3C0E2679"/>
    <w:rsid w:val="3C215F09"/>
    <w:rsid w:val="3C303434"/>
    <w:rsid w:val="3C3B6FA3"/>
    <w:rsid w:val="3C834E15"/>
    <w:rsid w:val="3CC335FC"/>
    <w:rsid w:val="3CDF47A0"/>
    <w:rsid w:val="3D012E69"/>
    <w:rsid w:val="3D14467C"/>
    <w:rsid w:val="3D3506FB"/>
    <w:rsid w:val="3D4445A5"/>
    <w:rsid w:val="3D9848F1"/>
    <w:rsid w:val="3DCF7748"/>
    <w:rsid w:val="3DDD0DA2"/>
    <w:rsid w:val="3E2148E6"/>
    <w:rsid w:val="3E410AE4"/>
    <w:rsid w:val="3E4B3711"/>
    <w:rsid w:val="3E6A117B"/>
    <w:rsid w:val="3E864749"/>
    <w:rsid w:val="3E9A1FA2"/>
    <w:rsid w:val="3EF9316D"/>
    <w:rsid w:val="3FB714E5"/>
    <w:rsid w:val="3FCE3859"/>
    <w:rsid w:val="3FED1EB2"/>
    <w:rsid w:val="3FF41D22"/>
    <w:rsid w:val="400E49F6"/>
    <w:rsid w:val="4036290E"/>
    <w:rsid w:val="407821C8"/>
    <w:rsid w:val="40B27513"/>
    <w:rsid w:val="40B97948"/>
    <w:rsid w:val="40BA4B7E"/>
    <w:rsid w:val="410C362B"/>
    <w:rsid w:val="4134048C"/>
    <w:rsid w:val="41667EF3"/>
    <w:rsid w:val="41BB1716"/>
    <w:rsid w:val="42091919"/>
    <w:rsid w:val="420C765B"/>
    <w:rsid w:val="42154762"/>
    <w:rsid w:val="4246115D"/>
    <w:rsid w:val="4246777C"/>
    <w:rsid w:val="424D020F"/>
    <w:rsid w:val="42B67CE3"/>
    <w:rsid w:val="435C016E"/>
    <w:rsid w:val="436F4800"/>
    <w:rsid w:val="43720136"/>
    <w:rsid w:val="437C33D9"/>
    <w:rsid w:val="43853221"/>
    <w:rsid w:val="438F40A0"/>
    <w:rsid w:val="43B25889"/>
    <w:rsid w:val="44075EF3"/>
    <w:rsid w:val="44213E6A"/>
    <w:rsid w:val="44227892"/>
    <w:rsid w:val="44336579"/>
    <w:rsid w:val="4450382F"/>
    <w:rsid w:val="4497145E"/>
    <w:rsid w:val="44B3549F"/>
    <w:rsid w:val="44C4421D"/>
    <w:rsid w:val="44ED35CE"/>
    <w:rsid w:val="45154A79"/>
    <w:rsid w:val="45462E84"/>
    <w:rsid w:val="45991206"/>
    <w:rsid w:val="459B7055"/>
    <w:rsid w:val="45A35BE1"/>
    <w:rsid w:val="45C6230C"/>
    <w:rsid w:val="45DE130F"/>
    <w:rsid w:val="45E20C7F"/>
    <w:rsid w:val="45F6758C"/>
    <w:rsid w:val="46050649"/>
    <w:rsid w:val="463450FE"/>
    <w:rsid w:val="46366A55"/>
    <w:rsid w:val="463D4287"/>
    <w:rsid w:val="4642547B"/>
    <w:rsid w:val="46713F31"/>
    <w:rsid w:val="46997E9F"/>
    <w:rsid w:val="46C6602A"/>
    <w:rsid w:val="46E44703"/>
    <w:rsid w:val="47372A84"/>
    <w:rsid w:val="4751434B"/>
    <w:rsid w:val="478A5ED8"/>
    <w:rsid w:val="478B587E"/>
    <w:rsid w:val="47AF4D11"/>
    <w:rsid w:val="47B37EF8"/>
    <w:rsid w:val="47B916EB"/>
    <w:rsid w:val="47CF7161"/>
    <w:rsid w:val="48507E7F"/>
    <w:rsid w:val="485E04E5"/>
    <w:rsid w:val="488002F6"/>
    <w:rsid w:val="48830B4B"/>
    <w:rsid w:val="48D32C81"/>
    <w:rsid w:val="49035C1C"/>
    <w:rsid w:val="49137521"/>
    <w:rsid w:val="49284F02"/>
    <w:rsid w:val="4977360C"/>
    <w:rsid w:val="4A965D14"/>
    <w:rsid w:val="4AF637D8"/>
    <w:rsid w:val="4B025B6F"/>
    <w:rsid w:val="4B296B88"/>
    <w:rsid w:val="4B30029E"/>
    <w:rsid w:val="4B3F3E3F"/>
    <w:rsid w:val="4B445F37"/>
    <w:rsid w:val="4B756F90"/>
    <w:rsid w:val="4B9D6AFC"/>
    <w:rsid w:val="4BBA57CE"/>
    <w:rsid w:val="4BBC5C4E"/>
    <w:rsid w:val="4BD4266C"/>
    <w:rsid w:val="4C207F8B"/>
    <w:rsid w:val="4C335877"/>
    <w:rsid w:val="4C6D603E"/>
    <w:rsid w:val="4CC748AA"/>
    <w:rsid w:val="4CD07C03"/>
    <w:rsid w:val="4CE4545C"/>
    <w:rsid w:val="4D0F67C0"/>
    <w:rsid w:val="4E056542"/>
    <w:rsid w:val="4E1407FF"/>
    <w:rsid w:val="4E595343"/>
    <w:rsid w:val="4E6C5709"/>
    <w:rsid w:val="4E834801"/>
    <w:rsid w:val="4EEE4370"/>
    <w:rsid w:val="4F204746"/>
    <w:rsid w:val="4F3E53F4"/>
    <w:rsid w:val="4F626628"/>
    <w:rsid w:val="4F6A47C2"/>
    <w:rsid w:val="4FB84187"/>
    <w:rsid w:val="4FD35916"/>
    <w:rsid w:val="4FD70770"/>
    <w:rsid w:val="5095081C"/>
    <w:rsid w:val="50B415EA"/>
    <w:rsid w:val="510D3AA7"/>
    <w:rsid w:val="5176064D"/>
    <w:rsid w:val="51AC51CB"/>
    <w:rsid w:val="51E20FA0"/>
    <w:rsid w:val="520E4D2A"/>
    <w:rsid w:val="525A58D7"/>
    <w:rsid w:val="526A0493"/>
    <w:rsid w:val="52CF6267"/>
    <w:rsid w:val="52D60F96"/>
    <w:rsid w:val="52E15F9A"/>
    <w:rsid w:val="52F514E3"/>
    <w:rsid w:val="531D2377"/>
    <w:rsid w:val="532644A8"/>
    <w:rsid w:val="532E6CD3"/>
    <w:rsid w:val="53320ECF"/>
    <w:rsid w:val="537B28E4"/>
    <w:rsid w:val="538232D9"/>
    <w:rsid w:val="539B3C45"/>
    <w:rsid w:val="53A5260F"/>
    <w:rsid w:val="53BF27F8"/>
    <w:rsid w:val="54240B62"/>
    <w:rsid w:val="54343BFB"/>
    <w:rsid w:val="543640C4"/>
    <w:rsid w:val="5453591D"/>
    <w:rsid w:val="54A86D6F"/>
    <w:rsid w:val="54E43BBA"/>
    <w:rsid w:val="550F3BBC"/>
    <w:rsid w:val="5564706F"/>
    <w:rsid w:val="556E7FB9"/>
    <w:rsid w:val="55832510"/>
    <w:rsid w:val="55935C72"/>
    <w:rsid w:val="55AB4AC4"/>
    <w:rsid w:val="55D478FE"/>
    <w:rsid w:val="55DE251A"/>
    <w:rsid w:val="55E621CB"/>
    <w:rsid w:val="563111E4"/>
    <w:rsid w:val="56336B0D"/>
    <w:rsid w:val="57274B59"/>
    <w:rsid w:val="57853398"/>
    <w:rsid w:val="5789650C"/>
    <w:rsid w:val="57923D07"/>
    <w:rsid w:val="57DB28FB"/>
    <w:rsid w:val="57DD33DA"/>
    <w:rsid w:val="57F86260"/>
    <w:rsid w:val="58131BA0"/>
    <w:rsid w:val="582F1556"/>
    <w:rsid w:val="5854769D"/>
    <w:rsid w:val="586B6F75"/>
    <w:rsid w:val="58B32187"/>
    <w:rsid w:val="58F5454D"/>
    <w:rsid w:val="59510ED6"/>
    <w:rsid w:val="5999390B"/>
    <w:rsid w:val="59AA5338"/>
    <w:rsid w:val="59AD307A"/>
    <w:rsid w:val="59B77A55"/>
    <w:rsid w:val="5A0C7B7D"/>
    <w:rsid w:val="5A1634A9"/>
    <w:rsid w:val="5A185343"/>
    <w:rsid w:val="5A2976CB"/>
    <w:rsid w:val="5A2E0E39"/>
    <w:rsid w:val="5A3D046F"/>
    <w:rsid w:val="5A936881"/>
    <w:rsid w:val="5AA93841"/>
    <w:rsid w:val="5AB32912"/>
    <w:rsid w:val="5ABC3575"/>
    <w:rsid w:val="5ADA1C4D"/>
    <w:rsid w:val="5B00006E"/>
    <w:rsid w:val="5B1A029B"/>
    <w:rsid w:val="5B597015"/>
    <w:rsid w:val="5B8B2F47"/>
    <w:rsid w:val="5B9356C5"/>
    <w:rsid w:val="5BC53DAB"/>
    <w:rsid w:val="5C4F794F"/>
    <w:rsid w:val="5C533A65"/>
    <w:rsid w:val="5C5D41C8"/>
    <w:rsid w:val="5C6A3A12"/>
    <w:rsid w:val="5C8605CE"/>
    <w:rsid w:val="5C8F6AEA"/>
    <w:rsid w:val="5CCC5468"/>
    <w:rsid w:val="5D1968C9"/>
    <w:rsid w:val="5D49044E"/>
    <w:rsid w:val="5D5D0975"/>
    <w:rsid w:val="5D681792"/>
    <w:rsid w:val="5D810AA5"/>
    <w:rsid w:val="5D8F61C0"/>
    <w:rsid w:val="5DC34C1A"/>
    <w:rsid w:val="5DFC3365"/>
    <w:rsid w:val="5E723AE0"/>
    <w:rsid w:val="5E8E68E9"/>
    <w:rsid w:val="5EAF519E"/>
    <w:rsid w:val="5EC00B02"/>
    <w:rsid w:val="5EC7073A"/>
    <w:rsid w:val="5EFA0B83"/>
    <w:rsid w:val="5EFF6126"/>
    <w:rsid w:val="5F047E93"/>
    <w:rsid w:val="5F3833E6"/>
    <w:rsid w:val="5F50072F"/>
    <w:rsid w:val="5F750196"/>
    <w:rsid w:val="5FAA42E4"/>
    <w:rsid w:val="5FC93A22"/>
    <w:rsid w:val="5FE07D05"/>
    <w:rsid w:val="5FF6380F"/>
    <w:rsid w:val="60716BAF"/>
    <w:rsid w:val="60C55474"/>
    <w:rsid w:val="611B39D6"/>
    <w:rsid w:val="61473475"/>
    <w:rsid w:val="6170330B"/>
    <w:rsid w:val="619A3EE4"/>
    <w:rsid w:val="619C214D"/>
    <w:rsid w:val="61AF3E33"/>
    <w:rsid w:val="61BB4C0A"/>
    <w:rsid w:val="61F730E4"/>
    <w:rsid w:val="62075A9D"/>
    <w:rsid w:val="620A72BB"/>
    <w:rsid w:val="621974FF"/>
    <w:rsid w:val="622B7232"/>
    <w:rsid w:val="62740BD9"/>
    <w:rsid w:val="62A42602"/>
    <w:rsid w:val="63190D5F"/>
    <w:rsid w:val="635A2216"/>
    <w:rsid w:val="63691DC0"/>
    <w:rsid w:val="637A3DFF"/>
    <w:rsid w:val="637B22E7"/>
    <w:rsid w:val="63B10704"/>
    <w:rsid w:val="63EB4ECB"/>
    <w:rsid w:val="641A755E"/>
    <w:rsid w:val="644A7E43"/>
    <w:rsid w:val="647748F9"/>
    <w:rsid w:val="64947310"/>
    <w:rsid w:val="650F1C13"/>
    <w:rsid w:val="65150451"/>
    <w:rsid w:val="65167D25"/>
    <w:rsid w:val="651D5558"/>
    <w:rsid w:val="65212DF7"/>
    <w:rsid w:val="65270A74"/>
    <w:rsid w:val="655D7702"/>
    <w:rsid w:val="65AE7F5E"/>
    <w:rsid w:val="65E5385C"/>
    <w:rsid w:val="66282447"/>
    <w:rsid w:val="663065FF"/>
    <w:rsid w:val="665603F0"/>
    <w:rsid w:val="66DC1D50"/>
    <w:rsid w:val="66DD63E5"/>
    <w:rsid w:val="66F61BBC"/>
    <w:rsid w:val="66FC0F1C"/>
    <w:rsid w:val="67283D40"/>
    <w:rsid w:val="676A4358"/>
    <w:rsid w:val="67D9008E"/>
    <w:rsid w:val="67FC05FE"/>
    <w:rsid w:val="68243E7A"/>
    <w:rsid w:val="685079F2"/>
    <w:rsid w:val="68946CAB"/>
    <w:rsid w:val="68BE2BAE"/>
    <w:rsid w:val="68C3482A"/>
    <w:rsid w:val="69937B96"/>
    <w:rsid w:val="69A91168"/>
    <w:rsid w:val="69FB0BF7"/>
    <w:rsid w:val="6A250150"/>
    <w:rsid w:val="6A4207CD"/>
    <w:rsid w:val="6A5C65B8"/>
    <w:rsid w:val="6ABE59D6"/>
    <w:rsid w:val="6ADC37BF"/>
    <w:rsid w:val="6B060622"/>
    <w:rsid w:val="6B160510"/>
    <w:rsid w:val="6B543355"/>
    <w:rsid w:val="6B6C069F"/>
    <w:rsid w:val="6B6F28CB"/>
    <w:rsid w:val="6B813B16"/>
    <w:rsid w:val="6B9F280F"/>
    <w:rsid w:val="6BD44496"/>
    <w:rsid w:val="6C101972"/>
    <w:rsid w:val="6C5A0E3F"/>
    <w:rsid w:val="6C79668F"/>
    <w:rsid w:val="6D400035"/>
    <w:rsid w:val="6D6616AA"/>
    <w:rsid w:val="6D8617C0"/>
    <w:rsid w:val="6D997745"/>
    <w:rsid w:val="6DC42971"/>
    <w:rsid w:val="6DE9541A"/>
    <w:rsid w:val="6E2214E9"/>
    <w:rsid w:val="6E662DB5"/>
    <w:rsid w:val="6E761EC2"/>
    <w:rsid w:val="6E8E6B7E"/>
    <w:rsid w:val="6EAC009E"/>
    <w:rsid w:val="6EC9405A"/>
    <w:rsid w:val="6ED867A6"/>
    <w:rsid w:val="6F03527C"/>
    <w:rsid w:val="6F1654F2"/>
    <w:rsid w:val="6F525DFE"/>
    <w:rsid w:val="6F543924"/>
    <w:rsid w:val="6F583EC5"/>
    <w:rsid w:val="6F993A2D"/>
    <w:rsid w:val="6FCF38F2"/>
    <w:rsid w:val="708B7819"/>
    <w:rsid w:val="70934920"/>
    <w:rsid w:val="709C4240"/>
    <w:rsid w:val="70A94143"/>
    <w:rsid w:val="70C52391"/>
    <w:rsid w:val="716E190C"/>
    <w:rsid w:val="71D15700"/>
    <w:rsid w:val="71E35433"/>
    <w:rsid w:val="720F447A"/>
    <w:rsid w:val="72E74AAF"/>
    <w:rsid w:val="73243F55"/>
    <w:rsid w:val="73373C88"/>
    <w:rsid w:val="73532145"/>
    <w:rsid w:val="738B18DE"/>
    <w:rsid w:val="739C3AEB"/>
    <w:rsid w:val="73D94D40"/>
    <w:rsid w:val="73E01C2A"/>
    <w:rsid w:val="742D0BE7"/>
    <w:rsid w:val="74542618"/>
    <w:rsid w:val="7479207F"/>
    <w:rsid w:val="748A603A"/>
    <w:rsid w:val="749B0247"/>
    <w:rsid w:val="749E5641"/>
    <w:rsid w:val="752C4926"/>
    <w:rsid w:val="757A60AE"/>
    <w:rsid w:val="75AB73BA"/>
    <w:rsid w:val="75C13CDD"/>
    <w:rsid w:val="75D7705D"/>
    <w:rsid w:val="76325C2F"/>
    <w:rsid w:val="765C68D8"/>
    <w:rsid w:val="76897ADF"/>
    <w:rsid w:val="76B52A9A"/>
    <w:rsid w:val="77586705"/>
    <w:rsid w:val="77903967"/>
    <w:rsid w:val="77905EF5"/>
    <w:rsid w:val="77943BD8"/>
    <w:rsid w:val="77AB51DB"/>
    <w:rsid w:val="77CE766A"/>
    <w:rsid w:val="77FA3A45"/>
    <w:rsid w:val="77FD054E"/>
    <w:rsid w:val="78212811"/>
    <w:rsid w:val="784A7043"/>
    <w:rsid w:val="78774B27"/>
    <w:rsid w:val="78774D2A"/>
    <w:rsid w:val="789B3A01"/>
    <w:rsid w:val="78C338C8"/>
    <w:rsid w:val="78D45DD0"/>
    <w:rsid w:val="78E47CFE"/>
    <w:rsid w:val="78EF46BD"/>
    <w:rsid w:val="78FD1F08"/>
    <w:rsid w:val="79077C59"/>
    <w:rsid w:val="79140B36"/>
    <w:rsid w:val="79444A09"/>
    <w:rsid w:val="79A25384"/>
    <w:rsid w:val="79B21A11"/>
    <w:rsid w:val="7A0D129F"/>
    <w:rsid w:val="7A1E16FE"/>
    <w:rsid w:val="7A540C7C"/>
    <w:rsid w:val="7A5C554F"/>
    <w:rsid w:val="7A8139E6"/>
    <w:rsid w:val="7A8D23E0"/>
    <w:rsid w:val="7A9B2D4F"/>
    <w:rsid w:val="7AA17C39"/>
    <w:rsid w:val="7AA86067"/>
    <w:rsid w:val="7AAF67FA"/>
    <w:rsid w:val="7AB265B1"/>
    <w:rsid w:val="7AC35E02"/>
    <w:rsid w:val="7AC57DCC"/>
    <w:rsid w:val="7B0348BD"/>
    <w:rsid w:val="7B997D56"/>
    <w:rsid w:val="7BB51BEE"/>
    <w:rsid w:val="7BE033C7"/>
    <w:rsid w:val="7C2231D9"/>
    <w:rsid w:val="7C831CEC"/>
    <w:rsid w:val="7D2D1821"/>
    <w:rsid w:val="7D7635FF"/>
    <w:rsid w:val="7D847ACA"/>
    <w:rsid w:val="7DD86068"/>
    <w:rsid w:val="7E5C45A3"/>
    <w:rsid w:val="7E6477BC"/>
    <w:rsid w:val="7E68083E"/>
    <w:rsid w:val="7E7556DE"/>
    <w:rsid w:val="7E9C7095"/>
    <w:rsid w:val="7EA23A50"/>
    <w:rsid w:val="7EFC7B34"/>
    <w:rsid w:val="7F1475B9"/>
    <w:rsid w:val="7F992792"/>
    <w:rsid w:val="7FAD0E6A"/>
    <w:rsid w:val="7FBE45A5"/>
    <w:rsid w:val="7FE973D5"/>
    <w:rsid w:val="7FEC1957"/>
    <w:rsid w:val="BFF6AA75"/>
    <w:rsid w:val="DE3EAD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spacing w:beforeAutospacing="1" w:afterAutospacing="1"/>
      <w:jc w:val="left"/>
      <w:outlineLvl w:val="0"/>
    </w:pPr>
    <w:rPr>
      <w:rFonts w:hint="eastAsia" w:ascii="宋体" w:hAnsi="宋体"/>
      <w:b/>
      <w:bCs/>
      <w:kern w:val="44"/>
      <w:sz w:val="48"/>
      <w:szCs w:val="48"/>
    </w:rPr>
  </w:style>
  <w:style w:type="paragraph" w:styleId="4">
    <w:name w:val="heading 3"/>
    <w:basedOn w:val="1"/>
    <w:next w:val="5"/>
    <w:qFormat/>
    <w:uiPriority w:val="0"/>
    <w:pPr>
      <w:keepNext/>
      <w:keepLines/>
      <w:spacing w:before="60" w:after="100" w:line="415" w:lineRule="auto"/>
      <w:outlineLvl w:val="2"/>
    </w:pPr>
    <w:rPr>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autoRedefine/>
    <w:qFormat/>
    <w:uiPriority w:val="0"/>
    <w:pPr>
      <w:ind w:left="480"/>
    </w:pPr>
  </w:style>
  <w:style w:type="paragraph" w:styleId="5">
    <w:name w:val="Normal Indent"/>
    <w:basedOn w:val="1"/>
    <w:qFormat/>
    <w:uiPriority w:val="0"/>
    <w:pPr>
      <w:ind w:firstLine="420" w:firstLineChars="200"/>
    </w:pPr>
  </w:style>
  <w:style w:type="paragraph" w:styleId="6">
    <w:name w:val="toa heading"/>
    <w:basedOn w:val="1"/>
    <w:next w:val="1"/>
    <w:autoRedefine/>
    <w:qFormat/>
    <w:uiPriority w:val="0"/>
    <w:rPr>
      <w:rFonts w:ascii="Arial" w:hAnsi="Arial"/>
    </w:rPr>
  </w:style>
  <w:style w:type="paragraph" w:styleId="7">
    <w:name w:val="annotation text"/>
    <w:basedOn w:val="1"/>
    <w:link w:val="49"/>
    <w:autoRedefine/>
    <w:qFormat/>
    <w:uiPriority w:val="0"/>
    <w:pPr>
      <w:jc w:val="left"/>
    </w:pPr>
  </w:style>
  <w:style w:type="paragraph" w:styleId="8">
    <w:name w:val="Body Text"/>
    <w:basedOn w:val="1"/>
    <w:next w:val="9"/>
    <w:autoRedefine/>
    <w:qFormat/>
    <w:uiPriority w:val="0"/>
    <w:pPr>
      <w:widowControl/>
      <w:snapToGrid w:val="0"/>
      <w:spacing w:before="60" w:after="160" w:line="259" w:lineRule="auto"/>
      <w:ind w:right="113"/>
    </w:pPr>
    <w:rPr>
      <w:kern w:val="0"/>
      <w:sz w:val="18"/>
      <w:szCs w:val="18"/>
    </w:rPr>
  </w:style>
  <w:style w:type="paragraph" w:styleId="9">
    <w:name w:val="List Bullet 5"/>
    <w:basedOn w:val="1"/>
    <w:autoRedefine/>
    <w:qFormat/>
    <w:uiPriority w:val="0"/>
    <w:pPr>
      <w:numPr>
        <w:ilvl w:val="0"/>
        <w:numId w:val="1"/>
      </w:numPr>
    </w:pPr>
  </w:style>
  <w:style w:type="paragraph" w:styleId="10">
    <w:name w:val="Body Text Indent"/>
    <w:basedOn w:val="1"/>
    <w:next w:val="11"/>
    <w:autoRedefine/>
    <w:semiHidden/>
    <w:qFormat/>
    <w:uiPriority w:val="0"/>
    <w:pPr>
      <w:spacing w:after="120"/>
      <w:ind w:left="420" w:leftChars="200"/>
    </w:pPr>
  </w:style>
  <w:style w:type="paragraph" w:styleId="11">
    <w:name w:val="header"/>
    <w:basedOn w:val="1"/>
    <w:next w:val="12"/>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12">
    <w:name w:val="样式5"/>
    <w:basedOn w:val="13"/>
    <w:next w:val="1"/>
    <w:autoRedefine/>
    <w:qFormat/>
    <w:uiPriority w:val="0"/>
    <w:pPr>
      <w:tabs>
        <w:tab w:val="center" w:pos="4153"/>
        <w:tab w:val="right" w:pos="8306"/>
      </w:tabs>
    </w:pPr>
  </w:style>
  <w:style w:type="paragraph" w:customStyle="1" w:styleId="13">
    <w:name w:val="正文1"/>
    <w:basedOn w:val="8"/>
    <w:next w:val="1"/>
    <w:autoRedefine/>
    <w:qFormat/>
    <w:uiPriority w:val="0"/>
    <w:pPr>
      <w:adjustRightInd w:val="0"/>
      <w:spacing w:line="500" w:lineRule="atLeast"/>
      <w:ind w:firstLine="567"/>
    </w:pPr>
    <w:rPr>
      <w:sz w:val="28"/>
    </w:rPr>
  </w:style>
  <w:style w:type="paragraph" w:styleId="14">
    <w:name w:val="Plain Text"/>
    <w:basedOn w:val="1"/>
    <w:autoRedefine/>
    <w:qFormat/>
    <w:uiPriority w:val="0"/>
    <w:rPr>
      <w:rFonts w:ascii="宋体" w:hAnsi="Courier New"/>
      <w:szCs w:val="21"/>
    </w:rPr>
  </w:style>
  <w:style w:type="paragraph" w:styleId="15">
    <w:name w:val="footer"/>
    <w:basedOn w:val="1"/>
    <w:autoRedefine/>
    <w:qFormat/>
    <w:uiPriority w:val="0"/>
    <w:pPr>
      <w:tabs>
        <w:tab w:val="center" w:pos="4153"/>
        <w:tab w:val="right" w:pos="8306"/>
      </w:tabs>
      <w:snapToGrid w:val="0"/>
      <w:jc w:val="left"/>
    </w:pPr>
    <w:rPr>
      <w:sz w:val="18"/>
      <w:szCs w:val="18"/>
    </w:rPr>
  </w:style>
  <w:style w:type="paragraph" w:styleId="16">
    <w:name w:val="Body Text 2"/>
    <w:basedOn w:val="1"/>
    <w:autoRedefine/>
    <w:qFormat/>
    <w:uiPriority w:val="0"/>
    <w:pPr>
      <w:spacing w:after="120" w:line="480" w:lineRule="auto"/>
    </w:pPr>
  </w:style>
  <w:style w:type="paragraph" w:styleId="17">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18">
    <w:name w:val="annotation subject"/>
    <w:basedOn w:val="7"/>
    <w:next w:val="7"/>
    <w:link w:val="50"/>
    <w:qFormat/>
    <w:uiPriority w:val="0"/>
    <w:rPr>
      <w:b/>
      <w:bCs/>
    </w:rPr>
  </w:style>
  <w:style w:type="paragraph" w:styleId="19">
    <w:name w:val="Body Text First Indent 2"/>
    <w:basedOn w:val="10"/>
    <w:next w:val="1"/>
    <w:autoRedefine/>
    <w:unhideWhenUsed/>
    <w:qFormat/>
    <w:uiPriority w:val="0"/>
    <w:pPr>
      <w:ind w:firstLine="420" w:firstLineChars="200"/>
    </w:pPr>
    <w:rPr>
      <w:bCs/>
      <w:kern w:val="0"/>
      <w:sz w:val="24"/>
    </w:rPr>
  </w:style>
  <w:style w:type="table" w:styleId="21">
    <w:name w:val="Table Grid"/>
    <w:basedOn w:val="2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page number"/>
    <w:autoRedefine/>
    <w:qFormat/>
    <w:uiPriority w:val="0"/>
  </w:style>
  <w:style w:type="character" w:styleId="25">
    <w:name w:val="Emphasis"/>
    <w:basedOn w:val="22"/>
    <w:autoRedefine/>
    <w:qFormat/>
    <w:uiPriority w:val="0"/>
    <w:rPr>
      <w:i/>
    </w:rPr>
  </w:style>
  <w:style w:type="character" w:styleId="26">
    <w:name w:val="annotation reference"/>
    <w:autoRedefine/>
    <w:semiHidden/>
    <w:qFormat/>
    <w:uiPriority w:val="0"/>
    <w:rPr>
      <w:sz w:val="21"/>
    </w:rPr>
  </w:style>
  <w:style w:type="paragraph" w:customStyle="1" w:styleId="27">
    <w:name w:val="样式 标题 1一级标题 + 段前: 0.5 行 段后: 0.5 行"/>
    <w:basedOn w:val="3"/>
    <w:qFormat/>
    <w:uiPriority w:val="99"/>
    <w:pPr>
      <w:spacing w:line="320" w:lineRule="exact"/>
      <w:outlineLvl w:val="9"/>
    </w:pPr>
    <w:rPr>
      <w:spacing w:val="-6"/>
      <w:sz w:val="21"/>
      <w:szCs w:val="21"/>
    </w:rPr>
  </w:style>
  <w:style w:type="paragraph" w:customStyle="1" w:styleId="28">
    <w:name w:val="样式 正文文本缩进 + 行距: 1.5 倍行距"/>
    <w:basedOn w:val="29"/>
    <w:next w:val="1"/>
    <w:autoRedefine/>
    <w:qFormat/>
    <w:uiPriority w:val="0"/>
    <w:pPr>
      <w:spacing w:line="360" w:lineRule="auto"/>
      <w:ind w:left="90" w:leftChars="32" w:firstLine="560" w:firstLineChars="200"/>
    </w:pPr>
    <w:rPr>
      <w:rFonts w:cs="宋体"/>
    </w:rPr>
  </w:style>
  <w:style w:type="paragraph" w:customStyle="1" w:styleId="29">
    <w:name w:val="正文文本缩进1"/>
    <w:basedOn w:val="1"/>
    <w:next w:val="28"/>
    <w:autoRedefine/>
    <w:qFormat/>
    <w:uiPriority w:val="0"/>
    <w:pPr>
      <w:spacing w:after="120"/>
      <w:ind w:left="420" w:leftChars="200"/>
    </w:pPr>
    <w:rPr>
      <w:sz w:val="24"/>
    </w:rPr>
  </w:style>
  <w:style w:type="paragraph" w:customStyle="1" w:styleId="30">
    <w:name w:val="小四正文"/>
    <w:basedOn w:val="1"/>
    <w:autoRedefine/>
    <w:qFormat/>
    <w:uiPriority w:val="0"/>
    <w:pPr>
      <w:spacing w:line="360" w:lineRule="auto"/>
      <w:ind w:firstLine="480" w:firstLineChars="200"/>
    </w:pPr>
    <w:rPr>
      <w:sz w:val="24"/>
      <w:lang w:val="zh-CN"/>
    </w:rPr>
  </w:style>
  <w:style w:type="character" w:customStyle="1" w:styleId="31">
    <w:name w:val="font181"/>
    <w:autoRedefine/>
    <w:qFormat/>
    <w:uiPriority w:val="0"/>
    <w:rPr>
      <w:rFonts w:hint="eastAsia" w:ascii="宋体" w:hAnsi="宋体" w:eastAsia="宋体" w:cs="宋体"/>
      <w:color w:val="000000"/>
      <w:sz w:val="20"/>
      <w:szCs w:val="20"/>
      <w:u w:val="none"/>
    </w:rPr>
  </w:style>
  <w:style w:type="paragraph" w:customStyle="1" w:styleId="32">
    <w:name w:val="报告书正文"/>
    <w:basedOn w:val="1"/>
    <w:autoRedefine/>
    <w:qFormat/>
    <w:uiPriority w:val="0"/>
    <w:pPr>
      <w:adjustRightInd w:val="0"/>
      <w:snapToGrid w:val="0"/>
      <w:spacing w:line="360" w:lineRule="auto"/>
      <w:ind w:firstLine="480" w:firstLineChars="200"/>
      <w:jc w:val="left"/>
      <w:textAlignment w:val="baseline"/>
    </w:pPr>
    <w:rPr>
      <w:kern w:val="0"/>
      <w:sz w:val="24"/>
    </w:rPr>
  </w:style>
  <w:style w:type="paragraph" w:customStyle="1" w:styleId="33">
    <w:name w:val="*正文"/>
    <w:basedOn w:val="1"/>
    <w:autoRedefine/>
    <w:qFormat/>
    <w:uiPriority w:val="0"/>
    <w:pPr>
      <w:spacing w:line="360" w:lineRule="auto"/>
      <w:ind w:firstLine="200" w:firstLineChars="200"/>
    </w:pPr>
    <w:rPr>
      <w:sz w:val="24"/>
    </w:rPr>
  </w:style>
  <w:style w:type="paragraph" w:customStyle="1" w:styleId="34">
    <w:name w:val="1表格"/>
    <w:basedOn w:val="1"/>
    <w:autoRedefine/>
    <w:qFormat/>
    <w:uiPriority w:val="0"/>
    <w:pPr>
      <w:adjustRightInd w:val="0"/>
      <w:snapToGrid w:val="0"/>
      <w:jc w:val="center"/>
      <w:textAlignment w:val="baseline"/>
    </w:pPr>
    <w:rPr>
      <w:spacing w:val="4"/>
    </w:rPr>
  </w:style>
  <w:style w:type="paragraph" w:customStyle="1" w:styleId="35">
    <w:name w:val="表内格式"/>
    <w:basedOn w:val="1"/>
    <w:autoRedefine/>
    <w:qFormat/>
    <w:uiPriority w:val="0"/>
    <w:pPr>
      <w:spacing w:line="240" w:lineRule="exact"/>
      <w:jc w:val="center"/>
    </w:pPr>
    <w:rPr>
      <w:rFonts w:hint="eastAsia" w:ascii="宋体" w:hAnsi="宋体"/>
      <w:szCs w:val="20"/>
    </w:rPr>
  </w:style>
  <w:style w:type="paragraph" w:customStyle="1" w:styleId="36">
    <w:name w:val="表格文字"/>
    <w:basedOn w:val="14"/>
    <w:next w:val="1"/>
    <w:autoRedefine/>
    <w:qFormat/>
    <w:uiPriority w:val="0"/>
    <w:pPr>
      <w:autoSpaceDE w:val="0"/>
      <w:autoSpaceDN w:val="0"/>
      <w:adjustRightInd w:val="0"/>
      <w:spacing w:line="240" w:lineRule="atLeast"/>
      <w:jc w:val="center"/>
      <w:textAlignment w:val="baseline"/>
    </w:pPr>
    <w:rPr>
      <w:rFonts w:ascii="Times New Roman" w:hAnsi="Times New Roman"/>
      <w:color w:val="000000"/>
      <w:sz w:val="24"/>
    </w:rPr>
  </w:style>
  <w:style w:type="paragraph" w:customStyle="1" w:styleId="37">
    <w:name w:val="正本文字"/>
    <w:basedOn w:val="1"/>
    <w:autoRedefine/>
    <w:qFormat/>
    <w:uiPriority w:val="0"/>
    <w:pPr>
      <w:adjustRightInd w:val="0"/>
      <w:snapToGrid w:val="0"/>
      <w:spacing w:line="360" w:lineRule="auto"/>
      <w:ind w:firstLine="200" w:firstLineChars="200"/>
      <w:jc w:val="left"/>
    </w:pPr>
    <w:rPr>
      <w:rFonts w:cs="宋体"/>
      <w:kern w:val="18"/>
      <w:sz w:val="24"/>
      <w:szCs w:val="20"/>
    </w:rPr>
  </w:style>
  <w:style w:type="paragraph" w:customStyle="1" w:styleId="38">
    <w:name w:val="样式 Times New Roman 四号 首行缩进:  0.99 厘米 行距: 最小值 25 磅"/>
    <w:basedOn w:val="1"/>
    <w:autoRedefine/>
    <w:qFormat/>
    <w:uiPriority w:val="0"/>
    <w:pPr>
      <w:spacing w:line="500" w:lineRule="atLeast"/>
      <w:ind w:firstLine="561"/>
    </w:pPr>
    <w:rPr>
      <w:rFonts w:cs="宋体"/>
      <w:sz w:val="28"/>
      <w:szCs w:val="28"/>
    </w:rPr>
  </w:style>
  <w:style w:type="paragraph" w:customStyle="1" w:styleId="39">
    <w:name w:val="样式4"/>
    <w:basedOn w:val="1"/>
    <w:autoRedefine/>
    <w:qFormat/>
    <w:uiPriority w:val="0"/>
    <w:pPr>
      <w:wordWrap w:val="0"/>
      <w:spacing w:line="360" w:lineRule="auto"/>
      <w:ind w:firstLine="560" w:firstLineChars="200"/>
      <w:jc w:val="left"/>
    </w:pPr>
    <w:rPr>
      <w:kern w:val="0"/>
    </w:rPr>
  </w:style>
  <w:style w:type="table" w:customStyle="1" w:styleId="40">
    <w:name w:val="Table Normal"/>
    <w:autoRedefine/>
    <w:unhideWhenUsed/>
    <w:qFormat/>
    <w:uiPriority w:val="0"/>
    <w:tblPr>
      <w:tblCellMar>
        <w:top w:w="0" w:type="dxa"/>
        <w:left w:w="0" w:type="dxa"/>
        <w:bottom w:w="0" w:type="dxa"/>
        <w:right w:w="0" w:type="dxa"/>
      </w:tblCellMar>
    </w:tblPr>
  </w:style>
  <w:style w:type="paragraph" w:customStyle="1" w:styleId="41">
    <w:name w:val="表内容"/>
    <w:autoRedefine/>
    <w:qFormat/>
    <w:uiPriority w:val="0"/>
    <w:pPr>
      <w:adjustRightInd w:val="0"/>
      <w:snapToGrid w:val="0"/>
      <w:spacing w:line="360" w:lineRule="exact"/>
      <w:jc w:val="center"/>
    </w:pPr>
    <w:rPr>
      <w:rFonts w:ascii="Times New Roman" w:hAnsi="Times New Roman" w:eastAsia="宋体" w:cs="Times New Roman"/>
      <w:bCs/>
      <w:kern w:val="2"/>
      <w:sz w:val="21"/>
      <w:szCs w:val="32"/>
      <w:lang w:val="en-US" w:eastAsia="zh-CN" w:bidi="ar-SA"/>
    </w:rPr>
  </w:style>
  <w:style w:type="paragraph" w:customStyle="1" w:styleId="42">
    <w:name w:val="列出段落1"/>
    <w:basedOn w:val="1"/>
    <w:autoRedefine/>
    <w:qFormat/>
    <w:uiPriority w:val="0"/>
    <w:pPr>
      <w:ind w:firstLine="420" w:firstLineChars="200"/>
    </w:pPr>
  </w:style>
  <w:style w:type="paragraph" w:customStyle="1" w:styleId="43">
    <w:name w:val="Default"/>
    <w:autoRedefine/>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character" w:customStyle="1" w:styleId="44">
    <w:name w:val="font41"/>
    <w:basedOn w:val="22"/>
    <w:qFormat/>
    <w:uiPriority w:val="0"/>
    <w:rPr>
      <w:rFonts w:hint="default" w:ascii="Times New Roman" w:hAnsi="Times New Roman" w:cs="Times New Roman"/>
      <w:color w:val="000000"/>
      <w:sz w:val="21"/>
      <w:szCs w:val="21"/>
      <w:u w:val="none"/>
    </w:rPr>
  </w:style>
  <w:style w:type="character" w:customStyle="1" w:styleId="45">
    <w:name w:val="font31"/>
    <w:basedOn w:val="22"/>
    <w:qFormat/>
    <w:uiPriority w:val="0"/>
    <w:rPr>
      <w:rFonts w:hint="eastAsia" w:ascii="宋体" w:hAnsi="宋体" w:eastAsia="宋体" w:cs="宋体"/>
      <w:color w:val="000000"/>
      <w:sz w:val="21"/>
      <w:szCs w:val="21"/>
      <w:u w:val="none"/>
    </w:rPr>
  </w:style>
  <w:style w:type="paragraph" w:customStyle="1" w:styleId="46">
    <w:name w:val="1正文-说明书"/>
    <w:basedOn w:val="1"/>
    <w:next w:val="1"/>
    <w:qFormat/>
    <w:uiPriority w:val="0"/>
    <w:pPr>
      <w:snapToGrid w:val="0"/>
      <w:spacing w:line="360" w:lineRule="auto"/>
      <w:ind w:firstLine="560"/>
    </w:pPr>
    <w:rPr>
      <w:sz w:val="28"/>
    </w:rPr>
  </w:style>
  <w:style w:type="paragraph" w:customStyle="1" w:styleId="47">
    <w:name w:val="！正文"/>
    <w:basedOn w:val="1"/>
    <w:qFormat/>
    <w:uiPriority w:val="0"/>
    <w:pPr>
      <w:spacing w:line="360" w:lineRule="auto"/>
      <w:jc w:val="center"/>
    </w:pPr>
    <w:rPr>
      <w:sz w:val="28"/>
    </w:rPr>
  </w:style>
  <w:style w:type="paragraph" w:customStyle="1" w:styleId="48">
    <w:name w:val="A-表格文字"/>
    <w:qFormat/>
    <w:uiPriority w:val="0"/>
    <w:pPr>
      <w:adjustRightInd w:val="0"/>
      <w:jc w:val="center"/>
      <w:textAlignment w:val="center"/>
    </w:pPr>
    <w:rPr>
      <w:rFonts w:ascii="Times New Roman" w:hAnsi="Times New Roman" w:eastAsia="宋体" w:cs="Times New Roman"/>
      <w:sz w:val="21"/>
      <w:szCs w:val="21"/>
      <w:lang w:val="en-US" w:eastAsia="zh-CN" w:bidi="ar-SA"/>
    </w:rPr>
  </w:style>
  <w:style w:type="character" w:customStyle="1" w:styleId="49">
    <w:name w:val="批注文字 字符"/>
    <w:basedOn w:val="22"/>
    <w:link w:val="7"/>
    <w:qFormat/>
    <w:uiPriority w:val="0"/>
    <w:rPr>
      <w:kern w:val="2"/>
      <w:sz w:val="21"/>
      <w:szCs w:val="24"/>
    </w:rPr>
  </w:style>
  <w:style w:type="character" w:customStyle="1" w:styleId="50">
    <w:name w:val="批注主题 字符"/>
    <w:basedOn w:val="49"/>
    <w:link w:val="18"/>
    <w:qFormat/>
    <w:uiPriority w:val="0"/>
    <w:rPr>
      <w:b/>
      <w:bCs/>
      <w:kern w:val="2"/>
      <w:sz w:val="21"/>
      <w:szCs w:val="24"/>
    </w:rPr>
  </w:style>
  <w:style w:type="paragraph" w:customStyle="1" w:styleId="51">
    <w:name w:val="样式b"/>
    <w:basedOn w:val="1"/>
    <w:qFormat/>
    <w:uiPriority w:val="0"/>
    <w:pPr>
      <w:spacing w:line="360" w:lineRule="auto"/>
      <w:jc w:val="center"/>
    </w:pPr>
    <w:rPr>
      <w:rFonts w:ascii="宋体" w:hAnsi="宋体" w:cs="宋体"/>
      <w:b/>
      <w:bCs/>
      <w:kern w:val="0"/>
      <w:sz w:val="20"/>
      <w:szCs w:val="20"/>
    </w:rPr>
  </w:style>
  <w:style w:type="paragraph" w:customStyle="1" w:styleId="52">
    <w:name w:val="标号"/>
    <w:basedOn w:val="1"/>
    <w:qFormat/>
    <w:uiPriority w:val="0"/>
    <w:pPr>
      <w:jc w:val="center"/>
    </w:pPr>
    <w:rPr>
      <w:rFonts w:cs="宋体"/>
      <w:b/>
      <w:sz w:val="24"/>
      <w:szCs w:val="28"/>
    </w:rPr>
  </w:style>
  <w:style w:type="paragraph" w:customStyle="1" w:styleId="53">
    <w:name w:val="Table Text"/>
    <w:basedOn w:val="1"/>
    <w:unhideWhenUsed/>
    <w:qFormat/>
    <w:uiPriority w:val="0"/>
    <w:pPr>
      <w:spacing w:beforeLines="0" w:afterLines="0"/>
    </w:pPr>
    <w:rPr>
      <w:rFonts w:hint="eastAsia" w:ascii="宋体" w:hAnsi="宋体" w:cs="宋体"/>
      <w:sz w:val="24"/>
      <w:szCs w:val="24"/>
      <w:lang w:eastAsia="en-US"/>
    </w:rPr>
  </w:style>
  <w:style w:type="paragraph" w:customStyle="1" w:styleId="54">
    <w:name w:val="002S正文"/>
    <w:basedOn w:val="1"/>
    <w:qFormat/>
    <w:uiPriority w:val="0"/>
    <w:pPr>
      <w:widowControl/>
      <w:spacing w:line="360" w:lineRule="auto"/>
      <w:ind w:firstLine="480" w:firstLineChars="200"/>
      <w:jc w:val="left"/>
    </w:pPr>
    <w:rPr>
      <w:rFonts w:cs="宋体"/>
      <w:snapToGrid w:val="0"/>
      <w:kern w:val="21"/>
      <w:sz w:val="24"/>
    </w:rPr>
  </w:style>
  <w:style w:type="paragraph" w:customStyle="1" w:styleId="55">
    <w:name w:val="0S题注"/>
    <w:basedOn w:val="1"/>
    <w:next w:val="1"/>
    <w:qFormat/>
    <w:uiPriority w:val="0"/>
    <w:pPr>
      <w:widowControl w:val="0"/>
      <w:adjustRightInd w:val="0"/>
      <w:spacing w:before="20" w:beforeLines="20" w:after="20" w:afterLines="20"/>
      <w:jc w:val="center"/>
      <w:outlineLvl w:val="7"/>
    </w:pPr>
    <w:rPr>
      <w:bCs/>
      <w:szCs w:val="21"/>
    </w:rPr>
  </w:style>
  <w:style w:type="paragraph" w:customStyle="1" w:styleId="56">
    <w:name w:val="00B表首行"/>
    <w:qFormat/>
    <w:uiPriority w:val="0"/>
    <w:pPr>
      <w:jc w:val="center"/>
      <w:textAlignment w:val="center"/>
    </w:pPr>
    <w:rPr>
      <w:rFonts w:ascii="Times New Roman" w:hAnsi="Times New Roman" w:eastAsia="宋体" w:cs="Times New Roman"/>
      <w:kern w:val="21"/>
      <w:sz w:val="21"/>
      <w:szCs w:val="18"/>
      <w:lang w:val="zh-CN"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image" Target="media/image2.jpeg"/><Relationship Id="rId89" Type="http://schemas.openxmlformats.org/officeDocument/2006/relationships/customXml" Target="../customXml/item1.xml"/><Relationship Id="rId88" Type="http://schemas.openxmlformats.org/officeDocument/2006/relationships/image" Target="media/image81.png"/><Relationship Id="rId87" Type="http://schemas.openxmlformats.org/officeDocument/2006/relationships/image" Target="media/image80.jpeg"/><Relationship Id="rId86" Type="http://schemas.openxmlformats.org/officeDocument/2006/relationships/image" Target="media/image79.png"/><Relationship Id="rId85" Type="http://schemas.openxmlformats.org/officeDocument/2006/relationships/image" Target="media/image78.jpe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header" Target="head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2ee1b98b-063c-444d-b47f-ac94f7ed20ba</errorID>
      <errorWord xmlns="http://schemas.wps.cn/vas-ai-hub/contract-review">2026年01月</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2026年1月</item>
      </candidateList>
      <explain xmlns="http://schemas.wps.cn/vas-ai-hub/contract-review">根据日常书写习惯，月份一般会省略前导零。</explain>
      <paraID xmlns="http://schemas.wps.cn/vas-ai-hub/contract-review">4AEE2290</paraID>
      <start xmlns="http://schemas.wps.cn/vas-ai-hub/contract-review">5</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1c6b437a-79ac-4743-b2e7-694674e6134d</errorID>
      <errorWord xmlns="http://schemas.wps.cn/vas-ai-hub/contract-review">[2025]8号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〔2025〕8号</item>
      </candidateList>
      <explain xmlns="http://schemas.wps.cn/vas-ai-hub/contract-review">发文字号格式错误。</explain>
      <paraID xmlns="http://schemas.wps.cn/vas-ai-hub/contract-review">437BC03F</paraID>
      <start xmlns="http://schemas.wps.cn/vas-ai-hub/contract-review">7</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78d5722c-50ce-4273-b469-ff2efab8fee4</errorID>
      <errorWord xmlns="http://schemas.wps.cn/vas-ai-hub/contract-review">为为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为</item>
      </candidateList>
      <explain xmlns="http://schemas.wps.cn/vas-ai-hub/contract-review">（爲、為）wèi❶〈书〉帮助；卫护：～吕氏者右袒，～刘氏者左袒。❷〈介〉表示行为的对象；替：～你庆幸｜～人民服务｜～这本书写一篇序。❸〈介〉表示原因、目的：大家都～这件事高兴｜～建设伟大祖国而奋斗。❹〈书〉〈介〉对；向：不足～外人道。</explain>
      <paraID xmlns="http://schemas.wps.cn/vas-ai-hub/contract-review">654E66BC</paraID>
      <start xmlns="http://schemas.wps.cn/vas-ai-hub/contract-review">3</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33809bad-4c03-4756-ab04-11c940966291</errorID>
      <errorWord xmlns="http://schemas.wps.cn/vas-ai-hub/contract-review">[2021]49号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〔2021〕49号</item>
      </candidateList>
      <explain xmlns="http://schemas.wps.cn/vas-ai-hub/contract-review">发文字号格式错误。</explain>
      <paraID xmlns="http://schemas.wps.cn/vas-ai-hub/contract-review">1E91581C</paraID>
      <start xmlns="http://schemas.wps.cn/vas-ai-hub/contract-review">41</start>
      <end xmlns="http://schemas.wps.cn/vas-ai-hub/contract-review">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05776737-78fd-4d34-be2c-7eb0124069b3</errorID>
      <errorWord xmlns="http://schemas.wps.cn/vas-ai-hub/contract-review">[2021]49号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〔2021〕49号</item>
      </candidateList>
      <explain xmlns="http://schemas.wps.cn/vas-ai-hub/contract-review">发文字号格式错误。</explain>
      <paraID xmlns="http://schemas.wps.cn/vas-ai-hub/contract-review">471422B8</paraID>
      <start xmlns="http://schemas.wps.cn/vas-ai-hub/contract-review">3</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a168dda3-b5d0-49ce-b317-31ddf95e8723</errorID>
      <errorWord xmlns="http://schemas.wps.cn/vas-ai-hub/contract-review">生物多样性维护</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生物多样性保护</item>
      </candidateList>
      <explain xmlns="http://schemas.wps.cn/vas-ai-hub/contract-review">词汇“生物多样性保护”在特定场景下为固定表述形式，请确认此处的“生物多样性维护”是否存在不当。</explain>
      <paraID xmlns="http://schemas.wps.cn/vas-ai-hub/contract-review">6E429F29</paraID>
      <start xmlns="http://schemas.wps.cn/vas-ai-hub/contract-review">85</start>
      <end xmlns="http://schemas.wps.cn/vas-ai-hub/contract-review">92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694530c7-6f2e-40fc-991c-9663fb8288e4</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2450E148</paraID>
      <start xmlns="http://schemas.wps.cn/vas-ai-hub/contract-review">87</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8d3306c0-d15b-41db-ae73-2ee0eb03cd07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5BEB2A6C</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c4c64293-3c7a-4f3e-8dec-f17536c374fb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5BEB2A6C</paraID>
      <start xmlns="http://schemas.wps.cn/vas-ai-hub/contract-review">38</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eeb3afe5-1653-4040-9972-fb0c5b6e5c21</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1FE8C2CE</paraID>
      <start xmlns="http://schemas.wps.cn/vas-ai-hub/contract-review">69</start>
      <end xmlns="http://schemas.wps.cn/vas-ai-hub/contract-review">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a576ac5a-a794-4a1e-8701-8f8c4f262811</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
      <paraID xmlns="http://schemas.wps.cn/vas-ai-hub/contract-review">7C4780C8</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3b5da95c-dba5-4271-a706-f615d1d892fb</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4F9B33B8</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408fcec7-78ca-4d18-9d43-88c6f0e0beaf</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4253B291</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65e7abb6-ba91-42dc-ad82-500cf11bd5d0</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1FF62ABC</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497a3e38-04e6-47e4-b3d5-5cd504711c4f</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169A477E</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c36eed89-9d43-498b-8ab4-25de5ed15d07</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169A477E</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8d2ce786-b3f9-4c96-8de2-83379e564970</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  373119</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1b883d5d-8205-4638-a4c8-fee1e1720a7e</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26DA66CD</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cd76fcdb-145d-46d3-8483-460a9d9a5012</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23A68B42</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ca87b67d-348a-46e2-8eec-a1476fa79874</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26F55503</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9faecbec-9f42-4490-a377-70f0c212d4f2</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26F55503</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aec36b7c-ebec-4431-9827-94eb31ae9625</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126EBF55</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6384ab46-8f45-4ae7-a7e5-3adbc4b7c448</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2B2404A6</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bd4f31e2-53da-4206-9ea9-0973887a0712</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1FD33065</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e8474de5-eb69-40b7-8556-b77ebb6d7568</errorID>
      <errorWord xmlns="http://schemas.wps.cn/vas-ai-hub/contract-review">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涉及</item>
      </candidateList>
      <explain xmlns="http://schemas.wps.cn/vas-ai-hub/contract-review">〈动〉牵涉到；关联到：案子～好几个人｜这个问题～面很广。</explain>
      <paraID xmlns="http://schemas.wps.cn/vas-ai-hub/contract-review">36826A9C</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82015e1c-87b2-42f7-866b-e81bf2dbc088</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4A6E6597</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c3fa7aad-ffb9-4ac6-93f0-31d2295617cd</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4A6E6597</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df70e58f-a656-4981-aabd-3515e558b2ac</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351A997A</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5f843567-9048-4b36-9066-0a979bc90b71</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6B7DDDFA</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1cb5fc33-b7e8-4a69-8beb-7171d274df25</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56B9A725</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76ecfb24-399f-459c-ba84-78b266c9dbad</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570CC2A7</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24bc9ad0-6e0a-4f1c-bb3f-a539378df0ad</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570CC2A7</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553c193d-e450-493e-95c8-4b6b91be5e63</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
      <paraID xmlns="http://schemas.wps.cn/vas-ai-hub/contract-review"> 3ACE094</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1cf30f0a-5480-4f50-b212-1e800f598eda</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30001833</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49092ab8-a726-4941-84c0-452b0947c998</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77EEC769</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cc0e739f-39c2-4ab0-9852-9f941f7830fc</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1E6504F4</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21ad5c87-80c8-4482-a69b-ceeb71a8652f</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4D339903</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3e09aae2-3139-4219-84ec-1c0b0fa952ea</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4D339903</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4ab4a598-3049-481f-9224-48c435dd2fc1</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
      <paraID xmlns="http://schemas.wps.cn/vas-ai-hub/contract-review">17F3EC8B</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011fdc77-95a7-412f-907b-3594e08426c5</errorID>
      <errorWord xmlns="http://schemas.wps.cn/vas-ai-hub/contract-review">中华人民共和国自然保护条例</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中华人民共和国自然保护区条例</item>
      </candidateList>
      <explain xmlns="http://schemas.wps.cn/vas-ai-hub/contract-review">当前法律法规未收录或尚未生效，注意核查是否正确。</explain>
      <paraID xmlns="http://schemas.wps.cn/vas-ai-hub/contract-review">578F17D6</paraID>
      <start xmlns="http://schemas.wps.cn/vas-ai-hub/contract-review">19</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13b2dad5-e3ec-435b-8698-ee00477dd83e</errorID>
      <errorWord xmlns="http://schemas.wps.cn/vas-ai-hub/contract-review">等有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〈助〉❶〈书〉用在人称代词或指人的名词后面，表示复数：我～｜彼～。❷表示列举未尽（可以叠用）：北京、天津～地｜纸张文具～～。❸列举后煞尾：长江、黄河、黑龙江、珠江～四大河流。</explain>
      <paraID xmlns="http://schemas.wps.cn/vas-ai-hub/contract-review">578F17D6</paraID>
      <start xmlns="http://schemas.wps.cn/vas-ai-hub/contract-review">101</start>
      <end xmlns="http://schemas.wps.cn/vas-ai-hub/contract-review">103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6fe211fd-4d55-40e5-9573-831143a9e9f8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27926215</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42afe574-4899-4795-98c2-2f98b5fb2c7f</errorID>
      <errorWord xmlns="http://schemas.wps.cn/vas-ai-hub/contract-review">生物多样性维护</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生物多样性保护</item>
      </candidateList>
      <explain xmlns="http://schemas.wps.cn/vas-ai-hub/contract-review">词汇“生物多样性保护”在特定场景下为固定表述形式，请确认此处的“生物多样性维护”是否存在不当。</explain>
      <paraID xmlns="http://schemas.wps.cn/vas-ai-hub/contract-review">27926215</paraID>
      <start xmlns="http://schemas.wps.cn/vas-ai-hub/contract-review">98</start>
      <end xmlns="http://schemas.wps.cn/vas-ai-hub/contract-review">105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4c12c9f2-4935-4ef8-9a89-292d9a1773ef</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6260F6A1</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4396c880-d1da-4e6a-ba0f-9f104ef04a7d</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35680EDE</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9478f224-2f6e-4fde-9f1d-07050f200add</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740F3A67</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57e5edb5-87b2-469e-8707-52c71c37a667</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  4BF726</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b99edbee-1291-4e03-80f7-82fff8d502b9</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  4BF726</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0c0de1e5-6a73-4d81-8f91-c4fee34baee8</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
      <paraID xmlns="http://schemas.wps.cn/vas-ai-hub/contract-review">11C9D1F7</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09737591-7c92-4244-8ddf-dbc1cbfe17ff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17256D0C</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e02deb12-47de-4ea8-9828-c6792f3c01d1</errorID>
      <errorWord xmlns="http://schemas.wps.cn/vas-ai-hub/contract-review">生物多样性维护</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生物多样性保护</item>
      </candidateList>
      <explain xmlns="http://schemas.wps.cn/vas-ai-hub/contract-review">词汇“生物多样性保护”在特定场景下为固定表述形式，请确认此处的“生物多样性维护”是否存在不当。</explain>
      <paraID xmlns="http://schemas.wps.cn/vas-ai-hub/contract-review">17256D0C</paraID>
      <start xmlns="http://schemas.wps.cn/vas-ai-hub/contract-review">98</start>
      <end xmlns="http://schemas.wps.cn/vas-ai-hub/contract-review">105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bb0727b1-d0e0-4e7c-b6f9-cdc208491250</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553A5625</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ee709d8e-167f-41e1-9d89-87bc85e08112</errorID>
      <errorWord xmlns="http://schemas.wps.cn/vas-ai-hub/contract-review">或是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或</item>
      </candidateList>
      <explain xmlns="http://schemas.wps.cn/vas-ai-hub/contract-review">❶〈副〉或许；也许：慰问团已经起程，明日上午～可到达。❷〈连〉或者v▲：～多～少｜不解决桥～船的问题，过河就是一句空话｜他生怕我没听清～不注意，所以又嘱咐了一遍。❸〈书〉〈代〉指示代词。某人；有的人：～告之曰。❹〈书〉副稍微：不可～缺｜不可～忽。</explain>
      <paraID xmlns="http://schemas.wps.cn/vas-ai-hub/contract-review">2E1E1F8D</paraID>
      <start xmlns="http://schemas.wps.cn/vas-ai-hub/contract-review">24</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b443873f-a537-4ee5-9b4e-d2ef19100239</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54AD2615</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31f505b8-73f7-4b6f-bcd5-ef76e98d9480</errorID>
      <errorWord xmlns="http://schemas.wps.cn/vas-ai-hub/contract-review">生物多样性维护</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生物多样性保护</item>
      </candidateList>
      <explain xmlns="http://schemas.wps.cn/vas-ai-hub/contract-review">词汇“生物多样性保护”在特定场景下为固定表述形式，请确认此处的“生物多样性维护”是否存在不当。</explain>
      <paraID xmlns="http://schemas.wps.cn/vas-ai-hub/contract-review">30C799A3</paraID>
      <start xmlns="http://schemas.wps.cn/vas-ai-hub/contract-review">55</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1dd367c1-c979-4fc5-8406-3a0a48fc8449</errorID>
      <errorWord xmlns="http://schemas.wps.cn/vas-ai-hub/contract-review">无废城市</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“无废城市”</item>
      </candidateList>
      <explain xmlns="http://schemas.wps.cn/vas-ai-hub/contract-review">注意检查当前固定表述标点是否使用规范。</explain>
      <paraID xmlns="http://schemas.wps.cn/vas-ai-hub/contract-review">6C9BEBCB</paraID>
      <start xmlns="http://schemas.wps.cn/vas-ai-hub/contract-review">23</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f6809e42-6d26-49c5-be6d-1fd9e7a00f10</errorID>
      <errorWord xmlns="http://schemas.wps.cn/vas-ai-hub/contract-review">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全过</item>
      </candidateList>
      <explain xmlns="http://schemas.wps.cn/vas-ai-hub/contract-review"/>
      <paraID xmlns="http://schemas.wps.cn/vas-ai-hub/contract-review">6C9BEBCB</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0aadb279-ee14-4c79-9f87-421acbf1cba1</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498DB950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6851de1b-7f06-4111-8d81-d26b7b233b37</errorID>
      <errorWord xmlns="http://schemas.wps.cn/vas-ai-hub/contract-review">市委市政府</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市委、市政府</item>
      </candidateList>
      <explain xmlns="http://schemas.wps.cn/vas-ai-hub/contract-review"/>
      <paraID xmlns="http://schemas.wps.cn/vas-ai-hub/contract-review">13091C2E</paraID>
      <start xmlns="http://schemas.wps.cn/vas-ai-hub/contract-review">12</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a4b092c9-8b7e-408c-8362-d1a52c8d6950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58C3BB85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d6c47284-58b1-440b-88d5-b7da46e53e85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67FDB68E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94b7222a-aa96-4f63-b9a9-adf0e7762537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B514C3E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11bb7f9e-9ba7-4cac-9b48-b88981f6134d</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48E69428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eacdf8ee-2bd3-4c04-aa8d-7faa7d1cae9c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1F213368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9eb2069b-ce18-48a7-866e-08cede16cb23</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》第</item>
      </candidateList>
      <explain xmlns="http://schemas.wps.cn/vas-ai-hub/contract-review"/>
      <paraID xmlns="http://schemas.wps.cn/vas-ai-hub/contract-review">57BDCDC9</paraID>
      <start xmlns="http://schemas.wps.cn/vas-ai-hub/contract-review">36</start>
      <end xmlns="http://schemas.wps.cn/vas-ai-hub/contract-review">37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7060d330-3f62-4f1c-9149-3811005c2409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50C8244D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9c8e8285-b23e-4e9d-8c33-c0f001a4f01d</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1F9A1F68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b11b507c-f358-45d5-b1f5-b4060af16052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632F3998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b5bdba2d-424a-46f8-a9d5-f2cd74075148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58C542CA</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6e760b3f-91fd-47c3-a085-a7a4fdb2a7f5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58C542CA</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702f3069-e9c8-4c77-8ded-d1062eb384d2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58C542CA</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2b83f067-f3b4-42b4-922d-4a1eb1737835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324A274D</paraID>
      <start xmlns="http://schemas.wps.cn/vas-ai-hub/contract-review">35</start>
      <end xmlns="http://schemas.wps.cn/vas-ai-hub/contract-review">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c9c27fff-debc-4074-afa8-95011678dd89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324A274D</paraID>
      <start xmlns="http://schemas.wps.cn/vas-ai-hub/contract-review">44</start>
      <end xmlns="http://schemas.wps.cn/vas-ai-hub/contract-review">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ec4350d8-fbfd-4baa-930f-ab9c6acb7054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2271B5AF</paraID>
      <start xmlns="http://schemas.wps.cn/vas-ai-hub/contract-review">25</start>
      <end xmlns="http://schemas.wps.cn/vas-ai-hub/contract-review">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bad06be8-0525-4b76-9e5c-3cab76b5598f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2271B5AF</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74a4b338-7c8f-4c4c-a4ac-36097933c57d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2271B5AF</paraID>
      <start xmlns="http://schemas.wps.cn/vas-ai-hub/contract-review">41</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b820d14c-02d7-45cd-a361-a1fef3bede17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2271B5AF</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cc2c5784-0380-45e3-a6c8-1bb3f9805323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41E23220</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23b8cf7f-f7df-4fa3-b936-6d5d518c52f3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41E23220</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53994432-7bcf-4740-a419-e561fde733e2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41E23220</paraID>
      <start xmlns="http://schemas.wps.cn/vas-ai-hub/contract-review">42</start>
      <end xmlns="http://schemas.wps.cn/vas-ai-hub/contract-review">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d2d2d55e-84e5-434e-841d-63122a28f61d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41E23220</paraID>
      <start xmlns="http://schemas.wps.cn/vas-ai-hub/contract-review">51</start>
      <end xmlns="http://schemas.wps.cn/vas-ai-hub/contract-review">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aa7d6213-8f24-4dfa-8e32-30d2f0a8d3a5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5C847575</paraID>
      <start xmlns="http://schemas.wps.cn/vas-ai-hub/contract-review">20</start>
      <end xmlns="http://schemas.wps.cn/vas-ai-hub/contract-review">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49932f3a-a284-4b9f-8f95-c1f7cf7b6880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261414BF</paraID>
      <start xmlns="http://schemas.wps.cn/vas-ai-hub/contract-review">79</start>
      <end xmlns="http://schemas.wps.cn/vas-ai-hub/contract-review">80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a56116fb-c787-4ade-aa41-18b3bc6dd04b</errorID>
      <errorWord xmlns="http://schemas.wps.cn/vas-ai-hub/contract-review">加掖</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加固</item>
      </candidateList>
      <explain xmlns="http://schemas.wps.cn/vas-ai-hub/contract-review"/>
      <paraID xmlns="http://schemas.wps.cn/vas-ai-hub/contract-review">6B7BF1C6</paraID>
      <start xmlns="http://schemas.wps.cn/vas-ai-hub/contract-review">88</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20b59c2b-131c-43da-9bfb-80e8c72f24ac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5073BB2D</paraID>
      <start xmlns="http://schemas.wps.cn/vas-ai-hub/contract-review">31</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cba46420-f70c-45ae-9c61-27bc374654fc</errorID>
      <errorWord xmlns="http://schemas.wps.cn/vas-ai-hub/contract-review">棚河</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沿河</item>
      </candidateList>
      <explain xmlns="http://schemas.wps.cn/vas-ai-hub/contract-review"/>
      <paraID xmlns="http://schemas.wps.cn/vas-ai-hub/contract-review">14F5F491</paraID>
      <start xmlns="http://schemas.wps.cn/vas-ai-hub/contract-review">50</start>
      <end xmlns="http://schemas.wps.cn/vas-ai-hub/contract-review">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b40669e6-9826-4b7d-98a9-0114fe3edc8c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3AB40EDB</paraID>
      <start xmlns="http://schemas.wps.cn/vas-ai-hub/contract-review">106</start>
      <end xmlns="http://schemas.wps.cn/vas-ai-hub/contract-review">107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91380cc7-76dc-46d6-a9d4-efa766257ece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4674AC52</paraID>
      <start xmlns="http://schemas.wps.cn/vas-ai-hub/contract-review">63</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1011e097-1319-401e-bb98-f5cb4a64eb5f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4674AC52</paraID>
      <start xmlns="http://schemas.wps.cn/vas-ai-hub/contract-review">112</start>
      <end xmlns="http://schemas.wps.cn/vas-ai-hub/contract-review">113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6d8bfb81-195f-4f23-9920-67f3db46b4fa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6C0C0BB6</paraID>
      <start xmlns="http://schemas.wps.cn/vas-ai-hub/contract-review">42</start>
      <end xmlns="http://schemas.wps.cn/vas-ai-hub/contract-review">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e2c82530-07bb-4ad0-b2c0-ada9d8ff6257</errorID>
      <errorWord xmlns="http://schemas.wps.cn/vas-ai-hub/contract-review">管</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管道</item>
      </candidateList>
      <explain xmlns="http://schemas.wps.cn/vas-ai-hub/contract-review"/>
      <paraID xmlns="http://schemas.wps.cn/vas-ai-hub/contract-review">25E23685</paraID>
      <start xmlns="http://schemas.wps.cn/vas-ai-hub/contract-review">89</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4ec04cab-2c89-4df2-8b3d-6a2b3ad927f2</errorID>
      <errorWord xmlns="http://schemas.wps.cn/vas-ai-hub/contract-review">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长</item>
      </candidateList>
      <explain xmlns="http://schemas.wps.cn/vas-ai-hub/contract-review"/>
      <paraID xmlns="http://schemas.wps.cn/vas-ai-hub/contract-review">45842EA1</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10b01a00-1526-4ad8-88a3-b8e90716f592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60461A8B</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b597c8d6-0956-49b9-b89e-867a7bde652c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7C753443</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ce02c7f0-332e-4066-91cd-ae2fcedcdf62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7EC9ABBD</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53fe4ba1-c60f-40dc-93dc-5752983356f6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22180468</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4802d012-dd71-4765-97be-da0ea288f807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22180468</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1620f766-af4c-435b-ba84-237718e868e1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22180468</paraID>
      <start xmlns="http://schemas.wps.cn/vas-ai-hub/contract-review">65</start>
      <end xmlns="http://schemas.wps.cn/vas-ai-hub/contract-review">66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ef0a1b7b-9258-4720-9a17-83f19a3422d3</errorID>
      <errorWord xmlns="http://schemas.wps.cn/vas-ai-hub/contract-review">粱</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梁</item>
      </candidateList>
      <explain xmlns="http://schemas.wps.cn/vas-ai-hub/contract-review">存在发音相同字词的误用。</explain>
      <paraID xmlns="http://schemas.wps.cn/vas-ai-hub/contract-review">60D85F4A</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fcbebf61-d88e-40d9-99cf-8ba039480d3c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67CC96A3</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fee45d66-44d7-49b9-a964-4760855bf8df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67CC96A3</paraID>
      <start xmlns="http://schemas.wps.cn/vas-ai-hub/contract-review">75</start>
      <end xmlns="http://schemas.wps.cn/vas-ai-hub/contract-review">76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1b5c0d62-79e0-456e-b000-6ef10804edb2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5887D6C</paraID>
      <start xmlns="http://schemas.wps.cn/vas-ai-hub/contract-review">74</start>
      <end xmlns="http://schemas.wps.cn/vas-ai-hub/contract-review">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8991b26f-a641-456b-a64e-b1c3443937d0</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47D0E1E3</paraID>
      <start xmlns="http://schemas.wps.cn/vas-ai-hub/contract-review">26</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d8a04f9d-41fc-4b15-b2c8-0493fda1026c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2631C1FC</paraID>
      <start xmlns="http://schemas.wps.cn/vas-ai-hub/contract-review">61</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6e03a5c1-2b8a-405d-b0dd-533a9b5ab663</errorID>
      <errorWord xmlns="http://schemas.wps.cn/vas-ai-hub/contract-review">进</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进入</item>
      </candidateList>
      <explain xmlns="http://schemas.wps.cn/vas-ai-hub/contract-review">〈动〉支进到某个范围或某个时期里：～学校｜～新阶段◇～角色。</explain>
      <paraID xmlns="http://schemas.wps.cn/vas-ai-hub/contract-review">101E20B1</paraID>
      <start xmlns="http://schemas.wps.cn/vas-ai-hub/contract-review">107</start>
      <end xmlns="http://schemas.wps.cn/vas-ai-hub/contract-review">108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48a8b8ce-3e1a-43e5-946d-f0c15a49933a</errorID>
      <errorWord xmlns="http://schemas.wps.cn/vas-ai-hub/contract-review">加强对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加强</item>
      </candidateList>
      <explain xmlns="http://schemas.wps.cn/vas-ai-hub/contract-review"/>
      <paraID xmlns="http://schemas.wps.cn/vas-ai-hub/contract-review">42558DE8</paraID>
      <start xmlns="http://schemas.wps.cn/vas-ai-hub/contract-review">8</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f6511c34-347b-4feb-b413-77ddf79b8a4e</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 899412A</paraID>
      <start xmlns="http://schemas.wps.cn/vas-ai-hub/contract-review">4</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bd69b813-bd0d-49ee-b22f-89ea43059bda</errorID>
      <errorWord xmlns="http://schemas.wps.cn/vas-ai-hub/contract-review">2026年04月</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2026年4月</item>
      </candidateList>
      <explain xmlns="http://schemas.wps.cn/vas-ai-hub/contract-review">根据日常书写习惯，月份一般会省略前导零。</explain>
      <paraID xmlns="http://schemas.wps.cn/vas-ai-hub/contract-review">424CEE80</paraID>
      <start xmlns="http://schemas.wps.cn/vas-ai-hub/contract-review">17</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aec3b184-5132-49d4-b483-e016965bd481</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216E93C6</paraID>
      <start xmlns="http://schemas.wps.cn/vas-ai-hub/contract-review">19</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049a3e0c-0b17-45b6-9bbd-f7065524e951</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3119C2ED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081b7d59-f54e-4097-950f-7b4b4a69f2c7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76F5DB86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5400434b-b860-427a-ada9-089b887972f7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2BDA9E55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d906b135-96d7-4642-a260-1b2bf8d35605</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75D61E18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3555f0cc-38af-4a24-9fbc-122ad5b58adb</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5DD7E5D9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6368fed8-4f70-4735-9dae-650898137fc1</errorID>
      <errorWord xmlns="http://schemas.wps.cn/vas-ai-hub/contract-review">棚河</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沿河</item>
      </candidateList>
      <explain xmlns="http://schemas.wps.cn/vas-ai-hub/contract-review"/>
      <paraID xmlns="http://schemas.wps.cn/vas-ai-hub/contract-review">3E999CEF</paraID>
      <start xmlns="http://schemas.wps.cn/vas-ai-hub/contract-review">53</start>
      <end xmlns="http://schemas.wps.cn/vas-ai-hub/contract-review">55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7932db9b-0880-493d-9b51-53db3f17b57b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3E999CEF</paraID>
      <start xmlns="http://schemas.wps.cn/vas-ai-hub/contract-review">168</start>
      <end xmlns="http://schemas.wps.cn/vas-ai-hub/contract-review">169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8803803c-a84e-414b-8364-51300979112d</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78A489AD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411cce0d-8645-4e40-a2aa-76ab0d0748c4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27B59A0E</paraID>
      <start xmlns="http://schemas.wps.cn/vas-ai-hub/contract-review">63</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ed423797-db16-4043-947d-dd54222c97c3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27B59A0E</paraID>
      <start xmlns="http://schemas.wps.cn/vas-ai-hub/contract-review">112</start>
      <end xmlns="http://schemas.wps.cn/vas-ai-hub/contract-review">113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8e50d546-7160-424e-a8f1-5b7c68f38a6b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869A2FB</paraID>
      <start xmlns="http://schemas.wps.cn/vas-ai-hub/contract-review">42</start>
      <end xmlns="http://schemas.wps.cn/vas-ai-hub/contract-review">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437abb39-c32e-47a6-96a6-83e356e1d4a2</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67DD7DD3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74f4f6db-ba91-40aa-b584-609bf715d7e9</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6E6BF536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4a74c27a-aa94-4e2d-a83e-fc3d952cbde1</errorID>
      <errorWord xmlns="http://schemas.wps.cn/vas-ai-hub/contract-review">管</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管道</item>
      </candidateList>
      <explain xmlns="http://schemas.wps.cn/vas-ai-hub/contract-review"/>
      <paraID xmlns="http://schemas.wps.cn/vas-ai-hub/contract-review">3EAB10BA</paraID>
      <start xmlns="http://schemas.wps.cn/vas-ai-hub/contract-review">94</start>
      <end xmlns="http://schemas.wps.cn/vas-ai-hub/contract-review">95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eac71d62-6b44-4c04-b01f-20d9b3372701</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12135BB2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630b5392-c14f-43ce-b693-d406d3389733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BB18493</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ed4a077a-44de-419f-9474-30b30ca03f8b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3437A4C4</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e8cd71b1-db6d-451b-a41d-d2ea841f0766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EF50894</paraID>
      <start xmlns="http://schemas.wps.cn/vas-ai-hub/contract-review">8</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21311059-6a14-4b5e-94dc-385b2ae09e3f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6956CEEF</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4ea4a99c-7e56-4685-9231-1d1eeb7e6114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6956CEEF</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5b54bed3-497a-459f-8e4c-270cffb38d98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6956CEEF</paraID>
      <start xmlns="http://schemas.wps.cn/vas-ai-hub/contract-review">65</start>
      <end xmlns="http://schemas.wps.cn/vas-ai-hub/contract-review">66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3bb199c1-5d5f-4e4a-a836-7fcec2206631</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72D96938</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0db56e44-e45e-4e82-bf5d-7c18b4d8d633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22FDA85F</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b2d6438a-20ae-489e-9e30-8b5236f7fe9f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22FDA85F</paraID>
      <start xmlns="http://schemas.wps.cn/vas-ai-hub/contract-review">75</start>
      <end xmlns="http://schemas.wps.cn/vas-ai-hub/contract-review">76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e9bf2308-a68f-47cd-ad60-9058fa33d0ba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A16918B</paraID>
      <start xmlns="http://schemas.wps.cn/vas-ai-hub/contract-review">74</start>
      <end xmlns="http://schemas.wps.cn/vas-ai-hub/contract-review">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dde41684-3574-4d8c-a5fa-dedc5e366fb6</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3309D352</paraID>
      <start xmlns="http://schemas.wps.cn/vas-ai-hub/contract-review">26</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44540ea6-b02c-4593-9b45-5816a41a895c</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DC53325</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5674753a-02ac-4df1-849c-ec61194bac08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EAB958</paraID>
      <start xmlns="http://schemas.wps.cn/vas-ai-hub/contract-review">60</start>
      <end xmlns="http://schemas.wps.cn/vas-ai-hub/contract-review">61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24458590-2b3a-45a6-9704-ef291e47886a</errorID>
      <errorWord xmlns="http://schemas.wps.cn/vas-ai-hub/contract-review">12、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233E79AC</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3131673c-e1f1-4805-af99-0b86bc2e56af</errorID>
      <errorWord xmlns="http://schemas.wps.cn/vas-ai-hub/contract-review">主要以排涝安全为主</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以排涝安全为主</item>
      </candidateList>
      <explain xmlns="http://schemas.wps.cn/vas-ai-hub/contract-review"/>
      <paraID xmlns="http://schemas.wps.cn/vas-ai-hub/contract-review">4FD69FF4</paraID>
      <start xmlns="http://schemas.wps.cn/vas-ai-hub/contract-review">3</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32967a98-a4ef-458f-9955-5b9e0dc67e3d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4FD69FF4</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e97b69be-7db9-4fc2-a35c-283a45d623d7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4FD69FF4</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6d1b7c1e-afc7-44ee-b192-661aab8e5334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167A966F</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7798d862-56b2-4bf3-8265-27bf2f7681ec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39D7D7A3</paraID>
      <start xmlns="http://schemas.wps.cn/vas-ai-hub/contract-review">3</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70e5b309-ef86-4d87-b2e1-64b6cfed5a18</errorID>
      <errorWord xmlns="http://schemas.wps.cn/vas-ai-hub/contract-review">粱</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梁</item>
      </candidateList>
      <explain xmlns="http://schemas.wps.cn/vas-ai-hub/contract-review"/>
      <paraID xmlns="http://schemas.wps.cn/vas-ai-hub/contract-review">7344E0FF</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daa4810c-a3a4-4a6d-ada7-5806258137f4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4977BE6</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aea6ba05-ef11-4b57-bb80-8085b5923c67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3D08F97C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8f024852-5c8f-4a1e-94d2-bc7a36e3b813</errorID>
      <errorWord xmlns="http://schemas.wps.cn/vas-ai-hub/contract-review">影响处理</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影像处理</item>
      </candidateList>
      <explain xmlns="http://schemas.wps.cn/vas-ai-hub/contract-review"/>
      <paraID xmlns="http://schemas.wps.cn/vas-ai-hub/contract-review">1C57CCBC</paraID>
      <start xmlns="http://schemas.wps.cn/vas-ai-hub/contract-review">29</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11eaefdc-778c-4e5b-9af9-154325ccb912</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49EFE011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920d3a5b-9628-45bb-93d2-4f63e2b89193</errorID>
      <errorWord xmlns="http://schemas.wps.cn/vas-ai-hub/contract-review">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土</item>
      </candidateList>
      <explain xmlns="http://schemas.wps.cn/vas-ai-hub/contract-review">存在发音相近字词的误用。</explain>
      <paraID xmlns="http://schemas.wps.cn/vas-ai-hub/contract-review">6517E76C</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d5e379e2-b29d-419c-ac46-bd725f49ed3f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770D69ED</paraID>
      <start xmlns="http://schemas.wps.cn/vas-ai-hub/contract-review">89</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9e0dd2e7-c0d7-4e87-97ef-7c616e1b0aaa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770D69ED</paraID>
      <start xmlns="http://schemas.wps.cn/vas-ai-hub/contract-review">100</start>
      <end xmlns="http://schemas.wps.cn/vas-ai-hub/contract-review">101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8c4be914-ba21-4e3f-8201-927674c4a71f</errorID>
      <errorWord xmlns="http://schemas.wps.cn/vas-ai-hub/contract-review">其它杂质</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其他杂质</item>
      </candidateList>
      <explain xmlns="http://schemas.wps.cn/vas-ai-hub/contract-review">词汇[其它杂质]为不规范表述或旧称，其规范书面表述为[其他杂质]。</explain>
      <paraID xmlns="http://schemas.wps.cn/vas-ai-hub/contract-review">58A58D80</paraID>
      <start xmlns="http://schemas.wps.cn/vas-ai-hub/contract-review">52</start>
      <end xmlns="http://schemas.wps.cn/vas-ai-hub/contract-review">56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425447b5-8188-4231-9086-a5ab7a0d5f90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A27B701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ab441d09-e5aa-477d-833c-aeca6f15b019</errorID>
      <errorWord xmlns="http://schemas.wps.cn/vas-ai-hub/contract-review">文化自然遗产</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文化和自然遗产</item>
      </candidateList>
      <explain xmlns="http://schemas.wps.cn/vas-ai-hub/contract-review"/>
      <paraID xmlns="http://schemas.wps.cn/vas-ai-hub/contract-review">30A46540</paraID>
      <start xmlns="http://schemas.wps.cn/vas-ai-hub/contract-review">66</start>
      <end xmlns="http://schemas.wps.cn/vas-ai-hub/contract-review">72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62d5c657-56ad-44eb-838e-71cd0c16b6e5</errorID>
      <errorWord xmlns="http://schemas.wps.cn/vas-ai-hub/contract-review">生物多样性维护</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生物多样性保护</item>
      </candidateList>
      <explain xmlns="http://schemas.wps.cn/vas-ai-hub/contract-review">词汇“生物多样性保护”在特定场景下为固定表述形式，请确认此处的“生物多样性维护”是否存在不当。</explain>
      <paraID xmlns="http://schemas.wps.cn/vas-ai-hub/contract-review">30A46540</paraID>
      <start xmlns="http://schemas.wps.cn/vas-ai-hub/contract-review">107</start>
      <end xmlns="http://schemas.wps.cn/vas-ai-hub/contract-review">114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4140874b-b5d2-4b41-902f-7f59223f8fea</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2DCD1175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152487e6-7a0d-4c24-95a8-ee74a11cfbc8</errorID>
      <errorWord xmlns="http://schemas.wps.cn/vas-ai-hub/contract-review">灯心草</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灯芯草</item>
      </candidateList>
      <explain xmlns="http://schemas.wps.cn/vas-ai-hub/contract-review">词汇[灯心草]为不规范表述或旧称，其规范书面表述为[灯芯草]。</explain>
      <paraID xmlns="http://schemas.wps.cn/vas-ai-hub/contract-review">60820482</paraID>
      <start xmlns="http://schemas.wps.cn/vas-ai-hub/contract-review">36</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994eb89a-5055-4167-acdf-c977318e63ec</errorID>
      <errorWord xmlns="http://schemas.wps.cn/vas-ai-hub/contract-review">年</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年度</item>
      </candidateList>
      <explain xmlns="http://schemas.wps.cn/vas-ai-hub/contract-review"/>
      <paraID xmlns="http://schemas.wps.cn/vas-ai-hub/contract-review">79784FED</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c4b534c4-07b5-43ea-b1fb-54e32548924b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5229260B</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be1bbe4b-9e19-4c31-982d-8486ceb44e9e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5229260B</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2f43410f-0ca0-4296-b300-6aeafa670501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5781D00E</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751446ce-c488-4e4e-99b4-e3102d5efbf4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5781D00E</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312bba86-a4f6-42f4-8abd-854850236a57</errorID>
      <errorWord xmlns="http://schemas.wps.cn/vas-ai-hub/contract-review">提</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提高</item>
      </candidateList>
      <explain xmlns="http://schemas.wps.cn/vas-ai-hub/contract-review">〈动〉使位置、程度、水平、数量、质量等方面比原来高：～水位｜～警惕｜～技术｜～工作效率。</explain>
      <paraID xmlns="http://schemas.wps.cn/vas-ai-hub/contract-review">23C17338</paraID>
      <start xmlns="http://schemas.wps.cn/vas-ai-hub/contract-review">78</start>
      <end xmlns="http://schemas.wps.cn/vas-ai-hub/contract-review">79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48ab8d01-856b-4fe4-aac3-62b829089181</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23C17338</paraID>
      <start xmlns="http://schemas.wps.cn/vas-ai-hub/contract-review">170</start>
      <end xmlns="http://schemas.wps.cn/vas-ai-hub/contract-review">173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ada05f7a-83e9-457f-8237-dd1a908c8ffd</errorID>
      <errorWord xmlns="http://schemas.wps.cn/vas-ai-hub/contract-review">底质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地质</item>
      </candidateList>
      <explain xmlns="http://schemas.wps.cn/vas-ai-hub/contract-review"/>
      <paraID xmlns="http://schemas.wps.cn/vas-ai-hub/contract-review">4F6DF3F3</paraID>
      <start xmlns="http://schemas.wps.cn/vas-ai-hub/contract-review">2</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6c9d9d1f-7fdd-4563-a0e0-f59df95fcf08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5477F092</paraID>
      <start xmlns="http://schemas.wps.cn/vas-ai-hub/contract-review">9</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c899ddd4-be93-4cb8-8d5b-3ea84351c5ef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5477F092</paraID>
      <start xmlns="http://schemas.wps.cn/vas-ai-hub/contract-review">30</start>
      <end xmlns="http://schemas.wps.cn/vas-ai-hub/contract-review">31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4e046451-be35-4972-8c80-5d33480525a8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132C45CC</paraID>
      <start xmlns="http://schemas.wps.cn/vas-ai-hub/contract-review">11</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f608f9d7-485c-4795-a6f0-4538cfea9633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132C45CC</paraID>
      <start xmlns="http://schemas.wps.cn/vas-ai-hub/contract-review">32</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af7a9e89-c47e-4dfa-89cd-1e917e7ffe91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795C03B2</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22cbd521-f2a9-4a48-9534-5787cc122954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795C03B2</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f9af7b7c-fc17-4392-b257-12051c35004d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844F18F</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e7ac809c-d072-48e8-a9c7-216e792442e9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844F18F</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232bd0b9-4009-46a6-8d50-b1675f7b4dd9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3CD5C398</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dbac2e77-4037-4ea3-b052-36a8a73f19e4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3CD5C398</paraID>
      <start xmlns="http://schemas.wps.cn/vas-ai-hub/contract-review">21</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2c30e2fc-1493-4daf-8810-aa8db5d40f4d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2770C7AE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27b5c499-bba7-4e4e-9318-1041e3b4ef47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2770C7AE</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752e0adb-061e-4b90-bf03-4d4007fb4793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2770C7AE</paraID>
      <start xmlns="http://schemas.wps.cn/vas-ai-hub/contract-review">31</start>
      <end xmlns="http://schemas.wps.cn/vas-ai-hub/contract-review">32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44849313-378e-42fa-9257-e4502e4cf4f8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1E46204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081d19d1-8985-4112-ab11-20cffd414d8a</errorID>
      <errorWord xmlns="http://schemas.wps.cn/vas-ai-hub/contract-review">其它段</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其他段</item>
      </candidateList>
      <explain xmlns="http://schemas.wps.cn/vas-ai-hub/contract-review">词汇[其它段]为不规范表述或旧称，其规范书面表述为[其他段]。</explain>
      <paraID xmlns="http://schemas.wps.cn/vas-ai-hub/contract-review">3190E522</paraID>
      <start xmlns="http://schemas.wps.cn/vas-ai-hub/contract-review">76</start>
      <end xmlns="http://schemas.wps.cn/vas-ai-hub/contract-review">79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9ef7d61a-4e39-4f32-a842-b52efa6f4d31</errorID>
      <errorWord xmlns="http://schemas.wps.cn/vas-ai-hub/contract-review">大部份</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大部分</item>
      </candidateList>
      <explain xmlns="http://schemas.wps.cn/vas-ai-hub/contract-review">词汇[大部份]为不规范表述或旧称，其规范书面表述为[大部分]。</explain>
      <paraID xmlns="http://schemas.wps.cn/vas-ai-hub/contract-review">3190E522</paraID>
      <start xmlns="http://schemas.wps.cn/vas-ai-hub/contract-review">217</start>
      <end xmlns="http://schemas.wps.cn/vas-ai-hub/contract-review">220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4410ed92-b401-47cc-9d1b-c20c829d7320</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40970E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aa239b78-89d9-4dc7-aa7b-17a996d1acf2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127BEBFB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d662a8d3-8750-4aeb-8d59-70daf3bf4662</errorID>
      <errorWord xmlns="http://schemas.wps.cn/vas-ai-hub/contract-review">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为</item>
      </candidateList>
      <explain xmlns="http://schemas.wps.cn/vas-ai-hub/contract-review">（爲、為）wèi❶〈书〉帮助；卫护：～吕氏者右袒，～刘氏者左袒。❷〈介〉表示行为的对象；替：～你庆幸｜～人民服务｜～这本书写一篇序。❸〈介〉表示原因、目的：大家都～这件事高兴｜～建设伟大祖国而奋斗。❹〈书〉〈介〉对；向：不足～外人道。</explain>
      <paraID xmlns="http://schemas.wps.cn/vas-ai-hub/contract-review">48B04839</paraID>
      <start xmlns="http://schemas.wps.cn/vas-ai-hub/contract-review">23</start>
      <end xmlns="http://schemas.wps.cn/vas-ai-hub/contract-review">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85b4dc09-b196-41d3-afb9-dbd90c6f86fa</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54BEA4BC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aaa9e256-f324-4b21-b2d8-c6d926986d8e</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82D1E93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871fd14e-054c-4884-b0f6-cd1bc9bbec99</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3C1A1C7A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22fb85ac-191d-4294-bf4a-2bbf3c0de0f4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71047C45</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1181521e-7d86-4c98-96cc-011570501e98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71047C45</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ef4ce13f-45e2-4f2d-ac31-85ede2ca20ca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71047C45</paraID>
      <start xmlns="http://schemas.wps.cn/vas-ai-hub/contract-review">94</start>
      <end xmlns="http://schemas.wps.cn/vas-ai-hub/contract-review">95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ff0aeee2-c8c0-42c3-a92c-3da197b06859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71047C45</paraID>
      <start xmlns="http://schemas.wps.cn/vas-ai-hub/contract-review">103</start>
      <end xmlns="http://schemas.wps.cn/vas-ai-hub/contract-review">104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461129c2-330a-42f0-93c4-dd55da8823e1</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72CA820C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80108934-28dd-448e-9e25-c111633a728a</errorID>
      <errorWord xmlns="http://schemas.wps.cn/vas-ai-hub/contract-review">其它段</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其他段</item>
      </candidateList>
      <explain xmlns="http://schemas.wps.cn/vas-ai-hub/contract-review">词汇[其它段]为不规范表述或旧称，其规范书面表述为[其他段]。</explain>
      <paraID xmlns="http://schemas.wps.cn/vas-ai-hub/contract-review">5DEBE97D</paraID>
      <start xmlns="http://schemas.wps.cn/vas-ai-hub/contract-review">71</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f8a2a0c5-5c22-4524-b11b-738782f5bc2b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5DEBE97D</paraID>
      <start xmlns="http://schemas.wps.cn/vas-ai-hub/contract-review">85</start>
      <end xmlns="http://schemas.wps.cn/vas-ai-hub/contract-review">86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89943b5b-0b4a-4b16-9929-0cc7b86f8a7b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5DEBE97D</paraID>
      <start xmlns="http://schemas.wps.cn/vas-ai-hub/contract-review">93</start>
      <end xmlns="http://schemas.wps.cn/vas-ai-hub/contract-review">94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b1d12d9a-a2db-452e-8990-eaa97171ea8e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5DEBE97D</paraID>
      <start xmlns="http://schemas.wps.cn/vas-ai-hub/contract-review">101</start>
      <end xmlns="http://schemas.wps.cn/vas-ai-hub/contract-review">102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9020bbd3-06ec-4fe6-b0a8-91047563b91b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5DEBE97D</paraID>
      <start xmlns="http://schemas.wps.cn/vas-ai-hub/contract-review">114</start>
      <end xmlns="http://schemas.wps.cn/vas-ai-hub/contract-review">115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e38b6e32-a595-4563-991c-47e9fb8ca105</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73A5D15B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4f0ca6bd-6a19-4e3c-80d6-63acc601297c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3B5D8819</paraID>
      <start xmlns="http://schemas.wps.cn/vas-ai-hub/contract-review">52</start>
      <end xmlns="http://schemas.wps.cn/vas-ai-hub/contract-review">53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f539c867-39cb-4426-bda6-8ac3876588d8</errorID>
      <errorWord xmlns="http://schemas.wps.cn/vas-ai-hub/contract-review">河粱</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河梁</item>
      </candidateList>
      <explain xmlns="http://schemas.wps.cn/vas-ai-hub/contract-review"/>
      <paraID xmlns="http://schemas.wps.cn/vas-ai-hub/contract-review">53F6D5A1</paraID>
      <start xmlns="http://schemas.wps.cn/vas-ai-hub/contract-review">4</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504a13e6-deef-4941-b11c-0d88309fba5d</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13EC3EDC</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f938d361-c3b3-464a-adbf-266e21fde14e</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5C3D7E01</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f2b89ef9-1d6d-4f24-adb8-957fdc4880e5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5F714062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60ec5e1a-104e-41c2-9881-313c3297f394</errorID>
      <errorWord xmlns="http://schemas.wps.cn/vas-ai-hub/contract-review">公</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公里</item>
      </candidateList>
      <explain xmlns="http://schemas.wps.cn/vas-ai-hub/contract-review"/>
      <paraID xmlns="http://schemas.wps.cn/vas-ai-hub/contract-review"> 4F80DE8</paraID>
      <start xmlns="http://schemas.wps.cn/vas-ai-hub/contract-review">33</start>
      <end xmlns="http://schemas.wps.cn/vas-ai-hub/contract-review">34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484d5d2f-45c4-4226-9531-7880b82ed663</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2C112DB8</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0a471fbf-f4bb-4285-af6b-2eaf37beb05d</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36BCF1AC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7fe2a356-dc87-41fb-8bc2-4ee95474c0ff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68390982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6481c3f7-3c87-43fd-adcb-8cf413e959b8</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514265B0</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f745021b-7dee-4455-be09-0c1f0fa086b9</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21C06464</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053fbda6-d5d1-4b41-8199-8f23bdab5e24</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5C76B547</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fbe1a8aa-fbfa-4fbe-82e8-73f98df26b48</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14066894</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caf57e5c-ae40-49f6-aa46-6a9e82572f4a</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68EC2015</paraID>
      <start xmlns="http://schemas.wps.cn/vas-ai-hub/contract-review">24</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dab1102e-d521-4c97-b499-69c6e390c530</errorID>
      <errorWord xmlns="http://schemas.wps.cn/vas-ai-hub/contract-review">13、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7589F432</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a305c69b-0d33-49c4-a301-9dda7cf96546</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613D0357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3dba9c04-397a-40f8-95d6-75e9f5f554c0</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125C60D2</paraID>
      <start xmlns="http://schemas.wps.cn/vas-ai-hub/contract-review">62</start>
      <end xmlns="http://schemas.wps.cn/vas-ai-hub/contract-review">65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680a6468-c9f0-47b7-b0b1-a9550454a02b</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 DCB8BA5</paraID>
      <start xmlns="http://schemas.wps.cn/vas-ai-hub/contract-review">53</start>
      <end xmlns="http://schemas.wps.cn/vas-ai-hub/contract-review">56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e0b28f9c-0e24-4471-bf58-53c11a801645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75D105F7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91d04e64-d0a6-4157-a9a3-ca55ba2d7a81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75D105F7</paraID>
      <start xmlns="http://schemas.wps.cn/vas-ai-hub/contract-review">19</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6d90e7fa-420b-4dac-960f-6baefe491d02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75D105F7</paraID>
      <start xmlns="http://schemas.wps.cn/vas-ai-hub/contract-review">34</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8331b46b-e0d8-4410-be89-5beb8323917e</errorID>
      <errorWord xmlns="http://schemas.wps.cn/vas-ai-hub/contract-review">【2018】29号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〔2018〕29号</item>
      </candidateList>
      <explain xmlns="http://schemas.wps.cn/vas-ai-hub/contract-review">发文字号格式错误。</explain>
      <paraID xmlns="http://schemas.wps.cn/vas-ai-hub/contract-review">36D45BC2</paraID>
      <start xmlns="http://schemas.wps.cn/vas-ai-hub/contract-review">39</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ccb4a04f-cafd-4925-bc29-5764fa3e731e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
      </candidateList>
      <explain xmlns="http://schemas.wps.cn/vas-ai-hub/contract-review">同一形式括号套用。</explain>
      <paraID xmlns="http://schemas.wps.cn/vas-ai-hub/contract-review">70F7071C</paraID>
      <start xmlns="http://schemas.wps.cn/vas-ai-hub/contract-review">14</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b3d511e6-744b-46b7-b460-c0bd3f35a271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70F7071C</paraID>
      <start xmlns="http://schemas.wps.cn/vas-ai-hub/contract-review">20</start>
      <end xmlns="http://schemas.wps.cn/vas-ai-hub/contract-review">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6d5840ad-eafa-4e30-a3ec-a560ea54c46d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70F7071C</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344b36d8-0684-4a28-b6be-472dfff20a04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70F7071C</paraID>
      <start xmlns="http://schemas.wps.cn/vas-ai-hub/contract-review">23</start>
      <end xmlns="http://schemas.wps.cn/vas-ai-hub/contract-review">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cdf56154-7477-4c83-9f8a-4b9f97b42a5e</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277C7BD8</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cd0a909b-065b-4d98-a239-f43bbf7fe83c</errorID>
      <errorWord xmlns="http://schemas.wps.cn/vas-ai-hub/contract-review">浇筑</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浇注</item>
      </candidateList>
      <explain xmlns="http://schemas.wps.cn/vas-ai-hub/contract-review"/>
      <paraID xmlns="http://schemas.wps.cn/vas-ai-hub/contract-review">7F3E3214</paraID>
      <start xmlns="http://schemas.wps.cn/vas-ai-hub/contract-review">120</start>
      <end xmlns="http://schemas.wps.cn/vas-ai-hub/contract-review">122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f249ef54-395b-43d2-8a88-3c2510f1d402</errorID>
      <errorWord xmlns="http://schemas.wps.cn/vas-ai-hub/contract-review">生活废水</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生活污水</item>
      </candidateList>
      <explain xmlns="http://schemas.wps.cn/vas-ai-hub/contract-review"/>
      <paraID xmlns="http://schemas.wps.cn/vas-ai-hub/contract-review">5494AE10</paraID>
      <start xmlns="http://schemas.wps.cn/vas-ai-hub/contract-review">24</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735aca79-c082-401c-ba13-2e3a2c5fcc60</errorID>
      <errorWord xmlns="http://schemas.wps.cn/vas-ai-hub/contract-review">学</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学和</item>
      </candidateList>
      <explain xmlns="http://schemas.wps.cn/vas-ai-hub/contract-review"/>
      <paraID xmlns="http://schemas.wps.cn/vas-ai-hub/contract-review">5494AE10</paraID>
      <start xmlns="http://schemas.wps.cn/vas-ai-hub/contract-review">116</start>
      <end xmlns="http://schemas.wps.cn/vas-ai-hub/contract-review">117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5b5eaed2-f231-4291-bb15-a8651804fd74</errorID>
      <errorWord xmlns="http://schemas.wps.cn/vas-ai-hub/contract-review">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受</item>
      </candidateList>
      <explain xmlns="http://schemas.wps.cn/vas-ai-hub/contract-review">存在字形相近字词的误用。</explain>
      <paraID xmlns="http://schemas.wps.cn/vas-ai-hub/contract-review">66E66CCF</paraID>
      <start xmlns="http://schemas.wps.cn/vas-ai-hub/contract-review">13</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e49c1ddb-23fc-4b2c-9fc0-2f10a82ab9a9</errorID>
      <errorWord xmlns="http://schemas.wps.cn/vas-ai-hub/contract-review">达</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达到</item>
      </candidateList>
      <explain xmlns="http://schemas.wps.cn/vas-ai-hub/contract-review">〈动〉到（多指抽象事物或程度）：达得到｜达不到｜目的没有～｜～国际水平。</explain>
      <paraID xmlns="http://schemas.wps.cn/vas-ai-hub/contract-review">66E66CCF</paraID>
      <start xmlns="http://schemas.wps.cn/vas-ai-hub/contract-review">103</start>
      <end xmlns="http://schemas.wps.cn/vas-ai-hub/contract-review">104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90beb386-4ddb-446e-9a16-03d8a484e2dd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4A47303C</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1cc163a2-b445-424b-bb11-771caa9ad7c9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4A47303C</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5ac43ce7-f5da-414e-b60f-6fc65efc9a6c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19FAF454</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f4801739-7e4c-4cae-bc6d-0276798f1e7e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19FAF454</paraID>
      <start xmlns="http://schemas.wps.cn/vas-ai-hub/contract-review">8</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19e907e0-5ded-43e4-80c0-b694b0b9821d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325CB190</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b6e64727-a764-49cc-aa21-ec8d31295ec0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325CB190</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472facb3-8d00-4c1d-9a0f-30d9c7575d7e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4DC4F911</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2be640eb-f72b-40c7-80ee-be3f88cdc919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4DC4F911</paraID>
      <start xmlns="http://schemas.wps.cn/vas-ai-hub/contract-review">8</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e8d92689-5c35-4d7c-8841-d97c6c1dccbb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8536111</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b749a4e4-d66f-4f0f-b3ee-398289b009cd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8536111</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cd6fa358-12b1-476a-b184-74de77bf530d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BF6DF01</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6e5db592-1aa9-4124-89ef-9f302df7033a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BF6DF01</paraID>
      <start xmlns="http://schemas.wps.cn/vas-ai-hub/contract-review">8</start>
      <end xmlns="http://schemas.wps.cn/vas-ai-hub/contract-review">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b6f496ab-c58c-4b18-aff5-bdca7bf4047e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A79703A</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64c759cd-0f41-4237-a151-da49d5e089ad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A79703A</paraID>
      <start xmlns="http://schemas.wps.cn/vas-ai-hub/contract-review">10</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a136307f-7809-458e-8d46-cb98f4ddff41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6FD30C9A</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1dbc47ad-de8f-40ca-ba45-6e89502acc33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6FD30C9A</paraID>
      <start xmlns="http://schemas.wps.cn/vas-ai-hub/contract-review">10</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6a052606-e2cf-4203-bd9f-fdaab6c45e3b</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2FC4CC5B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594f0640-3329-4379-b377-5df8b153b5dc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64C20F05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a0222f27-7478-4c34-87b5-8c3b7937004d</errorID>
      <errorWord xmlns="http://schemas.wps.cn/vas-ai-hub/contract-review">限制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限值</item>
      </candidateList>
      <explain xmlns="http://schemas.wps.cn/vas-ai-hub/contract-review"/>
      <paraID xmlns="http://schemas.wps.cn/vas-ai-hub/contract-review">607F758F</paraID>
      <start xmlns="http://schemas.wps.cn/vas-ai-hub/contract-review">4</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aa5c5806-57f5-4a48-9065-a58924da00d9</errorID>
      <errorWord xmlns="http://schemas.wps.cn/vas-ai-hub/contract-review">和其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和</item>
      </candidateList>
      <explain xmlns="http://schemas.wps.cn/vas-ai-hub/contract-review">〈量〉用于洗东西换水的次数或一剂药煎的次数：衣裳已经洗了三～｜二～药。</explain>
      <paraID xmlns="http://schemas.wps.cn/vas-ai-hub/contract-review">1F6EFFEE</paraID>
      <start xmlns="http://schemas.wps.cn/vas-ai-hub/contract-review">51</start>
      <end xmlns="http://schemas.wps.cn/vas-ai-hub/contract-review">53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6ec217ea-2edb-4e06-8de2-161c1e0b4d89</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1D919DFC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a3916a26-adba-475d-8444-019d09d84aa0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52A6EED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fc6ae4dd-e111-47cf-8ab5-aa285a17a916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61C704EE</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5177ca63-72ac-4fc0-9e06-73b158b94c6b</errorID>
      <errorWord xmlns="http://schemas.wps.cn/vas-ai-hub/contract-review">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item>
      </candidateList>
      <explain xmlns="http://schemas.wps.cn/vas-ai-hub/contract-review">存在发音相同字词的误用。</explain>
      <paraID xmlns="http://schemas.wps.cn/vas-ai-hub/contract-review">58673153</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e431ee31-6119-4c54-ae2c-691852a63c80</errorID>
      <errorWord xmlns="http://schemas.wps.cn/vas-ai-hub/contract-review">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item>
      </candidateList>
      <explain xmlns="http://schemas.wps.cn/vas-ai-hub/contract-review">存在发音相同字词的误用。</explain>
      <paraID xmlns="http://schemas.wps.cn/vas-ai-hub/contract-review">64B8BFC1</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d46cb355-7ca9-4c6c-94d4-dcc3d0241cc2</errorID>
      <errorWord xmlns="http://schemas.wps.cn/vas-ai-hub/contract-review">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item>
      </candidateList>
      <explain xmlns="http://schemas.wps.cn/vas-ai-hub/contract-review">存在发音相同字词的误用。</explain>
      <paraID xmlns="http://schemas.wps.cn/vas-ai-hub/contract-review">45D8DF4D</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c287557c-4057-4545-9891-e915fdc6e7e2</errorID>
      <errorWord xmlns="http://schemas.wps.cn/vas-ai-hub/contract-review">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item>
      </candidateList>
      <explain xmlns="http://schemas.wps.cn/vas-ai-hub/contract-review">存在发音相同字词的误用。</explain>
      <paraID xmlns="http://schemas.wps.cn/vas-ai-hub/contract-review">145C4C34</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bb2b7770-9b1f-41c8-898d-1bbca668cd85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40ED76CB</paraID>
      <start xmlns="http://schemas.wps.cn/vas-ai-hub/contract-review">119</start>
      <end xmlns="http://schemas.wps.cn/vas-ai-hub/contract-review">120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6aa5f021-51b1-4230-95c2-da0019f72aa8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40ED76CB</paraID>
      <start xmlns="http://schemas.wps.cn/vas-ai-hub/contract-review">164</start>
      <end xmlns="http://schemas.wps.cn/vas-ai-hub/contract-review">165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5adfa56d-f373-4874-8524-ddbdc6752d28</errorID>
      <errorWord xmlns="http://schemas.wps.cn/vas-ai-hub/contract-review">针对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xmlns="http://schemas.wps.cn/vas-ai-hub/contract-review">70F3156C</paraID>
      <start xmlns="http://schemas.wps.cn/vas-ai-hub/contract-review">6</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b6be841d-3d5d-4e6c-8836-0d06f9f6515a</errorID>
      <errorWord xmlns="http://schemas.wps.cn/vas-ai-hub/contract-review">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item>
      </candidateList>
      <explain xmlns="http://schemas.wps.cn/vas-ai-hub/contract-review">存在发音相同字词的误用。</explain>
      <paraID xmlns="http://schemas.wps.cn/vas-ai-hub/contract-review">70F3156C</paraID>
      <start xmlns="http://schemas.wps.cn/vas-ai-hub/contract-review">43</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7ce87a2a-c2ac-4f90-8035-b8964d811cc0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16D1F50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da600f23-e62c-451e-9f1d-eada34ed3f19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6DBB3BF1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7ce4143f-c79c-48ad-8464-cb09a28a9e3a</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29A3EAB1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742aeaca-b4ac-4a26-9382-9ae4adeaafab</errorID>
      <errorWord xmlns="http://schemas.wps.cn/vas-ai-hub/contract-review">孳生</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滋生</item>
      </candidateList>
      <explain xmlns="http://schemas.wps.cn/vas-ai-hub/contract-review">词汇[孳生]为不规范表述或旧称，其规范书面表述为[滋生]。</explain>
      <paraID xmlns="http://schemas.wps.cn/vas-ai-hub/contract-review">106F5C60</paraID>
      <start xmlns="http://schemas.wps.cn/vas-ai-hub/contract-review">101</start>
      <end xmlns="http://schemas.wps.cn/vas-ai-hub/contract-review">103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7021d5e0-e05a-468c-8a22-b76941821d0b</errorID>
      <errorWord xmlns="http://schemas.wps.cn/vas-ai-hub/contract-review">其它途径</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其他途径</item>
      </candidateList>
      <explain xmlns="http://schemas.wps.cn/vas-ai-hub/contract-review">词汇[其它途径]为不规范表述或旧称，其规范书面表述为[其他途径]。</explain>
      <paraID xmlns="http://schemas.wps.cn/vas-ai-hub/contract-review">106F5C60</paraID>
      <start xmlns="http://schemas.wps.cn/vas-ai-hub/contract-review">171</start>
      <end xmlns="http://schemas.wps.cn/vas-ai-hub/contract-review">175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9f3c9486-c0ae-42da-bd06-c514c5be373a</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1B377AB6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3e92e87b-a5ba-4a09-98ac-14a76e553a67</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42BE26B1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8ca8fabf-4f7f-4022-8edc-c60451cf3023</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72422089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8fa81d80-d346-4872-bb25-dbd150b24c41</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
      <paraID xmlns="http://schemas.wps.cn/vas-ai-hub/contract-review">2C9AFD5B</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e6c2f418-23b1-48ac-8c66-ab05ea804aaa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50F64A53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1790ebba-a9c5-4f77-9d29-d4edb2df33b2</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71779E79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ccea7a89-06dd-4f09-8dbb-e8112a9529e6</errorID>
      <errorWord xmlns="http://schemas.wps.cn/vas-ai-hub/contract-review">迁栖</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迁徙</item>
      </candidateList>
      <explain xmlns="http://schemas.wps.cn/vas-ai-hub/contract-review"/>
      <paraID xmlns="http://schemas.wps.cn/vas-ai-hub/contract-review">58565976</paraID>
      <start xmlns="http://schemas.wps.cn/vas-ai-hub/contract-review">11</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41ee59c5-f1e5-42c4-8937-63e8b87801c5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10C91AFF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0ad7b310-36f3-4db1-b8c0-ec4e3c77792c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E1D6B40</paraID>
      <start xmlns="http://schemas.wps.cn/vas-ai-hub/contract-review">182</start>
      <end xmlns="http://schemas.wps.cn/vas-ai-hub/contract-review">183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5c4bb078-7df7-497a-b6c7-db7fd62b1952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E1D6B40</paraID>
      <start xmlns="http://schemas.wps.cn/vas-ai-hub/contract-review">209</start>
      <end xmlns="http://schemas.wps.cn/vas-ai-hub/contract-review">210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d6d2c5f7-6ebb-4935-9534-486fe3134802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E1D6B40</paraID>
      <start xmlns="http://schemas.wps.cn/vas-ai-hub/contract-review">220</start>
      <end xmlns="http://schemas.wps.cn/vas-ai-hub/contract-review">221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ba721466-beff-428e-bfa6-c5e36fe9cb81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E1D6B40</paraID>
      <start xmlns="http://schemas.wps.cn/vas-ai-hub/contract-review">244</start>
      <end xmlns="http://schemas.wps.cn/vas-ai-hub/contract-review">245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f3b1f044-d4ca-4dd8-b9bc-bbf441b0d680</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6DED6B03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6d4bbb84-5f75-45d7-9bd3-17adcc5945a3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31BD1F60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30347fbb-3359-4e6b-90e5-f4c9cebea8d6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49E5C8BA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b60df21c-5564-4d39-8542-975db8108743</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E7EAD94</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da6f6047-53b1-49d0-b369-742a4c659afd</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375F22B4</paraID>
      <start xmlns="http://schemas.wps.cn/vas-ai-hub/contract-review">3</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9ee39cf4-2bb2-4bdb-b440-23d9320a565a</errorID>
      <errorWord xmlns="http://schemas.wps.cn/vas-ai-hub/contract-review">进</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进入</item>
      </candidateList>
      <explain xmlns="http://schemas.wps.cn/vas-ai-hub/contract-review">〈动〉支进到某个范围或某个时期里：～学校｜～新阶段◇～角色。</explain>
      <paraID xmlns="http://schemas.wps.cn/vas-ai-hub/contract-review">27937610</paraID>
      <start xmlns="http://schemas.wps.cn/vas-ai-hub/contract-review">94</start>
      <end xmlns="http://schemas.wps.cn/vas-ai-hub/contract-review">95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6a77c40b-da54-4af6-bde7-ee3363983079</errorID>
      <errorWord xmlns="http://schemas.wps.cn/vas-ai-hub/contract-review">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加</item>
      </candidateList>
      <explain xmlns="http://schemas.wps.cn/vas-ai-hub/contract-review">存在发音相近字词的误用。</explain>
      <paraID xmlns="http://schemas.wps.cn/vas-ai-hub/contract-review">11B3D20C</paraID>
      <start xmlns="http://schemas.wps.cn/vas-ai-hub/contract-review">117</start>
      <end xmlns="http://schemas.wps.cn/vas-ai-hub/contract-review">118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c3f82743-3086-42f6-b056-0304d5ad7b77</errorID>
      <errorWord xmlns="http://schemas.wps.cn/vas-ai-hub/contract-review">置</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置在</item>
      </candidateList>
      <explain xmlns="http://schemas.wps.cn/vas-ai-hub/contract-review"/>
      <paraID xmlns="http://schemas.wps.cn/vas-ai-hub/contract-review">615D2060</paraID>
      <start xmlns="http://schemas.wps.cn/vas-ai-hub/contract-review">66</start>
      <end xmlns="http://schemas.wps.cn/vas-ai-hub/contract-review">67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d553226b-f31a-4fb2-bb0c-38447be22334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1C00D83</paraID>
      <start xmlns="http://schemas.wps.cn/vas-ai-hub/contract-review">88</start>
      <end xmlns="http://schemas.wps.cn/vas-ai-hub/contract-review">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772b7dc4-f09c-48d6-baab-e735526d4536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1C00D83</paraID>
      <start xmlns="http://schemas.wps.cn/vas-ai-hub/contract-review">98</start>
      <end xmlns="http://schemas.wps.cn/vas-ai-hub/contract-review">99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f975b753-a4aa-4d37-bf88-1dac58a4caa2</errorID>
      <errorWord xmlns="http://schemas.wps.cn/vas-ai-hub/contract-review">张布</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张贴</item>
      </candidateList>
      <explain xmlns="http://schemas.wps.cn/vas-ai-hub/contract-review"/>
      <paraID xmlns="http://schemas.wps.cn/vas-ai-hub/contract-review">1D50E86B</paraID>
      <start xmlns="http://schemas.wps.cn/vas-ai-hub/contract-review">20</start>
      <end xmlns="http://schemas.wps.cn/vas-ai-hub/contract-review">22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5edece7e-0985-481e-831f-f74ee8ee0155</errorID>
      <errorWord xmlns="http://schemas.wps.cn/vas-ai-hub/contract-review">须</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需</item>
      </candidateList>
      <explain xmlns="http://schemas.wps.cn/vas-ai-hub/contract-review">存在发音相同字词的误用。</explain>
      <paraID xmlns="http://schemas.wps.cn/vas-ai-hub/contract-review">43F11821</paraID>
      <start xmlns="http://schemas.wps.cn/vas-ai-hub/contract-review">95</start>
      <end xmlns="http://schemas.wps.cn/vas-ai-hub/contract-review">96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bf38bd7e-64e7-4f98-a5c6-5534831b28ab</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3D87EDDD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24f2dd9b-6e87-4b51-be88-e911c02edc91</errorID>
      <errorWord xmlns="http://schemas.wps.cn/vas-ai-hub/contract-review">沙</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砂</item>
      </candidateList>
      <explain xmlns="http://schemas.wps.cn/vas-ai-hub/contract-review">存在发音相同字词的误用。</explain>
      <paraID xmlns="http://schemas.wps.cn/vas-ai-hub/contract-review">32F856E7</paraID>
      <start xmlns="http://schemas.wps.cn/vas-ai-hub/contract-review">19</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330e3d3e-409d-449d-a452-93269d79f144</errorID>
      <errorWord xmlns="http://schemas.wps.cn/vas-ai-hub/contract-review">种类</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种</item>
      </candidateList>
      <explain xmlns="http://schemas.wps.cn/vas-ai-hub/contract-review">（種）zhònɡ〈动〉种植：～田｜～麦子｜～棉花◇～牛痘。</explain>
      <paraID xmlns="http://schemas.wps.cn/vas-ai-hub/contract-review"> A18B8D9</paraID>
      <start xmlns="http://schemas.wps.cn/vas-ai-hub/contract-review">70</start>
      <end xmlns="http://schemas.wps.cn/vas-ai-hub/contract-review">72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84c1af33-0d09-4317-839f-aa40c8d777b5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71781E9E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567f6c8e-5378-4a9f-a1a9-d566f617eca1</errorID>
      <errorWord xmlns="http://schemas.wps.cn/vas-ai-hub/contract-review">加强对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加强</item>
      </candidateList>
      <explain xmlns="http://schemas.wps.cn/vas-ai-hub/contract-review"/>
      <paraID xmlns="http://schemas.wps.cn/vas-ai-hub/contract-review">283B7FAC</paraID>
      <start xmlns="http://schemas.wps.cn/vas-ai-hub/contract-review">5</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09b9f172-de62-4317-bcd7-d7a33e1b3434</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，有</item>
      </candidateList>
      <explain xmlns="http://schemas.wps.cn/vas-ai-hub/contract-review"/>
      <paraID xmlns="http://schemas.wps.cn/vas-ai-hub/contract-review"> B908191</paraID>
      <start xmlns="http://schemas.wps.cn/vas-ai-hub/contract-review">16</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53b83001-b1d7-48d2-b5a1-25e010f72286</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15F6E4B4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14b22ae7-dc41-40a6-82d1-44e84beeb808</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
      <paraID xmlns="http://schemas.wps.cn/vas-ai-hub/contract-review"> 7341F8A</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ffce2225-8530-4d84-a0b5-67ba7e36fccf</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 7341F8A</paraID>
      <start xmlns="http://schemas.wps.cn/vas-ai-hub/contract-review">50</start>
      <end xmlns="http://schemas.wps.cn/vas-ai-hub/contract-review">51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44058cf5-d3b7-41e8-a7f8-24b1f22170a0</errorID>
      <errorWord xmlns="http://schemas.wps.cn/vas-ai-hub/contract-review">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动中</item>
      </candidateList>
      <explain xmlns="http://schemas.wps.cn/vas-ai-hub/contract-review"/>
      <paraID xmlns="http://schemas.wps.cn/vas-ai-hub/contract-review"> 7341F8A</paraID>
      <start xmlns="http://schemas.wps.cn/vas-ai-hub/contract-review">188</start>
      <end xmlns="http://schemas.wps.cn/vas-ai-hub/contract-review">189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8a689dd8-dfdc-41a0-a050-ee32d6f06094</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5F5BFD3B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5e52ab31-7c94-4e3c-bdd4-25d4a523b51a</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39C4F8A0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c2cdd817-ffee-44c8-b97f-f7adf9f9c7d5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39FCFE6F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b4c94fa1-6924-41f6-a65c-7bc4212069a9</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25C7FD87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aa542399-0662-4a0d-9d9a-d191350780f4</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6EE8DC14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08e31297-c1a1-4ea3-b104-9a2349e432d8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47321108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73fe6f24-676c-4a1c-a02d-ee593a710d4c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10B18885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41802c3e-c1e2-42f6-a776-240c902646fb</errorID>
      <errorWord xmlns="http://schemas.wps.cn/vas-ai-hub/contract-review">提高</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增强</item>
      </candidateList>
      <explain xmlns="http://schemas.wps.cn/vas-ai-hub/contract-review">“提高～意识”搭配不当，建议修改为“增强～意识”。</explain>
      <paraID xmlns="http://schemas.wps.cn/vas-ai-hub/contract-review">30288404</paraID>
      <start xmlns="http://schemas.wps.cn/vas-ai-hub/contract-review">15</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8cab8583-b61a-434f-8989-8bb3770e980a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4C76390F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78457ffb-c7f8-47d8-b565-093468e83684</errorID>
      <errorWord xmlns="http://schemas.wps.cn/vas-ai-hub/contract-review">监测方法</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检测方法</item>
      </candidateList>
      <explain xmlns="http://schemas.wps.cn/vas-ai-hub/contract-review"/>
      <paraID xmlns="http://schemas.wps.cn/vas-ai-hub/contract-review">389AE233</paraID>
      <start xmlns="http://schemas.wps.cn/vas-ai-hub/contract-review">0</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b8b6ea42-70d7-46d3-9363-037098ba6441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28E4A089</paraID>
      <start xmlns="http://schemas.wps.cn/vas-ai-hub/contract-review">41</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223b29eb-632b-4818-b496-68a2ef2495e2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28E4A089</paraID>
      <start xmlns="http://schemas.wps.cn/vas-ai-hub/contract-review">128</start>
      <end xmlns="http://schemas.wps.cn/vas-ai-hub/contract-review">129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eb880943-e606-4707-8d9c-cda9f553e0ed</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5E9E1A42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d891a5bc-5d96-432d-aa02-458dfba4f6a1</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79B3E90F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c4e989bc-5a71-41df-a7f6-7e2f95968696</errorID>
      <errorWord xmlns="http://schemas.wps.cn/vas-ai-hub/contract-review">拌和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拌合</item>
      </candidateList>
      <explain xmlns="http://schemas.wps.cn/vas-ai-hub/contract-review"/>
      <paraID xmlns="http://schemas.wps.cn/vas-ai-hub/contract-review">32AEE4F2</paraID>
      <start xmlns="http://schemas.wps.cn/vas-ai-hub/contract-review">33</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3af1a041-5b95-4f82-9d1d-7cd5d69f2e61</errorID>
      <errorWord xmlns="http://schemas.wps.cn/vas-ai-hub/contract-review">拌和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拌合</item>
      </candidateList>
      <explain xmlns="http://schemas.wps.cn/vas-ai-hub/contract-review">存在发音相同字词的误用。</explain>
      <paraID xmlns="http://schemas.wps.cn/vas-ai-hub/contract-review">6FD4EB4C</paraID>
      <start xmlns="http://schemas.wps.cn/vas-ai-hub/contract-review">31</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ee0baeaa-1da4-48ca-a6c5-526ae5af6218</errorID>
      <errorWord xmlns="http://schemas.wps.cn/vas-ai-hub/contract-review">需</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需要</item>
      </candidateList>
      <explain xmlns="http://schemas.wps.cn/vas-ai-hub/contract-review">❶〈动〉应该有或必须有：我们～一支强大的科学技术队伍。❷〈名〉对事物的欲望或要求：从群众的～出发。</explain>
      <paraID xmlns="http://schemas.wps.cn/vas-ai-hub/contract-review">6FD4EB4C</paraID>
      <start xmlns="http://schemas.wps.cn/vas-ai-hub/contract-review">49</start>
      <end xmlns="http://schemas.wps.cn/vas-ai-hub/contract-review">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e79bc6db-cd2b-4eb2-b1bd-b4fc0f370cb2</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65854165</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612b724d-5d76-46d4-aba5-ed2f01e29057</errorID>
      <errorWord xmlns="http://schemas.wps.cn/vas-ai-hub/contract-review">作好</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做好</item>
      </candidateList>
      <explain xmlns="http://schemas.wps.cn/vas-ai-hub/contract-review">“作好～工作”搭配不当，建议修改为“做好～工作”。</explain>
      <paraID xmlns="http://schemas.wps.cn/vas-ai-hub/contract-review">65854165</paraID>
      <start xmlns="http://schemas.wps.cn/vas-ai-hub/contract-review">19</start>
      <end xmlns="http://schemas.wps.cn/vas-ai-hub/contract-review">21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8242be98-fd49-4a9d-b82c-5001ca0274dc</errorID>
      <errorWord xmlns="http://schemas.wps.cn/vas-ai-hub/contract-review">遏止</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遏制</item>
      </candidateList>
      <explain xmlns="http://schemas.wps.cn/vas-ai-hub/contract-review">〈动〉制止；控制：～对方的攻势｜～不住的激情。</explain>
      <paraID xmlns="http://schemas.wps.cn/vas-ai-hub/contract-review">65854165</paraID>
      <start xmlns="http://schemas.wps.cn/vas-ai-hub/contract-review">215</start>
      <end xmlns="http://schemas.wps.cn/vas-ai-hub/contract-review">217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9566870b-d2a6-477c-8177-4b37ac5a1f9a</errorID>
      <errorWord xmlns="http://schemas.wps.cn/vas-ai-hub/contract-review">主要以植物措施为主</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以植物措施为主</item>
      </candidateList>
      <explain xmlns="http://schemas.wps.cn/vas-ai-hub/contract-review"/>
      <paraID xmlns="http://schemas.wps.cn/vas-ai-hub/contract-review">65854165</paraID>
      <start xmlns="http://schemas.wps.cn/vas-ai-hub/contract-review">224</start>
      <end xmlns="http://schemas.wps.cn/vas-ai-hub/contract-review">233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ce570755-e10c-491a-ba88-e3837854902b</errorID>
      <errorWord xmlns="http://schemas.wps.cn/vas-ai-hub/contract-review">约为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约</item>
      </candidateList>
      <explain xmlns="http://schemas.wps.cn/vas-ai-hub/contract-review"/>
      <paraID xmlns="http://schemas.wps.cn/vas-ai-hub/contract-review"> E62BBEF</paraID>
      <start xmlns="http://schemas.wps.cn/vas-ai-hub/contract-review">9</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8839ff81-41be-45e2-9261-369aa282b50d</errorID>
      <errorWord xmlns="http://schemas.wps.cn/vas-ai-hub/contract-review">IV</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item>
      </candidateList>
      <explain xmlns="http://schemas.wps.cn/vas-ai-hub/contract-review"/>
      <paraID xmlns="http://schemas.wps.cn/vas-ai-hub/contract-review">4D854280</paraID>
      <start xmlns="http://schemas.wps.cn/vas-ai-hub/contract-review">83</start>
      <end xmlns="http://schemas.wps.cn/vas-ai-hub/contract-review">85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bd9e9b45-3171-416a-b666-083f27a0f8d5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28DA01A9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8d6b64d2-4588-4e95-afb4-e84d203b4549</errorID>
      <errorWord xmlns="http://schemas.wps.cn/vas-ai-hub/contract-review">环保治理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环境治理</item>
      </candidateList>
      <explain xmlns="http://schemas.wps.cn/vas-ai-hub/contract-review"/>
      <paraID xmlns="http://schemas.wps.cn/vas-ai-hub/contract-review">28DA01A9</paraID>
      <start xmlns="http://schemas.wps.cn/vas-ai-hub/contract-review">14</start>
      <end xmlns="http://schemas.wps.cn/vas-ai-hub/contract-review">18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0816fed7-e811-4199-a332-cebf59c2e456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4E7E7A80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76571a6d-fb53-47f9-a7c3-7744abcd9c62</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652E4CA0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b76f1314-654e-42e0-9f8b-25333fbd12d8</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3C3E84F2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04e92c4e-2d1d-4649-bce3-716b5f751188</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457F0431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1dcc5d-1ac0-49c6-ac13-c12ed4d2b19f}">
  <ds:schemaRefs/>
</ds:datastoreItem>
</file>

<file path=docProps/app.xml><?xml version="1.0" encoding="utf-8"?>
<Properties xmlns="http://schemas.openxmlformats.org/officeDocument/2006/extended-properties" xmlns:vt="http://schemas.openxmlformats.org/officeDocument/2006/docPropsVTypes">
  <Template>Normal.dotm</Template>
  <Pages>166</Pages>
  <Words>42</Words>
  <Characters>65</Characters>
  <Lines>542</Lines>
  <Paragraphs>152</Paragraphs>
  <TotalTime>1</TotalTime>
  <ScaleCrop>false</ScaleCrop>
  <LinksUpToDate>false</LinksUpToDate>
  <CharactersWithSpaces>66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2023-04-18T21:25:00Z</dcterms:created>
  <dc:creator>G</dc:creator>
  <cp:lastModifiedBy>木木</cp:lastModifiedBy>
  <cp:lastPrinted>2026-03-30T02:08:00Z</cp:lastPrinted>
  <dcterms:modified xsi:type="dcterms:W3CDTF">2026-04-14T02:43:04Z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2547035237374BBFADA15D150E1CA98C_13</vt:lpwstr>
  </property>
  <property fmtid="{D5CDD505-2E9C-101B-9397-08002B2CF9AE}" pid="4" name="KSOTemplateDocerSaveRecord">
    <vt:lpwstr>eyJoZGlkIjoiYTNiMDY3OWFjYmM5ZjFkMmJjNmQ2MzI2NzU5MWE3NTUiLCJ1c2VySWQiOiIyNjA1NzMxMjIifQ==</vt:lpwstr>
  </property>
</Properties>
</file>