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BA5C6F1">
      <w:pPr>
        <w:rPr>
          <w:color w:val="auto"/>
          <w:highlight w:val="none"/>
        </w:rPr>
      </w:pPr>
    </w:p>
    <w:p w14:paraId="73A44211">
      <w:pPr>
        <w:rPr>
          <w:color w:val="auto"/>
          <w:highlight w:val="none"/>
        </w:rPr>
      </w:pPr>
    </w:p>
    <w:p w14:paraId="7D2AA4F6">
      <w:pPr>
        <w:jc w:val="center"/>
        <w:rPr>
          <w:rFonts w:hint="eastAsia" w:ascii="Times New Roman" w:hAnsi="Times New Roman" w:eastAsia="仿宋_GB2312" w:cs="Times New Roman"/>
          <w:color w:val="auto"/>
          <w:sz w:val="36"/>
          <w:szCs w:val="36"/>
          <w:highlight w:val="none"/>
          <w:lang w:eastAsia="zh-CN"/>
        </w:rPr>
      </w:pPr>
    </w:p>
    <w:p w14:paraId="2E683F1B">
      <w:pPr>
        <w:jc w:val="center"/>
        <w:rPr>
          <w:rFonts w:hint="default" w:ascii="Times New Roman" w:hAnsi="Times New Roman" w:eastAsia="仿宋_GB2312" w:cs="Times New Roman"/>
          <w:color w:val="auto"/>
          <w:sz w:val="36"/>
          <w:szCs w:val="36"/>
          <w:highlight w:val="none"/>
        </w:rPr>
      </w:pPr>
    </w:p>
    <w:p w14:paraId="0E699FB8">
      <w:pPr>
        <w:jc w:val="center"/>
        <w:rPr>
          <w:rFonts w:hint="default" w:ascii="Times New Roman" w:hAnsi="Times New Roman" w:eastAsia="仿宋_GB2312" w:cs="Times New Roman"/>
          <w:color w:val="auto"/>
          <w:sz w:val="36"/>
          <w:szCs w:val="36"/>
          <w:highlight w:val="none"/>
        </w:rPr>
      </w:pPr>
    </w:p>
    <w:p w14:paraId="277796F1">
      <w:pPr>
        <w:adjustRightInd w:val="0"/>
        <w:snapToGrid w:val="0"/>
        <w:jc w:val="center"/>
        <w:outlineLvl w:val="0"/>
        <w:rPr>
          <w:rFonts w:hint="eastAsia" w:ascii="宋体" w:hAnsi="宋体" w:eastAsia="宋体" w:cs="宋体"/>
          <w:bCs/>
          <w:color w:val="auto"/>
          <w:sz w:val="72"/>
          <w:szCs w:val="72"/>
          <w:highlight w:val="none"/>
        </w:rPr>
      </w:pPr>
      <w:r>
        <w:rPr>
          <w:rFonts w:hint="eastAsia" w:ascii="宋体" w:hAnsi="宋体" w:eastAsia="宋体" w:cs="宋体"/>
          <w:b/>
          <w:bCs w:val="0"/>
          <w:color w:val="auto"/>
          <w:sz w:val="72"/>
          <w:szCs w:val="72"/>
          <w:highlight w:val="none"/>
        </w:rPr>
        <w:t>建设项目环境影响报告表</w:t>
      </w:r>
    </w:p>
    <w:p w14:paraId="1E1EF6FB">
      <w:pPr>
        <w:adjustRightInd w:val="0"/>
        <w:snapToGrid w:val="0"/>
        <w:spacing w:before="192" w:beforeLines="80"/>
        <w:jc w:val="center"/>
        <w:rPr>
          <w:rFonts w:hint="eastAsia" w:ascii="宋体" w:hAnsi="宋体" w:eastAsia="宋体" w:cs="宋体"/>
          <w:bCs/>
          <w:color w:val="auto"/>
          <w:sz w:val="48"/>
          <w:szCs w:val="48"/>
          <w:highlight w:val="none"/>
        </w:rPr>
      </w:pPr>
      <w:r>
        <w:rPr>
          <w:rFonts w:hint="eastAsia" w:ascii="宋体" w:hAnsi="宋体" w:eastAsia="宋体" w:cs="宋体"/>
          <w:bCs/>
          <w:color w:val="auto"/>
          <w:sz w:val="48"/>
          <w:szCs w:val="48"/>
          <w:highlight w:val="none"/>
        </w:rPr>
        <w:t>（污染影响类）</w:t>
      </w:r>
    </w:p>
    <w:p w14:paraId="4673761A">
      <w:pPr>
        <w:adjustRightInd w:val="0"/>
        <w:snapToGrid w:val="0"/>
        <w:spacing w:line="288" w:lineRule="auto"/>
        <w:jc w:val="center"/>
        <w:rPr>
          <w:rFonts w:hint="eastAsia" w:ascii="宋体" w:hAnsi="宋体" w:eastAsia="宋体" w:cs="宋体"/>
          <w:color w:val="auto"/>
          <w:kern w:val="44"/>
          <w:sz w:val="44"/>
          <w:szCs w:val="44"/>
          <w:highlight w:val="none"/>
        </w:rPr>
      </w:pPr>
    </w:p>
    <w:p w14:paraId="6042037B">
      <w:pPr>
        <w:jc w:val="center"/>
        <w:rPr>
          <w:rFonts w:hint="eastAsia" w:ascii="宋体" w:hAnsi="宋体" w:eastAsia="宋体" w:cs="宋体"/>
          <w:color w:val="auto"/>
          <w:sz w:val="52"/>
          <w:szCs w:val="52"/>
          <w:highlight w:val="none"/>
        </w:rPr>
      </w:pPr>
    </w:p>
    <w:p w14:paraId="1F31A847">
      <w:pPr>
        <w:ind w:firstLine="1040"/>
        <w:jc w:val="center"/>
        <w:rPr>
          <w:rFonts w:hint="eastAsia" w:ascii="宋体" w:hAnsi="宋体" w:eastAsia="宋体" w:cs="宋体"/>
          <w:color w:val="auto"/>
          <w:sz w:val="44"/>
          <w:szCs w:val="44"/>
          <w:highlight w:val="none"/>
        </w:rPr>
      </w:pPr>
    </w:p>
    <w:p w14:paraId="190585CA">
      <w:pPr>
        <w:ind w:firstLine="1040"/>
        <w:jc w:val="center"/>
        <w:rPr>
          <w:rFonts w:hint="eastAsia" w:ascii="宋体" w:hAnsi="宋体" w:eastAsia="宋体" w:cs="宋体"/>
          <w:color w:val="auto"/>
          <w:sz w:val="44"/>
          <w:szCs w:val="44"/>
          <w:highlight w:val="none"/>
        </w:rPr>
      </w:pPr>
    </w:p>
    <w:p w14:paraId="5E866685">
      <w:pPr>
        <w:ind w:firstLine="1040"/>
        <w:jc w:val="center"/>
        <w:rPr>
          <w:rFonts w:hint="eastAsia" w:ascii="宋体" w:hAnsi="宋体" w:eastAsia="宋体" w:cs="宋体"/>
          <w:color w:val="auto"/>
          <w:sz w:val="44"/>
          <w:szCs w:val="44"/>
          <w:highlight w:val="none"/>
        </w:rPr>
      </w:pPr>
    </w:p>
    <w:p w14:paraId="348D138D">
      <w:pPr>
        <w:ind w:firstLine="1040"/>
        <w:jc w:val="center"/>
        <w:rPr>
          <w:rFonts w:hint="eastAsia" w:ascii="宋体" w:hAnsi="宋体" w:eastAsia="宋体" w:cs="宋体"/>
          <w:color w:val="auto"/>
          <w:sz w:val="44"/>
          <w:szCs w:val="44"/>
          <w:highlight w:val="none"/>
        </w:rPr>
      </w:pPr>
    </w:p>
    <w:p w14:paraId="60D2215A">
      <w:pPr>
        <w:keepNext w:val="0"/>
        <w:keepLines w:val="0"/>
        <w:pageBreakBefore w:val="0"/>
        <w:widowControl w:val="0"/>
        <w:kinsoku/>
        <w:wordWrap/>
        <w:overflowPunct/>
        <w:topLinePunct w:val="0"/>
        <w:autoSpaceDE/>
        <w:autoSpaceDN/>
        <w:bidi w:val="0"/>
        <w:adjustRightInd w:val="0"/>
        <w:snapToGrid w:val="0"/>
        <w:spacing w:line="288" w:lineRule="auto"/>
        <w:ind w:left="3237" w:leftChars="513" w:right="1430" w:rightChars="681" w:hanging="2160" w:hangingChars="600"/>
        <w:textAlignment w:val="auto"/>
        <w:rPr>
          <w:rFonts w:hint="eastAsia" w:ascii="宋体" w:hAnsi="宋体" w:eastAsia="宋体" w:cs="宋体"/>
          <w:color w:val="auto"/>
          <w:sz w:val="36"/>
          <w:szCs w:val="36"/>
          <w:highlight w:val="none"/>
          <w:u w:val="single"/>
          <w:lang w:val="en-US" w:eastAsia="zh-CN"/>
        </w:rPr>
      </w:pPr>
      <w:r>
        <w:rPr>
          <w:rFonts w:hint="eastAsia" w:ascii="宋体" w:hAnsi="宋体" w:eastAsia="宋体" w:cs="宋体"/>
          <w:color w:val="auto"/>
          <w:sz w:val="36"/>
          <w:szCs w:val="36"/>
          <w:highlight w:val="none"/>
        </w:rPr>
        <w:t>项目名称：</w:t>
      </w:r>
      <w:r>
        <w:rPr>
          <w:rFonts w:hint="eastAsia" w:ascii="宋体" w:hAnsi="宋体" w:cs="宋体"/>
          <w:color w:val="auto"/>
          <w:sz w:val="36"/>
          <w:szCs w:val="36"/>
          <w:highlight w:val="none"/>
          <w:u w:val="single"/>
          <w:lang w:val="en-US" w:eastAsia="zh-CN"/>
        </w:rPr>
        <w:t xml:space="preserve">   </w:t>
      </w:r>
      <w:r>
        <w:rPr>
          <w:rFonts w:hint="eastAsia" w:ascii="宋体" w:hAnsi="宋体" w:cs="宋体"/>
          <w:color w:val="auto"/>
          <w:sz w:val="36"/>
          <w:szCs w:val="36"/>
          <w:highlight w:val="none"/>
          <w:u w:val="single"/>
          <w:lang w:eastAsia="zh-CN"/>
        </w:rPr>
        <w:t>年产1000套实验室装备项目</w:t>
      </w:r>
      <w:r>
        <w:rPr>
          <w:rFonts w:hint="eastAsia" w:ascii="宋体" w:hAnsi="宋体" w:eastAsia="宋体" w:cs="宋体"/>
          <w:color w:val="auto"/>
          <w:spacing w:val="-11"/>
          <w:sz w:val="36"/>
          <w:szCs w:val="36"/>
          <w:highlight w:val="none"/>
          <w:u w:val="single"/>
          <w:lang w:val="en-US" w:eastAsia="zh-CN"/>
        </w:rPr>
        <w:t xml:space="preserve">  </w:t>
      </w:r>
    </w:p>
    <w:p w14:paraId="1E0F35A4">
      <w:pPr>
        <w:keepNext w:val="0"/>
        <w:keepLines w:val="0"/>
        <w:pageBreakBefore w:val="0"/>
        <w:widowControl w:val="0"/>
        <w:kinsoku/>
        <w:wordWrap/>
        <w:overflowPunct/>
        <w:topLinePunct w:val="0"/>
        <w:autoSpaceDE/>
        <w:autoSpaceDN/>
        <w:bidi w:val="0"/>
        <w:adjustRightInd w:val="0"/>
        <w:snapToGrid w:val="0"/>
        <w:spacing w:line="288" w:lineRule="auto"/>
        <w:ind w:right="1430" w:rightChars="681" w:firstLine="1014" w:firstLineChars="300"/>
        <w:textAlignment w:val="auto"/>
        <w:rPr>
          <w:rFonts w:hint="eastAsia" w:ascii="宋体" w:hAnsi="宋体" w:eastAsia="宋体" w:cs="宋体"/>
          <w:color w:val="auto"/>
          <w:spacing w:val="-11"/>
          <w:sz w:val="36"/>
          <w:szCs w:val="36"/>
          <w:highlight w:val="none"/>
          <w:u w:val="single"/>
          <w:lang w:val="en-US" w:eastAsia="zh-CN"/>
        </w:rPr>
      </w:pPr>
      <w:r>
        <w:rPr>
          <w:rFonts w:hint="eastAsia" w:ascii="宋体" w:hAnsi="宋体" w:eastAsia="宋体" w:cs="宋体"/>
          <w:color w:val="auto"/>
          <w:spacing w:val="-11"/>
          <w:sz w:val="36"/>
          <w:szCs w:val="36"/>
          <w:highlight w:val="none"/>
        </w:rPr>
        <w:t>建设单位（盖章）：</w:t>
      </w:r>
      <w:r>
        <w:rPr>
          <w:rFonts w:hint="eastAsia" w:ascii="宋体" w:hAnsi="宋体" w:cs="宋体"/>
          <w:color w:val="auto"/>
          <w:spacing w:val="-11"/>
          <w:sz w:val="36"/>
          <w:szCs w:val="36"/>
          <w:highlight w:val="none"/>
          <w:u w:val="single"/>
          <w:lang w:eastAsia="zh-CN"/>
        </w:rPr>
        <w:t>淄博美嘉洁实验室装备有限公司</w:t>
      </w:r>
    </w:p>
    <w:p w14:paraId="00CAB161">
      <w:pPr>
        <w:keepNext w:val="0"/>
        <w:keepLines w:val="0"/>
        <w:pageBreakBefore w:val="0"/>
        <w:widowControl w:val="0"/>
        <w:kinsoku/>
        <w:wordWrap/>
        <w:overflowPunct/>
        <w:topLinePunct w:val="0"/>
        <w:autoSpaceDE/>
        <w:autoSpaceDN/>
        <w:bidi w:val="0"/>
        <w:adjustRightInd w:val="0"/>
        <w:snapToGrid w:val="0"/>
        <w:spacing w:line="288" w:lineRule="auto"/>
        <w:ind w:right="1430" w:rightChars="681" w:firstLine="1080" w:firstLineChars="300"/>
        <w:textAlignment w:val="auto"/>
        <w:rPr>
          <w:rFonts w:hint="eastAsia" w:ascii="宋体" w:hAnsi="宋体" w:eastAsia="宋体" w:cs="宋体"/>
          <w:color w:val="auto"/>
          <w:sz w:val="36"/>
          <w:szCs w:val="36"/>
          <w:highlight w:val="none"/>
          <w:u w:val="single"/>
        </w:rPr>
      </w:pPr>
      <w:r>
        <w:rPr>
          <w:rFonts w:hint="eastAsia" w:ascii="宋体" w:hAnsi="宋体" w:eastAsia="宋体" w:cs="宋体"/>
          <w:color w:val="auto"/>
          <w:sz w:val="36"/>
          <w:szCs w:val="36"/>
          <w:highlight w:val="none"/>
        </w:rPr>
        <w:t>编制日期：</w:t>
      </w:r>
      <w:r>
        <w:rPr>
          <w:rFonts w:hint="eastAsia" w:ascii="宋体" w:hAnsi="宋体" w:eastAsia="宋体" w:cs="宋体"/>
          <w:color w:val="auto"/>
          <w:sz w:val="36"/>
          <w:szCs w:val="36"/>
          <w:highlight w:val="none"/>
          <w:u w:val="single"/>
        </w:rPr>
        <w:t xml:space="preserve">   </w:t>
      </w:r>
      <w:r>
        <w:rPr>
          <w:rFonts w:hint="eastAsia" w:ascii="宋体" w:hAnsi="宋体" w:eastAsia="宋体" w:cs="宋体"/>
          <w:color w:val="auto"/>
          <w:sz w:val="36"/>
          <w:szCs w:val="36"/>
          <w:highlight w:val="none"/>
          <w:u w:val="single"/>
          <w:lang w:val="en-US" w:eastAsia="zh-CN"/>
        </w:rPr>
        <w:t xml:space="preserve">        </w:t>
      </w:r>
      <w:r>
        <w:rPr>
          <w:rFonts w:hint="eastAsia" w:ascii="宋体" w:hAnsi="宋体" w:cs="宋体"/>
          <w:color w:val="auto"/>
          <w:sz w:val="36"/>
          <w:szCs w:val="36"/>
          <w:highlight w:val="none"/>
          <w:u w:val="single"/>
          <w:lang w:val="en-US" w:eastAsia="zh-CN"/>
        </w:rPr>
        <w:t xml:space="preserve"> </w:t>
      </w:r>
      <w:r>
        <w:rPr>
          <w:rFonts w:hint="eastAsia" w:ascii="宋体" w:hAnsi="宋体" w:eastAsia="宋体" w:cs="宋体"/>
          <w:color w:val="auto"/>
          <w:sz w:val="36"/>
          <w:szCs w:val="36"/>
          <w:highlight w:val="none"/>
          <w:u w:val="single"/>
        </w:rPr>
        <w:t>202</w:t>
      </w:r>
      <w:r>
        <w:rPr>
          <w:rFonts w:hint="eastAsia" w:ascii="宋体" w:hAnsi="宋体" w:cs="宋体"/>
          <w:color w:val="auto"/>
          <w:sz w:val="36"/>
          <w:szCs w:val="36"/>
          <w:highlight w:val="none"/>
          <w:u w:val="single"/>
          <w:lang w:val="en-US" w:eastAsia="zh-CN"/>
        </w:rPr>
        <w:t>6</w:t>
      </w:r>
      <w:r>
        <w:rPr>
          <w:rFonts w:hint="eastAsia" w:ascii="宋体" w:hAnsi="宋体" w:eastAsia="宋体" w:cs="宋体"/>
          <w:color w:val="auto"/>
          <w:sz w:val="36"/>
          <w:szCs w:val="36"/>
          <w:highlight w:val="none"/>
          <w:u w:val="single"/>
        </w:rPr>
        <w:t>年</w:t>
      </w:r>
      <w:r>
        <w:rPr>
          <w:rFonts w:hint="eastAsia" w:ascii="宋体" w:hAnsi="宋体" w:cs="宋体"/>
          <w:color w:val="auto"/>
          <w:sz w:val="36"/>
          <w:szCs w:val="36"/>
          <w:highlight w:val="none"/>
          <w:u w:val="single"/>
          <w:lang w:val="en-US" w:eastAsia="zh-CN"/>
        </w:rPr>
        <w:t>5</w:t>
      </w:r>
      <w:r>
        <w:rPr>
          <w:rFonts w:hint="eastAsia" w:ascii="宋体" w:hAnsi="宋体" w:eastAsia="宋体" w:cs="宋体"/>
          <w:color w:val="auto"/>
          <w:sz w:val="36"/>
          <w:szCs w:val="36"/>
          <w:highlight w:val="none"/>
          <w:u w:val="single"/>
        </w:rPr>
        <w:t xml:space="preserve">月   </w:t>
      </w:r>
      <w:r>
        <w:rPr>
          <w:rFonts w:hint="eastAsia" w:ascii="宋体" w:hAnsi="宋体" w:eastAsia="宋体" w:cs="宋体"/>
          <w:color w:val="auto"/>
          <w:sz w:val="36"/>
          <w:szCs w:val="36"/>
          <w:highlight w:val="none"/>
          <w:u w:val="single"/>
          <w:lang w:val="en-US" w:eastAsia="zh-CN"/>
        </w:rPr>
        <w:t xml:space="preserve">      </w:t>
      </w:r>
    </w:p>
    <w:p w14:paraId="6F99662A">
      <w:pPr>
        <w:pStyle w:val="28"/>
        <w:rPr>
          <w:rFonts w:hint="eastAsia" w:ascii="宋体" w:hAnsi="宋体" w:eastAsia="宋体" w:cs="宋体"/>
          <w:color w:val="auto"/>
          <w:sz w:val="36"/>
          <w:szCs w:val="36"/>
          <w:highlight w:val="none"/>
        </w:rPr>
      </w:pPr>
      <w:bookmarkStart w:id="0" w:name="_Hlk57884087"/>
    </w:p>
    <w:p w14:paraId="5DA5D85D">
      <w:pPr>
        <w:rPr>
          <w:rFonts w:hint="eastAsia" w:ascii="宋体" w:hAnsi="宋体" w:eastAsia="宋体" w:cs="宋体"/>
          <w:color w:val="auto"/>
          <w:sz w:val="36"/>
          <w:szCs w:val="36"/>
          <w:highlight w:val="none"/>
        </w:rPr>
      </w:pPr>
    </w:p>
    <w:p w14:paraId="7CEDA7E0">
      <w:pPr>
        <w:pStyle w:val="28"/>
        <w:rPr>
          <w:rFonts w:hint="eastAsia" w:ascii="宋体" w:hAnsi="宋体" w:eastAsia="宋体" w:cs="宋体"/>
          <w:color w:val="auto"/>
          <w:sz w:val="36"/>
          <w:szCs w:val="36"/>
          <w:highlight w:val="none"/>
        </w:rPr>
      </w:pPr>
    </w:p>
    <w:p w14:paraId="0274C9B9">
      <w:pPr>
        <w:rPr>
          <w:rFonts w:hint="eastAsia" w:ascii="宋体" w:hAnsi="宋体" w:eastAsia="宋体" w:cs="宋体"/>
          <w:color w:val="auto"/>
          <w:highlight w:val="none"/>
        </w:rPr>
      </w:pPr>
    </w:p>
    <w:bookmarkEnd w:id="0"/>
    <w:p w14:paraId="5E5D2FC5">
      <w:pPr>
        <w:adjustRightInd w:val="0"/>
        <w:snapToGrid w:val="0"/>
        <w:spacing w:line="288" w:lineRule="auto"/>
        <w:jc w:val="center"/>
        <w:rPr>
          <w:rFonts w:hint="eastAsia" w:ascii="宋体" w:hAnsi="宋体" w:eastAsia="宋体" w:cs="宋体"/>
          <w:color w:val="auto"/>
          <w:sz w:val="36"/>
          <w:szCs w:val="36"/>
          <w:highlight w:val="none"/>
        </w:rPr>
      </w:pPr>
    </w:p>
    <w:p w14:paraId="0EE64025">
      <w:pPr>
        <w:adjustRightInd w:val="0"/>
        <w:snapToGrid w:val="0"/>
        <w:spacing w:line="288" w:lineRule="auto"/>
        <w:jc w:val="center"/>
        <w:rPr>
          <w:rFonts w:hint="eastAsia" w:ascii="宋体" w:hAnsi="宋体" w:eastAsia="宋体" w:cs="宋体"/>
          <w:color w:val="auto"/>
          <w:sz w:val="36"/>
          <w:szCs w:val="36"/>
          <w:highlight w:val="none"/>
        </w:rPr>
      </w:pPr>
    </w:p>
    <w:p w14:paraId="5111D3F6">
      <w:pPr>
        <w:adjustRightInd w:val="0"/>
        <w:snapToGrid w:val="0"/>
        <w:spacing w:line="288" w:lineRule="auto"/>
        <w:jc w:val="center"/>
        <w:rPr>
          <w:rFonts w:hint="default" w:ascii="Times New Roman" w:hAnsi="Times New Roman" w:eastAsia="楷体_GB2312" w:cs="Times New Roman"/>
          <w:color w:val="auto"/>
          <w:sz w:val="36"/>
          <w:szCs w:val="36"/>
          <w:highlight w:val="none"/>
        </w:rPr>
        <w:sectPr>
          <w:footerReference r:id="rId3" w:type="default"/>
          <w:footerReference r:id="rId4" w:type="even"/>
          <w:pgSz w:w="11906" w:h="16838"/>
          <w:pgMar w:top="1417" w:right="907" w:bottom="1417" w:left="907"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ascii="宋体" w:hAnsi="宋体" w:eastAsia="宋体" w:cs="宋体"/>
          <w:color w:val="auto"/>
          <w:sz w:val="36"/>
          <w:szCs w:val="36"/>
          <w:highlight w:val="none"/>
        </w:rPr>
        <w:t>中华人民共和国生态环境部制</w:t>
      </w:r>
    </w:p>
    <w:p w14:paraId="0DE39C6B">
      <w:pPr>
        <w:pStyle w:val="28"/>
        <w:rPr>
          <w:rFonts w:hint="default"/>
          <w:color w:val="auto"/>
          <w:highlight w:val="none"/>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color w:val="auto"/>
          <w:sz w:val="32"/>
          <w:szCs w:val="32"/>
          <w:highlight w:val="none"/>
        </w:rPr>
        <mc:AlternateContent>
          <mc:Choice Requires="wps">
            <w:drawing>
              <wp:anchor distT="0" distB="0" distL="114300" distR="114300" simplePos="0" relativeHeight="251662336" behindDoc="0" locked="0" layoutInCell="1" allowOverlap="1">
                <wp:simplePos x="0" y="0"/>
                <wp:positionH relativeFrom="column">
                  <wp:posOffset>-197485</wp:posOffset>
                </wp:positionH>
                <wp:positionV relativeFrom="paragraph">
                  <wp:posOffset>3132455</wp:posOffset>
                </wp:positionV>
                <wp:extent cx="5570855" cy="1997710"/>
                <wp:effectExtent l="0" t="0" r="0" b="0"/>
                <wp:wrapNone/>
                <wp:docPr id="4" name="矩形 4"/>
                <wp:cNvGraphicFramePr/>
                <a:graphic xmlns:a="http://schemas.openxmlformats.org/drawingml/2006/main">
                  <a:graphicData uri="http://schemas.microsoft.com/office/word/2010/wordprocessingShape">
                    <wps:wsp>
                      <wps:cNvSpPr/>
                      <wps:spPr>
                        <a:xfrm rot="-2640000">
                          <a:off x="567055" y="4632960"/>
                          <a:ext cx="5570855" cy="1997710"/>
                        </a:xfrm>
                        <a:prstGeom prst="rect">
                          <a:avLst/>
                        </a:prstGeom>
                        <a:noFill/>
                        <a:ln>
                          <a:noFill/>
                        </a:ln>
                        <a:effectLst/>
                      </wps:spPr>
                      <wps:txbx>
                        <w:txbxContent>
                          <w:p w14:paraId="74B2A75D">
                            <w:pPr>
                              <w:adjustRightInd w:val="0"/>
                              <w:snapToGrid w:val="0"/>
                              <w:jc w:val="center"/>
                              <w:rPr>
                                <w:rFonts w:hint="default"/>
                                <w:b/>
                                <w:bCs/>
                                <w:color w:val="0000FF"/>
                                <w:sz w:val="44"/>
                                <w:szCs w:val="44"/>
                                <w:lang w:val="en-US" w:eastAsia="zh-CN"/>
                              </w:rPr>
                            </w:pPr>
                            <w:r>
                              <w:rPr>
                                <w:rFonts w:hint="eastAsia"/>
                                <w:b/>
                                <w:bCs/>
                                <w:color w:val="0000FF"/>
                                <w:sz w:val="44"/>
                                <w:szCs w:val="44"/>
                              </w:rPr>
                              <w:t>该</w:t>
                            </w:r>
                            <w:r>
                              <w:rPr>
                                <w:rFonts w:hint="eastAsia"/>
                                <w:b/>
                                <w:bCs/>
                                <w:color w:val="0000FF"/>
                                <w:sz w:val="44"/>
                                <w:szCs w:val="44"/>
                                <w:lang w:eastAsia="zh-CN"/>
                              </w:rPr>
                              <w:t>营业</w:t>
                            </w:r>
                            <w:r>
                              <w:rPr>
                                <w:rFonts w:hint="eastAsia" w:ascii="Times New Roman" w:hAnsi="Times New Roman" w:eastAsia="宋体" w:cs="Times New Roman"/>
                                <w:b/>
                                <w:bCs/>
                                <w:color w:val="0000FF"/>
                                <w:sz w:val="44"/>
                                <w:szCs w:val="44"/>
                                <w:lang w:eastAsia="zh-CN"/>
                              </w:rPr>
                              <w:t>执照仅</w:t>
                            </w:r>
                            <w:r>
                              <w:rPr>
                                <w:rFonts w:hint="eastAsia" w:ascii="Times New Roman" w:hAnsi="Times New Roman" w:eastAsia="宋体" w:cs="Times New Roman"/>
                                <w:b/>
                                <w:bCs/>
                                <w:color w:val="0000FF"/>
                                <w:sz w:val="44"/>
                                <w:szCs w:val="44"/>
                                <w:lang w:val="en-US" w:eastAsia="zh-CN"/>
                              </w:rPr>
                              <w:t>限于</w:t>
                            </w:r>
                            <w:r>
                              <w:rPr>
                                <w:rFonts w:hint="eastAsia"/>
                                <w:b/>
                                <w:bCs/>
                                <w:color w:val="0000FF"/>
                                <w:sz w:val="44"/>
                                <w:szCs w:val="44"/>
                                <w:lang w:val="en-US" w:eastAsia="zh-CN"/>
                              </w:rPr>
                              <w:t>“</w:t>
                            </w:r>
                            <w:r>
                              <w:rPr>
                                <w:rFonts w:hint="eastAsia"/>
                                <w:b/>
                                <w:bCs/>
                                <w:color w:val="0000FF"/>
                                <w:sz w:val="44"/>
                                <w:szCs w:val="44"/>
                                <w:lang w:eastAsia="zh-CN"/>
                              </w:rPr>
                              <w:t>年产1000套实验室装备项目</w:t>
                            </w:r>
                            <w:r>
                              <w:rPr>
                                <w:rFonts w:hint="eastAsia"/>
                                <w:b/>
                                <w:bCs/>
                                <w:color w:val="0000FF"/>
                                <w:sz w:val="44"/>
                                <w:szCs w:val="44"/>
                                <w:lang w:val="en-US" w:eastAsia="zh-CN"/>
                              </w:rPr>
                              <w:t>”使用</w:t>
                            </w:r>
                          </w:p>
                          <w:p w14:paraId="670379F1">
                            <w:pPr>
                              <w:adjustRightInd w:val="0"/>
                              <w:snapToGrid w:val="0"/>
                              <w:jc w:val="center"/>
                              <w:rPr>
                                <w:rFonts w:hint="default" w:ascii="Times New Roman" w:hAnsi="Times New Roman" w:eastAsia="宋体" w:cs="Times New Roman"/>
                                <w:b/>
                                <w:bCs/>
                                <w:color w:val="0000FF"/>
                                <w:sz w:val="44"/>
                                <w:szCs w:val="44"/>
                                <w:lang w:val="en-US" w:eastAsia="zh-CN"/>
                              </w:rPr>
                            </w:pPr>
                          </w:p>
                        </w:txbxContent>
                      </wps:txbx>
                      <wps:bodyPr wrap="square" upright="0">
                        <a:noAutofit/>
                      </wps:bodyPr>
                    </wps:wsp>
                  </a:graphicData>
                </a:graphic>
              </wp:anchor>
            </w:drawing>
          </mc:Choice>
          <mc:Fallback>
            <w:pict>
              <v:rect id="_x0000_s1026" o:spid="_x0000_s1026" o:spt="1" style="position:absolute;left:0pt;margin-left:-15.55pt;margin-top:246.65pt;height:157.3pt;width:438.65pt;rotation:-2883584f;z-index:251662336;mso-width-relative:page;mso-height-relative:page;" filled="f" stroked="f" coordsize="21600,21600" o:gfxdata="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9u+tFNwAAAALAQAADwAAAAAAAAAB&#10;ACAAAAAiAAAAZHJzL2Rvd25yZXYueG1sUEsBAhQAFAAAAAgAh07iQHBGo/zTAQAAkgMAAA4AAAAA&#10;AAAAAQAgAAAAKwEAAGRycy9lMm9Eb2MueG1sUEsFBgAAAAAGAAYAWQEAAHAFAAAAAA==&#10;">
                <v:fill on="f" focussize="0,0"/>
                <v:stroke on="f"/>
                <v:imagedata o:title=""/>
                <o:lock v:ext="edit" aspectratio="f"/>
                <v:textbox>
                  <w:txbxContent>
                    <w:p w14:paraId="74B2A75D">
                      <w:pPr>
                        <w:adjustRightInd w:val="0"/>
                        <w:snapToGrid w:val="0"/>
                        <w:jc w:val="center"/>
                        <w:rPr>
                          <w:rFonts w:hint="default"/>
                          <w:b/>
                          <w:bCs/>
                          <w:color w:val="0000FF"/>
                          <w:sz w:val="44"/>
                          <w:szCs w:val="44"/>
                          <w:lang w:val="en-US" w:eastAsia="zh-CN"/>
                        </w:rPr>
                      </w:pPr>
                      <w:r>
                        <w:rPr>
                          <w:rFonts w:hint="eastAsia"/>
                          <w:b/>
                          <w:bCs/>
                          <w:color w:val="0000FF"/>
                          <w:sz w:val="44"/>
                          <w:szCs w:val="44"/>
                        </w:rPr>
                        <w:t>该</w:t>
                      </w:r>
                      <w:r>
                        <w:rPr>
                          <w:rFonts w:hint="eastAsia"/>
                          <w:b/>
                          <w:bCs/>
                          <w:color w:val="0000FF"/>
                          <w:sz w:val="44"/>
                          <w:szCs w:val="44"/>
                          <w:lang w:eastAsia="zh-CN"/>
                        </w:rPr>
                        <w:t>营业</w:t>
                      </w:r>
                      <w:r>
                        <w:rPr>
                          <w:rFonts w:hint="eastAsia" w:ascii="Times New Roman" w:hAnsi="Times New Roman" w:eastAsia="宋体" w:cs="Times New Roman"/>
                          <w:b/>
                          <w:bCs/>
                          <w:color w:val="0000FF"/>
                          <w:sz w:val="44"/>
                          <w:szCs w:val="44"/>
                          <w:lang w:eastAsia="zh-CN"/>
                        </w:rPr>
                        <w:t>执照仅</w:t>
                      </w:r>
                      <w:r>
                        <w:rPr>
                          <w:rFonts w:hint="eastAsia" w:ascii="Times New Roman" w:hAnsi="Times New Roman" w:eastAsia="宋体" w:cs="Times New Roman"/>
                          <w:b/>
                          <w:bCs/>
                          <w:color w:val="0000FF"/>
                          <w:sz w:val="44"/>
                          <w:szCs w:val="44"/>
                          <w:lang w:val="en-US" w:eastAsia="zh-CN"/>
                        </w:rPr>
                        <w:t>限于</w:t>
                      </w:r>
                      <w:r>
                        <w:rPr>
                          <w:rFonts w:hint="eastAsia"/>
                          <w:b/>
                          <w:bCs/>
                          <w:color w:val="0000FF"/>
                          <w:sz w:val="44"/>
                          <w:szCs w:val="44"/>
                          <w:lang w:val="en-US" w:eastAsia="zh-CN"/>
                        </w:rPr>
                        <w:t>“</w:t>
                      </w:r>
                      <w:r>
                        <w:rPr>
                          <w:rFonts w:hint="eastAsia"/>
                          <w:b/>
                          <w:bCs/>
                          <w:color w:val="0000FF"/>
                          <w:sz w:val="44"/>
                          <w:szCs w:val="44"/>
                          <w:lang w:eastAsia="zh-CN"/>
                        </w:rPr>
                        <w:t>年产1000套实验室装备项目</w:t>
                      </w:r>
                      <w:r>
                        <w:rPr>
                          <w:rFonts w:hint="eastAsia"/>
                          <w:b/>
                          <w:bCs/>
                          <w:color w:val="0000FF"/>
                          <w:sz w:val="44"/>
                          <w:szCs w:val="44"/>
                          <w:lang w:val="en-US" w:eastAsia="zh-CN"/>
                        </w:rPr>
                        <w:t>”使用</w:t>
                      </w:r>
                    </w:p>
                    <w:p w14:paraId="670379F1">
                      <w:pPr>
                        <w:adjustRightInd w:val="0"/>
                        <w:snapToGrid w:val="0"/>
                        <w:jc w:val="center"/>
                        <w:rPr>
                          <w:rFonts w:hint="default" w:ascii="Times New Roman" w:hAnsi="Times New Roman" w:eastAsia="宋体" w:cs="Times New Roman"/>
                          <w:b/>
                          <w:bCs/>
                          <w:color w:val="0000FF"/>
                          <w:sz w:val="44"/>
                          <w:szCs w:val="44"/>
                          <w:lang w:val="en-US" w:eastAsia="zh-CN"/>
                        </w:rPr>
                      </w:pPr>
                    </w:p>
                  </w:txbxContent>
                </v:textbox>
              </v:rect>
            </w:pict>
          </mc:Fallback>
        </mc:AlternateContent>
      </w:r>
      <w:r>
        <w:rPr>
          <w:color w:val="auto"/>
          <w:highlight w:val="none"/>
        </w:rPr>
        <w:drawing>
          <wp:anchor distT="0" distB="0" distL="114300" distR="114300" simplePos="0" relativeHeight="251659264" behindDoc="1" locked="0" layoutInCell="1" allowOverlap="1">
            <wp:simplePos x="0" y="0"/>
            <wp:positionH relativeFrom="column">
              <wp:posOffset>-184785</wp:posOffset>
            </wp:positionH>
            <wp:positionV relativeFrom="paragraph">
              <wp:posOffset>-182880</wp:posOffset>
            </wp:positionV>
            <wp:extent cx="6272530" cy="8870315"/>
            <wp:effectExtent l="0" t="0" r="13970" b="6985"/>
            <wp:wrapNone/>
            <wp:docPr id="5" name="图片 45" descr="ea7611226af2388dcb686d2042bc8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5" descr="ea7611226af2388dcb686d2042bc8441"/>
                    <pic:cNvPicPr>
                      <a:picLocks noChangeAspect="1"/>
                    </pic:cNvPicPr>
                  </pic:nvPicPr>
                  <pic:blipFill>
                    <a:blip r:embed="rId20"/>
                    <a:stretch>
                      <a:fillRect/>
                    </a:stretch>
                  </pic:blipFill>
                  <pic:spPr>
                    <a:xfrm>
                      <a:off x="0" y="0"/>
                      <a:ext cx="6272530" cy="8870315"/>
                    </a:xfrm>
                    <a:prstGeom prst="rect">
                      <a:avLst/>
                    </a:prstGeom>
                    <a:noFill/>
                    <a:ln w="6350">
                      <a:noFill/>
                    </a:ln>
                  </pic:spPr>
                </pic:pic>
              </a:graphicData>
            </a:graphic>
          </wp:anchor>
        </w:drawing>
      </w:r>
    </w:p>
    <w:p w14:paraId="5E9D5524">
      <w:pPr>
        <w:pStyle w:val="25"/>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hint="eastAsia" w:ascii="Times New Roman" w:hAnsi="Times New Roman" w:eastAsia="宋体" w:cs="Times New Roman"/>
          <w:b/>
          <w:bCs/>
          <w:snapToGrid w:val="0"/>
          <w:color w:val="auto"/>
          <w:spacing w:val="0"/>
          <w:kern w:val="21"/>
          <w:sz w:val="30"/>
          <w:szCs w:val="30"/>
          <w:highlight w:val="none"/>
          <w:lang w:eastAsia="zh-CN"/>
        </w:rPr>
        <w:sectPr>
          <w:footerReference r:id="rId5" w:type="default"/>
          <w:pgSz w:w="11906" w:h="16838"/>
          <w:pgMar w:top="1701" w:right="1531" w:bottom="1701" w:left="1531"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r>
        <w:rPr>
          <w:color w:val="auto"/>
          <w:highlight w:val="none"/>
        </w:rPr>
        <mc:AlternateContent>
          <mc:Choice Requires="wps">
            <w:drawing>
              <wp:anchor distT="0" distB="0" distL="114300" distR="114300" simplePos="0" relativeHeight="251660288" behindDoc="0" locked="0" layoutInCell="1" allowOverlap="1">
                <wp:simplePos x="0" y="0"/>
                <wp:positionH relativeFrom="column">
                  <wp:posOffset>-427990</wp:posOffset>
                </wp:positionH>
                <wp:positionV relativeFrom="paragraph">
                  <wp:posOffset>3826510</wp:posOffset>
                </wp:positionV>
                <wp:extent cx="6032500" cy="901700"/>
                <wp:effectExtent l="0" t="0" r="0" b="0"/>
                <wp:wrapNone/>
                <wp:docPr id="1" name="矩形 1"/>
                <wp:cNvGraphicFramePr/>
                <a:graphic xmlns:a="http://schemas.openxmlformats.org/drawingml/2006/main">
                  <a:graphicData uri="http://schemas.microsoft.com/office/word/2010/wordprocessingShape">
                    <wps:wsp>
                      <wps:cNvSpPr/>
                      <wps:spPr>
                        <a:xfrm rot="-1740000">
                          <a:off x="0" y="0"/>
                          <a:ext cx="6032500" cy="901700"/>
                        </a:xfrm>
                        <a:prstGeom prst="rect">
                          <a:avLst/>
                        </a:prstGeom>
                        <a:noFill/>
                        <a:ln>
                          <a:noFill/>
                        </a:ln>
                      </wps:spPr>
                      <wps:txbx>
                        <w:txbxContent>
                          <w:p w14:paraId="5400C0A4">
                            <w:pPr>
                              <w:jc w:val="center"/>
                              <w:rPr>
                                <w:rFonts w:hint="eastAsia" w:cs="Times New Roman"/>
                                <w:b/>
                                <w:bCs/>
                                <w:color w:val="0000FF"/>
                                <w:sz w:val="44"/>
                                <w:szCs w:val="44"/>
                                <w:lang w:val="en-US" w:eastAsia="zh-CN"/>
                              </w:rPr>
                            </w:pPr>
                            <w:r>
                              <w:rPr>
                                <w:rFonts w:hint="eastAsia" w:ascii="Times New Roman" w:hAnsi="Times New Roman" w:eastAsia="宋体" w:cs="Times New Roman"/>
                                <w:b/>
                                <w:bCs/>
                                <w:color w:val="0000FF"/>
                                <w:sz w:val="44"/>
                                <w:szCs w:val="44"/>
                                <w:lang w:val="en-US" w:eastAsia="zh-CN"/>
                              </w:rPr>
                              <w:t>该证书仅限于“</w:t>
                            </w:r>
                            <w:r>
                              <w:rPr>
                                <w:rFonts w:hint="eastAsia" w:cs="Times New Roman"/>
                                <w:b/>
                                <w:bCs/>
                                <w:color w:val="0000FF"/>
                                <w:sz w:val="44"/>
                                <w:szCs w:val="44"/>
                                <w:lang w:val="en-US" w:eastAsia="zh-CN"/>
                              </w:rPr>
                              <w:t>年产1000套实验室装备项目”使用</w:t>
                            </w:r>
                          </w:p>
                          <w:p w14:paraId="1DBFB327">
                            <w:pPr>
                              <w:rPr>
                                <w:rFonts w:hint="eastAsia"/>
                                <w:lang w:val="en-US" w:eastAsia="zh-CN"/>
                              </w:rPr>
                            </w:pPr>
                          </w:p>
                        </w:txbxContent>
                      </wps:txbx>
                      <wps:bodyPr wrap="square" upright="0">
                        <a:spAutoFit/>
                      </wps:bodyPr>
                    </wps:wsp>
                  </a:graphicData>
                </a:graphic>
              </wp:anchor>
            </w:drawing>
          </mc:Choice>
          <mc:Fallback>
            <w:pict>
              <v:rect id="_x0000_s1026" o:spid="_x0000_s1026" o:spt="1" style="position:absolute;left:0pt;margin-left:-33.7pt;margin-top:301.3pt;height:71pt;width:475pt;rotation:-1900544f;z-index:251660288;mso-width-relative:page;mso-height-relative:page;" filled="f" stroked="f" coordsize="21600,21600" o:gfxdata="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ZVHQ02gAAAAsBAAAPAAAAAAAAAAEAIAAAACIAAABkcnMvZG93bnJl&#10;di54bWxQSwECFAAUAAAACACHTuJAdqhlA8IBAAB4AwAADgAAAAAAAAABACAAAAApAQAAZHJzL2Uy&#10;b0RvYy54bWxQSwUGAAAAAAYABgBZAQAAXQUAAAAA&#10;">
                <v:fill on="f" focussize="0,0"/>
                <v:stroke on="f"/>
                <v:imagedata o:title=""/>
                <o:lock v:ext="edit" aspectratio="f"/>
                <v:textbox style="mso-fit-shape-to-text:t;">
                  <w:txbxContent>
                    <w:p w14:paraId="5400C0A4">
                      <w:pPr>
                        <w:jc w:val="center"/>
                        <w:rPr>
                          <w:rFonts w:hint="eastAsia" w:cs="Times New Roman"/>
                          <w:b/>
                          <w:bCs/>
                          <w:color w:val="0000FF"/>
                          <w:sz w:val="44"/>
                          <w:szCs w:val="44"/>
                          <w:lang w:val="en-US" w:eastAsia="zh-CN"/>
                        </w:rPr>
                      </w:pPr>
                      <w:r>
                        <w:rPr>
                          <w:rFonts w:hint="eastAsia" w:ascii="Times New Roman" w:hAnsi="Times New Roman" w:eastAsia="宋体" w:cs="Times New Roman"/>
                          <w:b/>
                          <w:bCs/>
                          <w:color w:val="0000FF"/>
                          <w:sz w:val="44"/>
                          <w:szCs w:val="44"/>
                          <w:lang w:val="en-US" w:eastAsia="zh-CN"/>
                        </w:rPr>
                        <w:t>该证书仅限于“</w:t>
                      </w:r>
                      <w:r>
                        <w:rPr>
                          <w:rFonts w:hint="eastAsia" w:cs="Times New Roman"/>
                          <w:b/>
                          <w:bCs/>
                          <w:color w:val="0000FF"/>
                          <w:sz w:val="44"/>
                          <w:szCs w:val="44"/>
                          <w:lang w:val="en-US" w:eastAsia="zh-CN"/>
                        </w:rPr>
                        <w:t>年产1000套实验室装备项目”使用</w:t>
                      </w:r>
                    </w:p>
                    <w:p w14:paraId="1DBFB327">
                      <w:pPr>
                        <w:rPr>
                          <w:rFonts w:hint="eastAsia"/>
                          <w:lang w:val="en-US" w:eastAsia="zh-CN"/>
                        </w:rPr>
                      </w:pPr>
                    </w:p>
                  </w:txbxContent>
                </v:textbox>
              </v:rect>
            </w:pict>
          </mc:Fallback>
        </mc:AlternateContent>
      </w:r>
      <w:r>
        <w:rPr>
          <w:rFonts w:hint="eastAsia" w:eastAsia="宋体"/>
          <w:color w:val="auto"/>
          <w:highlight w:val="none"/>
          <w:lang w:eastAsia="zh-CN"/>
        </w:rPr>
        <w:drawing>
          <wp:anchor distT="0" distB="0" distL="114300" distR="114300" simplePos="0" relativeHeight="251663360" behindDoc="1" locked="0" layoutInCell="1" allowOverlap="1">
            <wp:simplePos x="0" y="0"/>
            <wp:positionH relativeFrom="column">
              <wp:posOffset>-237490</wp:posOffset>
            </wp:positionH>
            <wp:positionV relativeFrom="paragraph">
              <wp:posOffset>-5715</wp:posOffset>
            </wp:positionV>
            <wp:extent cx="5920105" cy="8808085"/>
            <wp:effectExtent l="0" t="0" r="4445" b="12065"/>
            <wp:wrapNone/>
            <wp:docPr id="9" name="图片 36" descr="e96d19e9bb2efc84471ad569ca06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6" descr="e96d19e9bb2efc84471ad569ca06955"/>
                    <pic:cNvPicPr>
                      <a:picLocks noChangeAspect="1"/>
                    </pic:cNvPicPr>
                  </pic:nvPicPr>
                  <pic:blipFill>
                    <a:blip r:embed="rId21"/>
                    <a:srcRect l="2966"/>
                    <a:stretch>
                      <a:fillRect/>
                    </a:stretch>
                  </pic:blipFill>
                  <pic:spPr>
                    <a:xfrm>
                      <a:off x="0" y="0"/>
                      <a:ext cx="5920105" cy="8808085"/>
                    </a:xfrm>
                    <a:prstGeom prst="rect">
                      <a:avLst/>
                    </a:prstGeom>
                    <a:noFill/>
                    <a:ln>
                      <a:noFill/>
                    </a:ln>
                  </pic:spPr>
                </pic:pic>
              </a:graphicData>
            </a:graphic>
          </wp:anchor>
        </w:drawing>
      </w:r>
    </w:p>
    <w:p w14:paraId="474D242E">
      <w:pPr>
        <w:pStyle w:val="25"/>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hint="eastAsia" w:ascii="Times New Roman" w:hAnsi="Times New Roman" w:eastAsia="宋体" w:cs="Times New Roman"/>
          <w:b/>
          <w:bCs/>
          <w:snapToGrid w:val="0"/>
          <w:color w:val="auto"/>
          <w:spacing w:val="0"/>
          <w:kern w:val="21"/>
          <w:sz w:val="30"/>
          <w:szCs w:val="30"/>
          <w:highlight w:val="none"/>
          <w:lang w:eastAsia="zh-CN"/>
        </w:rPr>
        <w:sectPr>
          <w:footerReference r:id="rId6" w:type="default"/>
          <w:pgSz w:w="11906" w:h="16838"/>
          <w:pgMar w:top="1701" w:right="1531" w:bottom="1701" w:left="1531"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r>
        <w:rPr>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-203835</wp:posOffset>
                </wp:positionH>
                <wp:positionV relativeFrom="paragraph">
                  <wp:posOffset>2952115</wp:posOffset>
                </wp:positionV>
                <wp:extent cx="6017260" cy="901700"/>
                <wp:effectExtent l="0" t="0" r="0" b="0"/>
                <wp:wrapNone/>
                <wp:docPr id="145" name="矩形 145"/>
                <wp:cNvGraphicFramePr/>
                <a:graphic xmlns:a="http://schemas.openxmlformats.org/drawingml/2006/main">
                  <a:graphicData uri="http://schemas.microsoft.com/office/word/2010/wordprocessingShape">
                    <wps:wsp>
                      <wps:cNvSpPr/>
                      <wps:spPr>
                        <a:xfrm rot="19860000">
                          <a:off x="0" y="0"/>
                          <a:ext cx="6017260" cy="901700"/>
                        </a:xfrm>
                        <a:prstGeom prst="rect">
                          <a:avLst/>
                        </a:prstGeom>
                        <a:noFill/>
                        <a:ln>
                          <a:noFill/>
                        </a:ln>
                        <a:effectLst/>
                      </wps:spPr>
                      <wps:txbx>
                        <w:txbxContent>
                          <w:p w14:paraId="72628374">
                            <w:pPr>
                              <w:jc w:val="center"/>
                              <w:rPr>
                                <w:rFonts w:hint="eastAsia" w:ascii="Times New Roman" w:hAnsi="Times New Roman" w:eastAsia="宋体" w:cs="Times New Roman"/>
                                <w:b/>
                                <w:bCs/>
                                <w:color w:val="0000FF"/>
                                <w:sz w:val="32"/>
                                <w:szCs w:val="32"/>
                                <w:lang w:val="en-US" w:eastAsia="zh-CN"/>
                              </w:rPr>
                            </w:pPr>
                            <w:r>
                              <w:rPr>
                                <w:rFonts w:hint="eastAsia" w:ascii="Times New Roman" w:hAnsi="Times New Roman" w:eastAsia="宋体" w:cs="Times New Roman"/>
                                <w:b/>
                                <w:bCs/>
                                <w:color w:val="0000FF"/>
                                <w:sz w:val="32"/>
                                <w:szCs w:val="32"/>
                                <w:lang w:val="en-US" w:eastAsia="zh-CN"/>
                              </w:rPr>
                              <w:t>仅限于“</w:t>
                            </w:r>
                            <w:r>
                              <w:rPr>
                                <w:rFonts w:hint="eastAsia" w:cs="Times New Roman"/>
                                <w:b/>
                                <w:bCs/>
                                <w:color w:val="0000FF"/>
                                <w:sz w:val="32"/>
                                <w:szCs w:val="32"/>
                                <w:lang w:val="en-US" w:eastAsia="zh-CN"/>
                              </w:rPr>
                              <w:t>年产1000套实验室装备项目”使用</w:t>
                            </w:r>
                          </w:p>
                        </w:txbxContent>
                      </wps:txbx>
                      <wps:bodyPr upright="0">
                        <a:spAutoFit/>
                      </wps:bodyPr>
                    </wps:wsp>
                  </a:graphicData>
                </a:graphic>
              </wp:anchor>
            </w:drawing>
          </mc:Choice>
          <mc:Fallback>
            <w:pict>
              <v:rect id="_x0000_s1026" o:spid="_x0000_s1026" o:spt="1" style="position:absolute;left:0pt;margin-left:-16.05pt;margin-top:232.45pt;height:71pt;width:473.8pt;rotation:-1900544f;z-index:251661312;mso-width-relative:page;mso-height-relative:page;" filled="f" stroked="f" coordsize="21600,21600" o:gfxdata="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LeaQk/cAAAACwEAAA8AAAAAAAAAAQAgAAAAIgAAAGRycy9kb3ducmV2&#10;LnhtbFBLAQIUABQAAAAIAIdO4kB+OBDJvwEAAHwDAAAOAAAAAAAAAAEAIAAAACsBAABkcnMvZTJv&#10;RG9jLnhtbFBLBQYAAAAABgAGAFkBAABcBQAAAAA=&#10;">
                <v:fill on="f" focussize="0,0"/>
                <v:stroke on="f"/>
                <v:imagedata o:title=""/>
                <o:lock v:ext="edit" aspectratio="f"/>
                <v:textbox style="mso-fit-shape-to-text:t;">
                  <w:txbxContent>
                    <w:p w14:paraId="72628374">
                      <w:pPr>
                        <w:jc w:val="center"/>
                        <w:rPr>
                          <w:rFonts w:hint="eastAsia" w:ascii="Times New Roman" w:hAnsi="Times New Roman" w:eastAsia="宋体" w:cs="Times New Roman"/>
                          <w:b/>
                          <w:bCs/>
                          <w:color w:val="0000FF"/>
                          <w:sz w:val="32"/>
                          <w:szCs w:val="32"/>
                          <w:lang w:val="en-US" w:eastAsia="zh-CN"/>
                        </w:rPr>
                      </w:pPr>
                      <w:r>
                        <w:rPr>
                          <w:rFonts w:hint="eastAsia" w:ascii="Times New Roman" w:hAnsi="Times New Roman" w:eastAsia="宋体" w:cs="Times New Roman"/>
                          <w:b/>
                          <w:bCs/>
                          <w:color w:val="0000FF"/>
                          <w:sz w:val="32"/>
                          <w:szCs w:val="32"/>
                          <w:lang w:val="en-US" w:eastAsia="zh-CN"/>
                        </w:rPr>
                        <w:t>仅限于“</w:t>
                      </w:r>
                      <w:r>
                        <w:rPr>
                          <w:rFonts w:hint="eastAsia" w:cs="Times New Roman"/>
                          <w:b/>
                          <w:bCs/>
                          <w:color w:val="0000FF"/>
                          <w:sz w:val="32"/>
                          <w:szCs w:val="32"/>
                          <w:lang w:val="en-US" w:eastAsia="zh-CN"/>
                        </w:rPr>
                        <w:t>年产1000套实验室装备项目”使用</w:t>
                      </w:r>
                    </w:p>
                  </w:txbxContent>
                </v:textbox>
              </v:rect>
            </w:pict>
          </mc:Fallback>
        </mc:AlternateContent>
      </w:r>
      <w:r>
        <w:rPr>
          <w:color w:val="auto"/>
          <w:highlight w:val="none"/>
        </w:rPr>
        <w:drawing>
          <wp:anchor distT="0" distB="0" distL="114300" distR="114300" simplePos="0" relativeHeight="251688960" behindDoc="1" locked="0" layoutInCell="1" allowOverlap="1">
            <wp:simplePos x="0" y="0"/>
            <wp:positionH relativeFrom="column">
              <wp:posOffset>-125095</wp:posOffset>
            </wp:positionH>
            <wp:positionV relativeFrom="paragraph">
              <wp:posOffset>3362325</wp:posOffset>
            </wp:positionV>
            <wp:extent cx="5816600" cy="3265805"/>
            <wp:effectExtent l="0" t="0" r="12700" b="10795"/>
            <wp:wrapNone/>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22"/>
                    <a:stretch>
                      <a:fillRect/>
                    </a:stretch>
                  </pic:blipFill>
                  <pic:spPr>
                    <a:xfrm>
                      <a:off x="0" y="0"/>
                      <a:ext cx="5816600" cy="3265805"/>
                    </a:xfrm>
                    <a:prstGeom prst="rect">
                      <a:avLst/>
                    </a:prstGeom>
                    <a:noFill/>
                    <a:ln>
                      <a:noFill/>
                    </a:ln>
                  </pic:spPr>
                </pic:pic>
              </a:graphicData>
            </a:graphic>
          </wp:anchor>
        </w:drawing>
      </w:r>
      <w:r>
        <w:rPr>
          <w:color w:val="auto"/>
          <w:highlight w:val="none"/>
        </w:rPr>
        <w:drawing>
          <wp:anchor distT="0" distB="0" distL="114300" distR="114300" simplePos="0" relativeHeight="251687936" behindDoc="1" locked="0" layoutInCell="1" allowOverlap="1">
            <wp:simplePos x="0" y="0"/>
            <wp:positionH relativeFrom="column">
              <wp:posOffset>-104775</wp:posOffset>
            </wp:positionH>
            <wp:positionV relativeFrom="paragraph">
              <wp:posOffset>66675</wp:posOffset>
            </wp:positionV>
            <wp:extent cx="5779135" cy="3328670"/>
            <wp:effectExtent l="0" t="0" r="12065" b="508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3"/>
                    <a:stretch>
                      <a:fillRect/>
                    </a:stretch>
                  </pic:blipFill>
                  <pic:spPr>
                    <a:xfrm>
                      <a:off x="0" y="0"/>
                      <a:ext cx="5779135" cy="3328670"/>
                    </a:xfrm>
                    <a:prstGeom prst="rect">
                      <a:avLst/>
                    </a:prstGeom>
                    <a:noFill/>
                    <a:ln>
                      <a:noFill/>
                    </a:ln>
                  </pic:spPr>
                </pic:pic>
              </a:graphicData>
            </a:graphic>
          </wp:anchor>
        </w:drawing>
      </w:r>
    </w:p>
    <w:p w14:paraId="089C5193">
      <w:pPr>
        <w:jc w:val="center"/>
        <w:rPr>
          <w:color w:val="auto"/>
          <w:highlight w:val="none"/>
        </w:rPr>
      </w:pPr>
    </w:p>
    <w:p w14:paraId="598CC544">
      <w:pPr>
        <w:jc w:val="center"/>
        <w:rPr>
          <w:color w:val="auto"/>
          <w:highlight w:val="none"/>
        </w:rPr>
      </w:pPr>
    </w:p>
    <w:p w14:paraId="5FE80A75">
      <w:pPr>
        <w:jc w:val="center"/>
        <w:outlineLvl w:val="0"/>
        <w:rPr>
          <w:rFonts w:hint="eastAsia"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一、建设项目基本情况</w:t>
      </w:r>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699"/>
        <w:gridCol w:w="987"/>
        <w:gridCol w:w="2188"/>
        <w:gridCol w:w="2397"/>
        <w:gridCol w:w="3121"/>
      </w:tblGrid>
      <w:tr w14:paraId="67FDF6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6" w:type="dxa"/>
            <w:gridSpan w:val="2"/>
            <w:tcMar>
              <w:top w:w="16" w:type="dxa"/>
              <w:left w:w="16" w:type="dxa"/>
              <w:right w:w="16" w:type="dxa"/>
            </w:tcMar>
            <w:vAlign w:val="center"/>
          </w:tcPr>
          <w:p w14:paraId="63E62695">
            <w:pPr>
              <w:adjustRightIn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建设项目名称</w:t>
            </w:r>
          </w:p>
        </w:tc>
        <w:tc>
          <w:tcPr>
            <w:tcW w:w="7706" w:type="dxa"/>
            <w:gridSpan w:val="3"/>
            <w:vAlign w:val="center"/>
          </w:tcPr>
          <w:p w14:paraId="0F631A8B">
            <w:pPr>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年产1000套实验室装备项目</w:t>
            </w:r>
          </w:p>
        </w:tc>
      </w:tr>
      <w:tr w14:paraId="4EDC0A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6" w:type="dxa"/>
            <w:gridSpan w:val="2"/>
            <w:tcMar>
              <w:top w:w="16" w:type="dxa"/>
              <w:left w:w="16" w:type="dxa"/>
              <w:right w:w="16" w:type="dxa"/>
            </w:tcMar>
            <w:vAlign w:val="center"/>
          </w:tcPr>
          <w:p w14:paraId="14D33DFC">
            <w:pPr>
              <w:adjustRightIn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项目代码</w:t>
            </w:r>
          </w:p>
        </w:tc>
        <w:tc>
          <w:tcPr>
            <w:tcW w:w="7706" w:type="dxa"/>
            <w:gridSpan w:val="3"/>
            <w:vAlign w:val="center"/>
          </w:tcPr>
          <w:p w14:paraId="06FDBA2D">
            <w:pPr>
              <w:adjustRightInd w:val="0"/>
              <w:jc w:val="center"/>
              <w:rPr>
                <w:rFonts w:hint="default" w:ascii="Times New Roman" w:hAnsi="Times New Roman" w:eastAsia="宋体" w:cs="Times New Roman"/>
                <w:color w:val="auto"/>
                <w:kern w:val="21"/>
                <w:sz w:val="21"/>
                <w:szCs w:val="21"/>
                <w:highlight w:val="none"/>
                <w:lang w:eastAsia="zh-CN"/>
              </w:rPr>
            </w:pPr>
            <w:r>
              <w:rPr>
                <w:rFonts w:hint="eastAsia" w:cs="Times New Roman"/>
                <w:color w:val="auto"/>
                <w:kern w:val="21"/>
                <w:sz w:val="21"/>
                <w:szCs w:val="21"/>
                <w:highlight w:val="none"/>
                <w:lang w:eastAsia="zh-CN"/>
              </w:rPr>
              <w:t>2603-370393-04-01-587848</w:t>
            </w:r>
          </w:p>
        </w:tc>
      </w:tr>
      <w:tr w14:paraId="23047E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6" w:type="dxa"/>
            <w:gridSpan w:val="2"/>
            <w:tcMar>
              <w:top w:w="16" w:type="dxa"/>
              <w:left w:w="16" w:type="dxa"/>
              <w:right w:w="16" w:type="dxa"/>
            </w:tcMar>
            <w:vAlign w:val="center"/>
          </w:tcPr>
          <w:p w14:paraId="6A93FB6D">
            <w:pPr>
              <w:adjustRightIn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建设单位联系人</w:t>
            </w:r>
          </w:p>
        </w:tc>
        <w:tc>
          <w:tcPr>
            <w:tcW w:w="2188" w:type="dxa"/>
            <w:vAlign w:val="center"/>
          </w:tcPr>
          <w:p w14:paraId="4A21627C">
            <w:pPr>
              <w:adjustRightInd w:val="0"/>
              <w:jc w:val="center"/>
              <w:rPr>
                <w:rFonts w:hint="default"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陈滨</w:t>
            </w:r>
          </w:p>
        </w:tc>
        <w:tc>
          <w:tcPr>
            <w:tcW w:w="2397" w:type="dxa"/>
            <w:vAlign w:val="center"/>
          </w:tcPr>
          <w:p w14:paraId="7DCBF95F">
            <w:pPr>
              <w:adjustRightIn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联系方式</w:t>
            </w:r>
          </w:p>
        </w:tc>
        <w:tc>
          <w:tcPr>
            <w:tcW w:w="3121" w:type="dxa"/>
            <w:vAlign w:val="center"/>
          </w:tcPr>
          <w:p w14:paraId="152AB8E9">
            <w:pPr>
              <w:adjustRightInd w:val="0"/>
              <w:jc w:val="center"/>
              <w:rPr>
                <w:rFonts w:hint="default" w:ascii="Times New Roman" w:hAnsi="Times New Roman" w:cs="Times New Roman"/>
                <w:color w:val="auto"/>
                <w:szCs w:val="21"/>
                <w:highlight w:val="none"/>
                <w:lang w:val="en-US"/>
              </w:rPr>
            </w:pPr>
            <w:r>
              <w:rPr>
                <w:rFonts w:hint="eastAsia" w:cs="Times New Roman"/>
                <w:color w:val="auto"/>
                <w:szCs w:val="21"/>
                <w:highlight w:val="none"/>
                <w:lang w:val="en-US" w:eastAsia="zh-CN"/>
              </w:rPr>
              <w:t>17615689311</w:t>
            </w:r>
          </w:p>
        </w:tc>
      </w:tr>
      <w:tr w14:paraId="4FAD19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6" w:type="dxa"/>
            <w:gridSpan w:val="2"/>
            <w:tcMar>
              <w:top w:w="16" w:type="dxa"/>
              <w:left w:w="16" w:type="dxa"/>
              <w:right w:w="16" w:type="dxa"/>
            </w:tcMar>
            <w:vAlign w:val="center"/>
          </w:tcPr>
          <w:p w14:paraId="7E81C5EE">
            <w:pPr>
              <w:adjustRightIn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建设地点</w:t>
            </w:r>
          </w:p>
        </w:tc>
        <w:tc>
          <w:tcPr>
            <w:tcW w:w="7706" w:type="dxa"/>
            <w:gridSpan w:val="3"/>
            <w:vAlign w:val="center"/>
          </w:tcPr>
          <w:p w14:paraId="53932988">
            <w:pPr>
              <w:adjustRightInd w:val="0"/>
              <w:jc w:val="center"/>
              <w:rPr>
                <w:rFonts w:hint="default" w:ascii="Times New Roman" w:hAnsi="Times New Roman" w:cs="Times New Roman"/>
                <w:color w:val="auto"/>
                <w:szCs w:val="21"/>
                <w:highlight w:val="none"/>
              </w:rPr>
            </w:pPr>
            <w:r>
              <w:rPr>
                <w:rFonts w:hint="eastAsia" w:cs="Times New Roman"/>
                <w:color w:val="auto"/>
                <w:sz w:val="21"/>
                <w:szCs w:val="21"/>
                <w:highlight w:val="none"/>
                <w:lang w:eastAsia="zh-CN"/>
              </w:rPr>
              <w:t>山东省淄博市淄博经济开发区傅家镇双杨管区天津路与梁牛路路口西150米路北院内东侧第二间车间</w:t>
            </w:r>
          </w:p>
        </w:tc>
      </w:tr>
      <w:tr w14:paraId="120A23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6" w:type="dxa"/>
            <w:gridSpan w:val="2"/>
            <w:tcMar>
              <w:top w:w="16" w:type="dxa"/>
              <w:left w:w="16" w:type="dxa"/>
              <w:right w:w="16" w:type="dxa"/>
            </w:tcMar>
            <w:vAlign w:val="center"/>
          </w:tcPr>
          <w:p w14:paraId="3EC3ADAE">
            <w:pPr>
              <w:adjustRightIn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地理坐标</w:t>
            </w:r>
          </w:p>
        </w:tc>
        <w:tc>
          <w:tcPr>
            <w:tcW w:w="7706" w:type="dxa"/>
            <w:gridSpan w:val="3"/>
            <w:vAlign w:val="center"/>
          </w:tcPr>
          <w:p w14:paraId="73EACEBD">
            <w:pPr>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lang w:val="en-US" w:eastAsia="zh-CN"/>
              </w:rPr>
              <w:t>（11</w:t>
            </w:r>
            <w:r>
              <w:rPr>
                <w:rFonts w:hint="eastAsia" w:cs="Times New Roman"/>
                <w:color w:val="auto"/>
                <w:szCs w:val="21"/>
                <w:highlight w:val="none"/>
                <w:lang w:val="en-US" w:eastAsia="zh-CN"/>
              </w:rPr>
              <w:t>7</w:t>
            </w:r>
            <w:r>
              <w:rPr>
                <w:rFonts w:hint="default" w:ascii="Times New Roman" w:hAnsi="Times New Roman" w:eastAsia="宋体" w:cs="Times New Roman"/>
                <w:color w:val="auto"/>
                <w:szCs w:val="21"/>
                <w:highlight w:val="none"/>
                <w:lang w:val="en-US" w:eastAsia="zh-CN"/>
              </w:rPr>
              <w:t xml:space="preserve"> 度 </w:t>
            </w:r>
            <w:r>
              <w:rPr>
                <w:rFonts w:hint="eastAsia" w:cs="Times New Roman"/>
                <w:color w:val="auto"/>
                <w:szCs w:val="21"/>
                <w:highlight w:val="none"/>
                <w:lang w:val="en-US" w:eastAsia="zh-CN"/>
              </w:rPr>
              <w:t>58</w:t>
            </w:r>
            <w:r>
              <w:rPr>
                <w:rFonts w:hint="default" w:ascii="Times New Roman" w:hAnsi="Times New Roman" w:eastAsia="宋体" w:cs="Times New Roman"/>
                <w:color w:val="auto"/>
                <w:szCs w:val="21"/>
                <w:highlight w:val="none"/>
                <w:lang w:val="en-US" w:eastAsia="zh-CN"/>
              </w:rPr>
              <w:t xml:space="preserve"> 分 </w:t>
            </w:r>
            <w:r>
              <w:rPr>
                <w:rFonts w:hint="eastAsia" w:cs="Times New Roman"/>
                <w:color w:val="auto"/>
                <w:szCs w:val="21"/>
                <w:highlight w:val="none"/>
                <w:lang w:val="en-US" w:eastAsia="zh-CN"/>
              </w:rPr>
              <w:t>4.638</w:t>
            </w:r>
            <w:r>
              <w:rPr>
                <w:rFonts w:hint="default" w:ascii="Times New Roman" w:hAnsi="Times New Roman" w:eastAsia="宋体" w:cs="Times New Roman"/>
                <w:color w:val="auto"/>
                <w:szCs w:val="21"/>
                <w:highlight w:val="none"/>
                <w:lang w:val="en-US" w:eastAsia="zh-CN"/>
              </w:rPr>
              <w:t xml:space="preserve"> 秒， 36 度 </w:t>
            </w:r>
            <w:r>
              <w:rPr>
                <w:rFonts w:hint="eastAsia" w:cs="Times New Roman"/>
                <w:color w:val="auto"/>
                <w:szCs w:val="21"/>
                <w:highlight w:val="none"/>
                <w:lang w:val="en-US" w:eastAsia="zh-CN"/>
              </w:rPr>
              <w:t>44</w:t>
            </w:r>
            <w:r>
              <w:rPr>
                <w:rFonts w:hint="default" w:ascii="Times New Roman" w:hAnsi="Times New Roman" w:eastAsia="宋体" w:cs="Times New Roman"/>
                <w:color w:val="auto"/>
                <w:szCs w:val="21"/>
                <w:highlight w:val="none"/>
                <w:lang w:val="en-US" w:eastAsia="zh-CN"/>
              </w:rPr>
              <w:t xml:space="preserve"> 分 </w:t>
            </w:r>
            <w:r>
              <w:rPr>
                <w:rFonts w:hint="eastAsia" w:cs="Times New Roman"/>
                <w:color w:val="auto"/>
                <w:szCs w:val="21"/>
                <w:highlight w:val="none"/>
                <w:lang w:val="en-US" w:eastAsia="zh-CN"/>
              </w:rPr>
              <w:t>33.760</w:t>
            </w:r>
            <w:r>
              <w:rPr>
                <w:rFonts w:hint="default" w:ascii="Times New Roman" w:hAnsi="Times New Roman" w:eastAsia="宋体" w:cs="Times New Roman"/>
                <w:color w:val="auto"/>
                <w:szCs w:val="21"/>
                <w:highlight w:val="none"/>
                <w:lang w:val="en-US" w:eastAsia="zh-CN"/>
              </w:rPr>
              <w:t xml:space="preserve"> 秒）</w:t>
            </w:r>
          </w:p>
        </w:tc>
      </w:tr>
      <w:tr w14:paraId="745FC2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686" w:type="dxa"/>
            <w:gridSpan w:val="2"/>
            <w:tcMar>
              <w:top w:w="16" w:type="dxa"/>
              <w:left w:w="16" w:type="dxa"/>
              <w:right w:w="16" w:type="dxa"/>
            </w:tcMar>
            <w:vAlign w:val="center"/>
          </w:tcPr>
          <w:p w14:paraId="29FCA18D">
            <w:pPr>
              <w:adjustRightInd w:val="0"/>
              <w:jc w:val="center"/>
              <w:rPr>
                <w:rFonts w:hint="default" w:ascii="Times New Roman" w:hAnsi="Times New Roman" w:eastAsia="宋体" w:cs="Times New Roman"/>
                <w:color w:val="FF0000"/>
                <w:kern w:val="21"/>
                <w:highlight w:val="none"/>
                <w:lang w:val="en-US" w:eastAsia="zh-CN"/>
              </w:rPr>
            </w:pPr>
            <w:r>
              <w:rPr>
                <w:rFonts w:hint="default" w:ascii="Times New Roman" w:hAnsi="Times New Roman" w:eastAsia="宋体" w:cs="Times New Roman"/>
                <w:color w:val="FF0000"/>
                <w:kern w:val="21"/>
                <w:highlight w:val="none"/>
                <w:lang w:val="en-US" w:eastAsia="zh-CN"/>
              </w:rPr>
              <w:t>国民经济</w:t>
            </w:r>
          </w:p>
          <w:p w14:paraId="5BCE591D">
            <w:pPr>
              <w:adjustRightInd w:val="0"/>
              <w:jc w:val="center"/>
              <w:rPr>
                <w:rFonts w:hint="default" w:ascii="Times New Roman" w:hAnsi="Times New Roman" w:eastAsia="宋体" w:cs="Times New Roman"/>
                <w:color w:val="FF0000"/>
                <w:kern w:val="21"/>
                <w:highlight w:val="none"/>
                <w:lang w:val="en-US" w:eastAsia="zh-CN"/>
              </w:rPr>
            </w:pPr>
            <w:r>
              <w:rPr>
                <w:rFonts w:hint="default" w:ascii="Times New Roman" w:hAnsi="Times New Roman" w:eastAsia="宋体" w:cs="Times New Roman"/>
                <w:color w:val="FF0000"/>
                <w:kern w:val="21"/>
                <w:highlight w:val="none"/>
                <w:lang w:val="en-US" w:eastAsia="zh-CN"/>
              </w:rPr>
              <w:t>行业类别</w:t>
            </w:r>
          </w:p>
        </w:tc>
        <w:tc>
          <w:tcPr>
            <w:tcW w:w="2188" w:type="dxa"/>
            <w:vAlign w:val="center"/>
          </w:tcPr>
          <w:p w14:paraId="163DA4E6">
            <w:pPr>
              <w:adjustRightInd w:val="0"/>
              <w:jc w:val="center"/>
              <w:rPr>
                <w:rFonts w:hint="default" w:ascii="Times New Roman" w:hAnsi="Times New Roman" w:eastAsia="宋体" w:cs="Times New Roman"/>
                <w:color w:val="FF0000"/>
                <w:kern w:val="21"/>
                <w:highlight w:val="none"/>
                <w:lang w:val="en-US" w:eastAsia="zh-CN"/>
              </w:rPr>
            </w:pPr>
            <w:r>
              <w:rPr>
                <w:rFonts w:hint="default" w:ascii="Times New Roman" w:hAnsi="Times New Roman" w:eastAsia="宋体" w:cs="Times New Roman"/>
                <w:color w:val="FF0000"/>
                <w:kern w:val="21"/>
                <w:highlight w:val="none"/>
                <w:lang w:val="en-US" w:eastAsia="zh-CN"/>
              </w:rPr>
              <w:t>C2</w:t>
            </w:r>
            <w:r>
              <w:rPr>
                <w:rFonts w:hint="eastAsia" w:cs="Times New Roman"/>
                <w:color w:val="FF0000"/>
                <w:kern w:val="21"/>
                <w:highlight w:val="none"/>
                <w:lang w:val="en-US" w:eastAsia="zh-CN"/>
              </w:rPr>
              <w:t>130</w:t>
            </w:r>
            <w:r>
              <w:rPr>
                <w:rFonts w:hint="default" w:ascii="Times New Roman" w:hAnsi="Times New Roman" w:eastAsia="宋体" w:cs="Times New Roman"/>
                <w:color w:val="FF0000"/>
                <w:kern w:val="21"/>
                <w:highlight w:val="none"/>
                <w:lang w:val="en-US" w:eastAsia="zh-CN"/>
              </w:rPr>
              <w:t xml:space="preserve"> </w:t>
            </w:r>
            <w:r>
              <w:rPr>
                <w:rFonts w:hint="eastAsia" w:cs="Times New Roman"/>
                <w:color w:val="FF0000"/>
                <w:kern w:val="21"/>
                <w:highlight w:val="none"/>
                <w:lang w:val="en-US" w:eastAsia="zh-CN"/>
              </w:rPr>
              <w:t>金属家具</w:t>
            </w:r>
            <w:r>
              <w:rPr>
                <w:rFonts w:hint="default" w:ascii="Times New Roman" w:hAnsi="Times New Roman" w:eastAsia="宋体" w:cs="Times New Roman"/>
                <w:color w:val="FF0000"/>
                <w:kern w:val="21"/>
                <w:highlight w:val="none"/>
                <w:lang w:val="en-US" w:eastAsia="zh-CN"/>
              </w:rPr>
              <w:t>制造</w:t>
            </w:r>
          </w:p>
        </w:tc>
        <w:tc>
          <w:tcPr>
            <w:tcW w:w="2397" w:type="dxa"/>
            <w:vAlign w:val="center"/>
          </w:tcPr>
          <w:p w14:paraId="55EBCC97">
            <w:pPr>
              <w:adjustRightInd w:val="0"/>
              <w:jc w:val="center"/>
              <w:rPr>
                <w:rFonts w:hint="default" w:ascii="Times New Roman" w:hAnsi="Times New Roman" w:eastAsia="宋体" w:cs="Times New Roman"/>
                <w:color w:val="FF0000"/>
                <w:kern w:val="21"/>
                <w:highlight w:val="none"/>
                <w:lang w:val="en-US" w:eastAsia="zh-CN"/>
              </w:rPr>
            </w:pPr>
            <w:bookmarkStart w:id="1" w:name="_Hlk49843745"/>
            <w:r>
              <w:rPr>
                <w:rFonts w:hint="default" w:ascii="Times New Roman" w:hAnsi="Times New Roman" w:eastAsia="宋体" w:cs="Times New Roman"/>
                <w:color w:val="FF0000"/>
                <w:kern w:val="21"/>
                <w:highlight w:val="none"/>
                <w:lang w:val="en-US" w:eastAsia="zh-CN"/>
              </w:rPr>
              <w:t>建设项目</w:t>
            </w:r>
          </w:p>
          <w:p w14:paraId="5214B02B">
            <w:pPr>
              <w:adjustRightInd w:val="0"/>
              <w:jc w:val="center"/>
              <w:rPr>
                <w:rFonts w:hint="default" w:ascii="Times New Roman" w:hAnsi="Times New Roman" w:eastAsia="宋体" w:cs="Times New Roman"/>
                <w:color w:val="FF0000"/>
                <w:kern w:val="21"/>
                <w:highlight w:val="none"/>
                <w:lang w:val="en-US" w:eastAsia="zh-CN"/>
              </w:rPr>
            </w:pPr>
            <w:r>
              <w:rPr>
                <w:rFonts w:hint="default" w:ascii="Times New Roman" w:hAnsi="Times New Roman" w:eastAsia="宋体" w:cs="Times New Roman"/>
                <w:color w:val="FF0000"/>
                <w:kern w:val="21"/>
                <w:highlight w:val="none"/>
                <w:lang w:val="en-US" w:eastAsia="zh-CN"/>
              </w:rPr>
              <w:t>行业类别</w:t>
            </w:r>
            <w:bookmarkEnd w:id="1"/>
          </w:p>
        </w:tc>
        <w:tc>
          <w:tcPr>
            <w:tcW w:w="3121" w:type="dxa"/>
            <w:vAlign w:val="center"/>
          </w:tcPr>
          <w:p w14:paraId="03B63976">
            <w:pPr>
              <w:adjustRightInd w:val="0"/>
              <w:jc w:val="center"/>
              <w:rPr>
                <w:rFonts w:hint="default" w:ascii="Times New Roman" w:hAnsi="Times New Roman" w:eastAsia="宋体" w:cs="Times New Roman"/>
                <w:color w:val="FF0000"/>
                <w:kern w:val="21"/>
                <w:highlight w:val="none"/>
                <w:lang w:val="en-US" w:eastAsia="zh-CN"/>
              </w:rPr>
            </w:pPr>
            <w:r>
              <w:rPr>
                <w:rFonts w:hint="eastAsia" w:ascii="Times New Roman" w:hAnsi="Times New Roman" w:eastAsia="宋体" w:cs="Times New Roman"/>
                <w:color w:val="FF0000"/>
                <w:kern w:val="21"/>
                <w:highlight w:val="none"/>
                <w:lang w:val="en-US" w:eastAsia="zh-CN"/>
              </w:rPr>
              <w:t xml:space="preserve">十八、家具制造业 </w:t>
            </w:r>
            <w:r>
              <w:rPr>
                <w:rFonts w:hint="default" w:ascii="Times New Roman" w:hAnsi="Times New Roman" w:eastAsia="宋体" w:cs="Times New Roman"/>
                <w:color w:val="FF0000"/>
                <w:kern w:val="21"/>
                <w:highlight w:val="none"/>
                <w:lang w:val="en-US" w:eastAsia="zh-CN"/>
              </w:rPr>
              <w:t>21</w:t>
            </w:r>
            <w:r>
              <w:rPr>
                <w:rFonts w:hint="eastAsia" w:ascii="Times New Roman" w:hAnsi="Times New Roman" w:eastAsia="宋体" w:cs="Times New Roman"/>
                <w:color w:val="FF0000"/>
                <w:kern w:val="21"/>
                <w:highlight w:val="none"/>
                <w:lang w:val="en-US" w:eastAsia="zh-CN"/>
              </w:rPr>
              <w:t>；</w:t>
            </w:r>
            <w:r>
              <w:rPr>
                <w:rFonts w:hint="default" w:ascii="Times New Roman" w:hAnsi="Times New Roman" w:eastAsia="宋体" w:cs="Times New Roman"/>
                <w:color w:val="FF0000"/>
                <w:kern w:val="21"/>
                <w:highlight w:val="none"/>
                <w:lang w:val="en-US" w:eastAsia="zh-CN"/>
              </w:rPr>
              <w:t>36</w:t>
            </w:r>
            <w:r>
              <w:rPr>
                <w:rFonts w:hint="eastAsia" w:ascii="Times New Roman" w:hAnsi="Times New Roman" w:eastAsia="宋体" w:cs="Times New Roman"/>
                <w:color w:val="FF0000"/>
                <w:kern w:val="21"/>
                <w:highlight w:val="none"/>
                <w:lang w:val="en-US" w:eastAsia="zh-CN"/>
              </w:rPr>
              <w:t xml:space="preserve">、金属家具制造 </w:t>
            </w:r>
            <w:r>
              <w:rPr>
                <w:rFonts w:hint="default" w:ascii="Times New Roman" w:hAnsi="Times New Roman" w:eastAsia="宋体" w:cs="Times New Roman"/>
                <w:color w:val="FF0000"/>
                <w:kern w:val="21"/>
                <w:highlight w:val="none"/>
                <w:lang w:val="en-US" w:eastAsia="zh-CN"/>
              </w:rPr>
              <w:t>21</w:t>
            </w:r>
            <w:r>
              <w:rPr>
                <w:rFonts w:hint="eastAsia" w:ascii="Times New Roman" w:hAnsi="Times New Roman" w:eastAsia="宋体" w:cs="Times New Roman"/>
                <w:color w:val="FF0000"/>
                <w:kern w:val="21"/>
                <w:highlight w:val="none"/>
                <w:lang w:val="en-US" w:eastAsia="zh-CN"/>
              </w:rPr>
              <w:t>3</w:t>
            </w:r>
            <w:r>
              <w:rPr>
                <w:rFonts w:hint="default" w:ascii="Times New Roman" w:hAnsi="Times New Roman" w:eastAsia="宋体" w:cs="Times New Roman"/>
                <w:color w:val="FF0000"/>
                <w:kern w:val="21"/>
                <w:highlight w:val="none"/>
                <w:lang w:val="en-US" w:eastAsia="zh-CN"/>
              </w:rPr>
              <w:t>*</w:t>
            </w:r>
            <w:r>
              <w:rPr>
                <w:rFonts w:hint="eastAsia" w:ascii="Times New Roman" w:hAnsi="Times New Roman" w:eastAsia="宋体" w:cs="Times New Roman"/>
                <w:color w:val="FF0000"/>
                <w:kern w:val="21"/>
                <w:highlight w:val="none"/>
                <w:lang w:val="en-US" w:eastAsia="zh-CN"/>
              </w:rPr>
              <w:t>；其他（仅分割、组装的除外；年用非溶剂型低</w:t>
            </w:r>
            <w:r>
              <w:rPr>
                <w:rFonts w:hint="default" w:ascii="Times New Roman" w:hAnsi="Times New Roman" w:eastAsia="宋体" w:cs="Times New Roman"/>
                <w:color w:val="FF0000"/>
                <w:kern w:val="21"/>
                <w:highlight w:val="none"/>
                <w:lang w:val="en-US" w:eastAsia="zh-CN"/>
              </w:rPr>
              <w:t>VOCs</w:t>
            </w:r>
            <w:r>
              <w:rPr>
                <w:rFonts w:hint="eastAsia" w:ascii="Times New Roman" w:hAnsi="Times New Roman" w:eastAsia="宋体" w:cs="Times New Roman"/>
                <w:color w:val="FF0000"/>
                <w:kern w:val="21"/>
                <w:highlight w:val="none"/>
                <w:lang w:val="en-US" w:eastAsia="zh-CN"/>
              </w:rPr>
              <w:t>含量涂料</w:t>
            </w:r>
            <w:r>
              <w:rPr>
                <w:rFonts w:hint="default" w:ascii="Times New Roman" w:hAnsi="Times New Roman" w:eastAsia="宋体" w:cs="Times New Roman"/>
                <w:color w:val="FF0000"/>
                <w:kern w:val="21"/>
                <w:highlight w:val="none"/>
                <w:lang w:val="en-US" w:eastAsia="zh-CN"/>
              </w:rPr>
              <w:t>10</w:t>
            </w:r>
            <w:r>
              <w:rPr>
                <w:rFonts w:hint="eastAsia" w:ascii="Times New Roman" w:hAnsi="Times New Roman" w:eastAsia="宋体" w:cs="Times New Roman"/>
                <w:color w:val="FF0000"/>
                <w:kern w:val="21"/>
                <w:highlight w:val="none"/>
                <w:lang w:val="en-US" w:eastAsia="zh-CN"/>
              </w:rPr>
              <w:t>吨以下的除外）</w:t>
            </w:r>
          </w:p>
        </w:tc>
      </w:tr>
      <w:tr w14:paraId="3FD525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686" w:type="dxa"/>
            <w:gridSpan w:val="2"/>
            <w:tcMar>
              <w:top w:w="16" w:type="dxa"/>
              <w:left w:w="16" w:type="dxa"/>
              <w:right w:w="16" w:type="dxa"/>
            </w:tcMar>
            <w:vAlign w:val="center"/>
          </w:tcPr>
          <w:p w14:paraId="18A5DD5A">
            <w:pPr>
              <w:adjustRightInd w:val="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建设性质</w:t>
            </w:r>
          </w:p>
        </w:tc>
        <w:tc>
          <w:tcPr>
            <w:tcW w:w="2188" w:type="dxa"/>
            <w:vAlign w:val="center"/>
          </w:tcPr>
          <w:p w14:paraId="2E2975E0">
            <w:pPr>
              <w:jc w:val="left"/>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sym w:font="Wingdings 2" w:char="0052"/>
            </w:r>
            <w:r>
              <w:rPr>
                <w:rFonts w:hint="default" w:ascii="Times New Roman" w:hAnsi="Times New Roman" w:cs="Times New Roman" w:eastAsiaTheme="minorEastAsia"/>
                <w:color w:val="auto"/>
                <w:szCs w:val="21"/>
                <w:highlight w:val="none"/>
              </w:rPr>
              <w:t>新建（迁建）</w:t>
            </w:r>
          </w:p>
          <w:p w14:paraId="079BE45A">
            <w:pPr>
              <w:jc w:val="left"/>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sym w:font="Wingdings 2" w:char="00A3"/>
            </w:r>
            <w:r>
              <w:rPr>
                <w:rFonts w:hint="default" w:ascii="Times New Roman" w:hAnsi="Times New Roman" w:cs="Times New Roman" w:eastAsiaTheme="minorEastAsia"/>
                <w:color w:val="auto"/>
                <w:szCs w:val="21"/>
                <w:highlight w:val="none"/>
              </w:rPr>
              <w:t>改建</w:t>
            </w:r>
          </w:p>
          <w:p w14:paraId="0293F93C">
            <w:pPr>
              <w:jc w:val="left"/>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sym w:font="Wingdings 2" w:char="00A3"/>
            </w:r>
            <w:r>
              <w:rPr>
                <w:rFonts w:hint="default" w:ascii="Times New Roman" w:hAnsi="Times New Roman" w:cs="Times New Roman" w:eastAsiaTheme="minorEastAsia"/>
                <w:color w:val="auto"/>
                <w:szCs w:val="21"/>
                <w:highlight w:val="none"/>
              </w:rPr>
              <w:t>扩建</w:t>
            </w:r>
          </w:p>
          <w:p w14:paraId="01CD308B">
            <w:pPr>
              <w:jc w:val="left"/>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sym w:font="Wingdings 2" w:char="00A3"/>
            </w:r>
            <w:r>
              <w:rPr>
                <w:rFonts w:hint="default" w:ascii="Times New Roman" w:hAnsi="Times New Roman" w:cs="Times New Roman" w:eastAsiaTheme="minorEastAsia"/>
                <w:color w:val="auto"/>
                <w:szCs w:val="21"/>
                <w:highlight w:val="none"/>
              </w:rPr>
              <w:t>技术改造</w:t>
            </w:r>
          </w:p>
        </w:tc>
        <w:tc>
          <w:tcPr>
            <w:tcW w:w="2397" w:type="dxa"/>
            <w:vAlign w:val="center"/>
          </w:tcPr>
          <w:p w14:paraId="37CBEB63">
            <w:pPr>
              <w:adjustRightIn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建设项目</w:t>
            </w:r>
          </w:p>
          <w:p w14:paraId="251209DB">
            <w:pPr>
              <w:adjustRightIn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申报情形</w:t>
            </w:r>
          </w:p>
        </w:tc>
        <w:tc>
          <w:tcPr>
            <w:tcW w:w="3121" w:type="dxa"/>
            <w:vAlign w:val="center"/>
          </w:tcPr>
          <w:p w14:paraId="4010E10A">
            <w:pPr>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☑首次申报项目</w:t>
            </w:r>
          </w:p>
          <w:p w14:paraId="6296053D">
            <w:pPr>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☐不予批准后再次申报项目</w:t>
            </w:r>
          </w:p>
          <w:p w14:paraId="3053CF60">
            <w:pPr>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sym w:font="Wingdings 2" w:char="00A3"/>
            </w:r>
            <w:r>
              <w:rPr>
                <w:rFonts w:hint="default" w:ascii="Times New Roman" w:hAnsi="Times New Roman" w:cs="Times New Roman"/>
                <w:color w:val="auto"/>
                <w:szCs w:val="21"/>
                <w:highlight w:val="none"/>
              </w:rPr>
              <w:t>超五年重新审核项目</w:t>
            </w:r>
          </w:p>
          <w:p w14:paraId="1A476407">
            <w:pPr>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sym w:font="Wingdings 2" w:char="00A3"/>
            </w:r>
            <w:r>
              <w:rPr>
                <w:rFonts w:hint="default" w:ascii="Times New Roman" w:hAnsi="Times New Roman" w:cs="Times New Roman"/>
                <w:color w:val="auto"/>
                <w:szCs w:val="21"/>
                <w:highlight w:val="none"/>
              </w:rPr>
              <w:t>重大变动重新报批项目</w:t>
            </w:r>
          </w:p>
        </w:tc>
      </w:tr>
      <w:tr w14:paraId="624045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686" w:type="dxa"/>
            <w:gridSpan w:val="2"/>
            <w:tcMar>
              <w:top w:w="16" w:type="dxa"/>
              <w:left w:w="16" w:type="dxa"/>
              <w:right w:w="16" w:type="dxa"/>
            </w:tcMar>
            <w:vAlign w:val="center"/>
          </w:tcPr>
          <w:p w14:paraId="6F05D79D">
            <w:pPr>
              <w:adjustRightIn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项目审批（核准/</w:t>
            </w:r>
          </w:p>
          <w:p w14:paraId="4E2D828B">
            <w:pPr>
              <w:adjustRightInd w:val="0"/>
              <w:spacing w:line="360" w:lineRule="exac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备案）部门（选填）</w:t>
            </w:r>
          </w:p>
        </w:tc>
        <w:tc>
          <w:tcPr>
            <w:tcW w:w="2188" w:type="dxa"/>
            <w:vAlign w:val="center"/>
          </w:tcPr>
          <w:p w14:paraId="42F5E689">
            <w:pPr>
              <w:spacing w:line="360" w:lineRule="exact"/>
              <w:jc w:val="center"/>
              <w:rPr>
                <w:rFonts w:hint="default" w:ascii="Times New Roman" w:hAnsi="Times New Roman" w:cs="Times New Roman"/>
                <w:color w:val="auto"/>
                <w:szCs w:val="21"/>
                <w:highlight w:val="none"/>
              </w:rPr>
            </w:pPr>
            <w:r>
              <w:rPr>
                <w:rFonts w:hint="eastAsia" w:ascii="Times New Roman" w:hAnsi="Times New Roman" w:eastAsia="宋体" w:cs="Times New Roman"/>
                <w:color w:val="auto"/>
                <w:kern w:val="21"/>
                <w:sz w:val="21"/>
                <w:szCs w:val="21"/>
                <w:highlight w:val="none"/>
                <w:lang w:eastAsia="zh-CN"/>
              </w:rPr>
              <w:t>淄博经济开发区经济发展局</w:t>
            </w:r>
          </w:p>
        </w:tc>
        <w:tc>
          <w:tcPr>
            <w:tcW w:w="2397" w:type="dxa"/>
            <w:vAlign w:val="center"/>
          </w:tcPr>
          <w:p w14:paraId="6E9A0004">
            <w:pPr>
              <w:adjustRightIn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项目审批（核准/</w:t>
            </w:r>
          </w:p>
          <w:p w14:paraId="24FF8906">
            <w:pPr>
              <w:adjustRightIn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备案）文号（选填）</w:t>
            </w:r>
          </w:p>
        </w:tc>
        <w:tc>
          <w:tcPr>
            <w:tcW w:w="3121" w:type="dxa"/>
            <w:vAlign w:val="center"/>
          </w:tcPr>
          <w:p w14:paraId="7A38707C">
            <w:pPr>
              <w:adjustRightInd w:val="0"/>
              <w:jc w:val="center"/>
              <w:rPr>
                <w:rFonts w:hint="default" w:ascii="Times New Roman" w:hAnsi="Times New Roman" w:cs="Times New Roman"/>
                <w:color w:val="auto"/>
                <w:szCs w:val="21"/>
                <w:highlight w:val="none"/>
              </w:rPr>
            </w:pPr>
            <w:r>
              <w:rPr>
                <w:rFonts w:hint="eastAsia" w:cs="Times New Roman"/>
                <w:color w:val="auto"/>
                <w:kern w:val="21"/>
                <w:sz w:val="21"/>
                <w:szCs w:val="21"/>
                <w:highlight w:val="none"/>
                <w:lang w:eastAsia="zh-CN"/>
              </w:rPr>
              <w:t>2603-370393-04-01-587848</w:t>
            </w:r>
          </w:p>
        </w:tc>
      </w:tr>
      <w:tr w14:paraId="62CF6B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6" w:type="dxa"/>
            <w:gridSpan w:val="2"/>
            <w:tcMar>
              <w:top w:w="16" w:type="dxa"/>
              <w:left w:w="16" w:type="dxa"/>
              <w:right w:w="16" w:type="dxa"/>
            </w:tcMar>
            <w:vAlign w:val="center"/>
          </w:tcPr>
          <w:p w14:paraId="56C758C2">
            <w:pPr>
              <w:adjustRightIn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总投资（万元）</w:t>
            </w:r>
          </w:p>
        </w:tc>
        <w:tc>
          <w:tcPr>
            <w:tcW w:w="2188" w:type="dxa"/>
            <w:vAlign w:val="center"/>
          </w:tcPr>
          <w:p w14:paraId="38A4E524">
            <w:pPr>
              <w:adjustRightIn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kern w:val="21"/>
                <w:highlight w:val="none"/>
                <w:lang w:val="en-US" w:eastAsia="zh-CN"/>
              </w:rPr>
              <w:t>500</w:t>
            </w:r>
          </w:p>
        </w:tc>
        <w:tc>
          <w:tcPr>
            <w:tcW w:w="2397" w:type="dxa"/>
            <w:tcMar>
              <w:top w:w="16" w:type="dxa"/>
              <w:left w:w="16" w:type="dxa"/>
              <w:right w:w="16" w:type="dxa"/>
            </w:tcMar>
            <w:vAlign w:val="center"/>
          </w:tcPr>
          <w:p w14:paraId="28F767AD">
            <w:pPr>
              <w:adjustRightIn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环保投资（万元）</w:t>
            </w:r>
          </w:p>
        </w:tc>
        <w:tc>
          <w:tcPr>
            <w:tcW w:w="3121" w:type="dxa"/>
            <w:vAlign w:val="center"/>
          </w:tcPr>
          <w:p w14:paraId="36512A45">
            <w:pPr>
              <w:adjustRightInd w:val="0"/>
              <w:jc w:val="center"/>
              <w:rPr>
                <w:rFonts w:hint="default" w:ascii="Times New Roman" w:hAnsi="Times New Roman" w:eastAsia="宋体" w:cs="Times New Roman"/>
                <w:color w:val="auto"/>
                <w:kern w:val="21"/>
                <w:highlight w:val="none"/>
                <w:lang w:val="en-US" w:eastAsia="zh-CN"/>
              </w:rPr>
            </w:pPr>
            <w:r>
              <w:rPr>
                <w:rFonts w:hint="eastAsia" w:cs="Times New Roman"/>
                <w:color w:val="auto"/>
                <w:kern w:val="21"/>
                <w:highlight w:val="none"/>
                <w:lang w:val="en-US" w:eastAsia="zh-CN"/>
              </w:rPr>
              <w:t>30</w:t>
            </w:r>
          </w:p>
        </w:tc>
      </w:tr>
      <w:tr w14:paraId="698993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6" w:type="dxa"/>
            <w:gridSpan w:val="2"/>
            <w:tcMar>
              <w:top w:w="16" w:type="dxa"/>
              <w:left w:w="16" w:type="dxa"/>
              <w:right w:w="16" w:type="dxa"/>
            </w:tcMar>
            <w:vAlign w:val="center"/>
          </w:tcPr>
          <w:p w14:paraId="4A588CE3">
            <w:pPr>
              <w:adjustRightIn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环保投资占比（%）</w:t>
            </w:r>
          </w:p>
        </w:tc>
        <w:tc>
          <w:tcPr>
            <w:tcW w:w="2188" w:type="dxa"/>
            <w:vAlign w:val="center"/>
          </w:tcPr>
          <w:p w14:paraId="4221AFF7">
            <w:pPr>
              <w:adjustRightInd w:val="0"/>
              <w:jc w:val="center"/>
              <w:rPr>
                <w:rFonts w:hint="default" w:ascii="Times New Roman" w:hAnsi="Times New Roman" w:eastAsia="宋体" w:cs="Times New Roman"/>
                <w:color w:val="auto"/>
                <w:kern w:val="21"/>
                <w:highlight w:val="none"/>
                <w:lang w:val="en-US" w:eastAsia="zh-CN"/>
              </w:rPr>
            </w:pPr>
            <w:r>
              <w:rPr>
                <w:rFonts w:hint="eastAsia" w:cs="Times New Roman"/>
                <w:color w:val="auto"/>
                <w:kern w:val="21"/>
                <w:highlight w:val="none"/>
                <w:lang w:val="en-US" w:eastAsia="zh-CN"/>
              </w:rPr>
              <w:t>6</w:t>
            </w:r>
            <w:r>
              <w:rPr>
                <w:rFonts w:hint="default" w:ascii="Times New Roman" w:hAnsi="Times New Roman" w:cs="Times New Roman"/>
                <w:color w:val="auto"/>
                <w:kern w:val="21"/>
                <w:highlight w:val="none"/>
                <w:lang w:val="en-US" w:eastAsia="zh-CN"/>
              </w:rPr>
              <w:t>%</w:t>
            </w:r>
          </w:p>
        </w:tc>
        <w:tc>
          <w:tcPr>
            <w:tcW w:w="2397" w:type="dxa"/>
            <w:tcMar>
              <w:top w:w="16" w:type="dxa"/>
              <w:left w:w="16" w:type="dxa"/>
              <w:right w:w="16" w:type="dxa"/>
            </w:tcMar>
            <w:vAlign w:val="center"/>
          </w:tcPr>
          <w:p w14:paraId="216865DB">
            <w:pPr>
              <w:adjustRightIn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施工工期</w:t>
            </w:r>
          </w:p>
        </w:tc>
        <w:tc>
          <w:tcPr>
            <w:tcW w:w="3121" w:type="dxa"/>
            <w:vAlign w:val="center"/>
          </w:tcPr>
          <w:p w14:paraId="3D185534">
            <w:pPr>
              <w:adjustRightInd w:val="0"/>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3</w:t>
            </w:r>
            <w:r>
              <w:rPr>
                <w:rFonts w:hint="default" w:ascii="Times New Roman" w:hAnsi="Times New Roman" w:cs="Times New Roman"/>
                <w:color w:val="auto"/>
                <w:szCs w:val="21"/>
                <w:highlight w:val="none"/>
              </w:rPr>
              <w:t>个月</w:t>
            </w:r>
          </w:p>
        </w:tc>
      </w:tr>
      <w:tr w14:paraId="3EF2C3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6" w:type="dxa"/>
            <w:gridSpan w:val="2"/>
            <w:tcMar>
              <w:top w:w="16" w:type="dxa"/>
              <w:left w:w="16" w:type="dxa"/>
              <w:right w:w="16" w:type="dxa"/>
            </w:tcMar>
            <w:vAlign w:val="center"/>
          </w:tcPr>
          <w:p w14:paraId="5DDEB174">
            <w:pPr>
              <w:adjustRightIn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是否开工建设</w:t>
            </w:r>
          </w:p>
        </w:tc>
        <w:tc>
          <w:tcPr>
            <w:tcW w:w="2188" w:type="dxa"/>
            <w:vAlign w:val="center"/>
          </w:tcPr>
          <w:p w14:paraId="434AA620">
            <w:pPr>
              <w:adjustRightIn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☑否</w:t>
            </w:r>
          </w:p>
          <w:p w14:paraId="21D4048D">
            <w:pPr>
              <w:adjustRightIn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sym w:font="Wingdings 2" w:char="00A3"/>
            </w:r>
            <w:r>
              <w:rPr>
                <w:rFonts w:hint="default" w:ascii="Times New Roman" w:hAnsi="Times New Roman" w:cs="Times New Roman"/>
                <w:color w:val="auto"/>
                <w:szCs w:val="21"/>
                <w:highlight w:val="none"/>
              </w:rPr>
              <w:t>是：</w:t>
            </w:r>
            <w:r>
              <w:rPr>
                <w:rFonts w:hint="default" w:ascii="Times New Roman" w:hAnsi="Times New Roman" w:cs="Times New Roman"/>
                <w:color w:val="auto"/>
                <w:szCs w:val="21"/>
                <w:highlight w:val="none"/>
                <w:u w:val="single"/>
              </w:rPr>
              <w:t xml:space="preserve">             </w:t>
            </w:r>
          </w:p>
        </w:tc>
        <w:tc>
          <w:tcPr>
            <w:tcW w:w="2397" w:type="dxa"/>
            <w:tcMar>
              <w:top w:w="16" w:type="dxa"/>
              <w:left w:w="16" w:type="dxa"/>
              <w:right w:w="16" w:type="dxa"/>
            </w:tcMar>
            <w:vAlign w:val="center"/>
          </w:tcPr>
          <w:p w14:paraId="5DBF506A">
            <w:pPr>
              <w:adjustRightInd w:val="0"/>
              <w:jc w:val="center"/>
              <w:rPr>
                <w:rFonts w:hint="default" w:ascii="Times New Roman" w:hAnsi="Times New Roman" w:cs="Times New Roman"/>
                <w:color w:val="auto"/>
                <w:spacing w:val="-6"/>
                <w:szCs w:val="21"/>
                <w:highlight w:val="none"/>
              </w:rPr>
            </w:pPr>
            <w:r>
              <w:rPr>
                <w:rFonts w:hint="default" w:ascii="Times New Roman" w:hAnsi="Times New Roman" w:cs="Times New Roman"/>
                <w:color w:val="auto"/>
                <w:spacing w:val="-6"/>
                <w:szCs w:val="21"/>
                <w:highlight w:val="none"/>
              </w:rPr>
              <w:t>用地（用海）</w:t>
            </w:r>
          </w:p>
          <w:p w14:paraId="0F7CDF62">
            <w:pPr>
              <w:adjustRightIn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pacing w:val="-6"/>
                <w:szCs w:val="21"/>
                <w:highlight w:val="none"/>
              </w:rPr>
              <w:t>面积（m</w:t>
            </w:r>
            <w:r>
              <w:rPr>
                <w:rFonts w:hint="default" w:ascii="Times New Roman" w:hAnsi="Times New Roman" w:cs="Times New Roman"/>
                <w:color w:val="auto"/>
                <w:spacing w:val="-6"/>
                <w:szCs w:val="21"/>
                <w:highlight w:val="none"/>
                <w:vertAlign w:val="superscript"/>
              </w:rPr>
              <w:t>2</w:t>
            </w:r>
            <w:r>
              <w:rPr>
                <w:rFonts w:hint="default" w:ascii="Times New Roman" w:hAnsi="Times New Roman" w:cs="Times New Roman"/>
                <w:color w:val="auto"/>
                <w:spacing w:val="-6"/>
                <w:szCs w:val="21"/>
                <w:highlight w:val="none"/>
              </w:rPr>
              <w:t>）</w:t>
            </w:r>
          </w:p>
        </w:tc>
        <w:tc>
          <w:tcPr>
            <w:tcW w:w="3121" w:type="dxa"/>
            <w:vAlign w:val="center"/>
          </w:tcPr>
          <w:p w14:paraId="44926328">
            <w:pPr>
              <w:adjustRightInd w:val="0"/>
              <w:jc w:val="center"/>
              <w:rPr>
                <w:rFonts w:hint="default" w:ascii="Times New Roman" w:hAnsi="Times New Roman" w:cs="Times New Roman"/>
                <w:color w:val="auto"/>
                <w:kern w:val="21"/>
                <w:highlight w:val="none"/>
              </w:rPr>
            </w:pPr>
            <w:r>
              <w:rPr>
                <w:rFonts w:hint="eastAsia" w:cs="Times New Roman"/>
                <w:color w:val="auto"/>
                <w:kern w:val="21"/>
                <w:highlight w:val="none"/>
                <w:lang w:val="en-US" w:eastAsia="zh-CN"/>
              </w:rPr>
              <w:t>1548</w:t>
            </w:r>
            <w:r>
              <w:rPr>
                <w:rFonts w:hint="default" w:ascii="Times New Roman" w:hAnsi="Times New Roman" w:cs="Times New Roman"/>
                <w:color w:val="auto"/>
                <w:kern w:val="21"/>
                <w:highlight w:val="none"/>
              </w:rPr>
              <w:t>m</w:t>
            </w:r>
            <w:r>
              <w:rPr>
                <w:rFonts w:hint="default" w:ascii="Times New Roman" w:hAnsi="Times New Roman" w:cs="Times New Roman"/>
                <w:color w:val="auto"/>
                <w:kern w:val="21"/>
                <w:highlight w:val="none"/>
                <w:vertAlign w:val="superscript"/>
              </w:rPr>
              <w:t>2</w:t>
            </w:r>
          </w:p>
        </w:tc>
      </w:tr>
      <w:tr w14:paraId="577BBD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dxa"/>
            <w:vAlign w:val="center"/>
          </w:tcPr>
          <w:p w14:paraId="025554D8">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专项评价设置情况</w:t>
            </w:r>
          </w:p>
        </w:tc>
        <w:tc>
          <w:tcPr>
            <w:tcW w:w="8693" w:type="dxa"/>
            <w:gridSpan w:val="4"/>
            <w:vAlign w:val="center"/>
          </w:tcPr>
          <w:p w14:paraId="5F27D4E4">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根据《建设项目环境影响报告表编制技术指南（污染影响类）（试行）》文件要求，本项目专项评价设置情况见下表。</w:t>
            </w:r>
          </w:p>
          <w:p w14:paraId="1EA4A216">
            <w:pPr>
              <w:pStyle w:val="39"/>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SEQ 表 \* ARABIC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 xml:space="preserve"> </w:t>
            </w:r>
            <w:r>
              <w:rPr>
                <w:rFonts w:hint="default" w:ascii="Times New Roman" w:hAnsi="Times New Roman" w:cs="Times New Roman"/>
                <w:color w:val="auto"/>
                <w:kern w:val="0"/>
                <w:szCs w:val="21"/>
                <w:highlight w:val="none"/>
              </w:rPr>
              <w:t>本项目专项评价设置原则分析表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6"/>
              <w:gridCol w:w="4119"/>
              <w:gridCol w:w="3472"/>
            </w:tblGrid>
            <w:tr w14:paraId="34805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shd w:val="clear" w:color="auto" w:fill="auto"/>
                  <w:vAlign w:val="center"/>
                </w:tcPr>
                <w:p w14:paraId="2CEAE1A4">
                  <w:pPr>
                    <w:pStyle w:val="41"/>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类别</w:t>
                  </w:r>
                </w:p>
              </w:tc>
              <w:tc>
                <w:tcPr>
                  <w:tcW w:w="2432" w:type="pct"/>
                  <w:shd w:val="clear" w:color="auto" w:fill="auto"/>
                  <w:vAlign w:val="center"/>
                </w:tcPr>
                <w:p w14:paraId="49DF0B2C">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文件要求</w:t>
                  </w:r>
                </w:p>
              </w:tc>
              <w:tc>
                <w:tcPr>
                  <w:tcW w:w="2050" w:type="pct"/>
                  <w:shd w:val="clear" w:color="auto" w:fill="auto"/>
                  <w:vAlign w:val="center"/>
                </w:tcPr>
                <w:p w14:paraId="0CBC727A">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项目情况</w:t>
                  </w:r>
                </w:p>
              </w:tc>
            </w:tr>
            <w:tr w14:paraId="05DF1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shd w:val="clear" w:color="auto" w:fill="auto"/>
                  <w:vAlign w:val="center"/>
                </w:tcPr>
                <w:p w14:paraId="3B8F0323">
                  <w:pPr>
                    <w:pStyle w:val="41"/>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大气</w:t>
                  </w:r>
                </w:p>
              </w:tc>
              <w:tc>
                <w:tcPr>
                  <w:tcW w:w="2432" w:type="pct"/>
                  <w:shd w:val="clear" w:color="auto" w:fill="auto"/>
                  <w:vAlign w:val="center"/>
                </w:tcPr>
                <w:p w14:paraId="78782C2E">
                  <w:pPr>
                    <w:pStyle w:val="41"/>
                    <w:jc w:val="both"/>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排放废气含有毒有害污染物、二噁英、苯并[a]芘、氰化物、氯气且厂界外500米范围内有环境空气保护目标的建设项目。</w:t>
                  </w:r>
                </w:p>
              </w:tc>
              <w:tc>
                <w:tcPr>
                  <w:tcW w:w="2050" w:type="pct"/>
                  <w:shd w:val="clear" w:color="auto" w:fill="auto"/>
                  <w:vAlign w:val="center"/>
                </w:tcPr>
                <w:p w14:paraId="3543D214">
                  <w:pPr>
                    <w:pStyle w:val="41"/>
                    <w:jc w:val="both"/>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项目排放不涉及有毒有害污染物</w:t>
                  </w:r>
                </w:p>
              </w:tc>
            </w:tr>
            <w:tr w14:paraId="56F41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shd w:val="clear" w:color="auto" w:fill="auto"/>
                  <w:vAlign w:val="center"/>
                </w:tcPr>
                <w:p w14:paraId="5B4FE01E">
                  <w:pPr>
                    <w:pStyle w:val="41"/>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地表水</w:t>
                  </w:r>
                </w:p>
              </w:tc>
              <w:tc>
                <w:tcPr>
                  <w:tcW w:w="2432" w:type="pct"/>
                  <w:shd w:val="clear" w:color="auto" w:fill="auto"/>
                  <w:vAlign w:val="center"/>
                </w:tcPr>
                <w:p w14:paraId="2255D1EA">
                  <w:pPr>
                    <w:pStyle w:val="41"/>
                    <w:jc w:val="both"/>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新增工业废水直排建设项目（槽罐车外送污水处理厂的除外）；新增废水直排的污水集中处理厂。</w:t>
                  </w:r>
                </w:p>
              </w:tc>
              <w:tc>
                <w:tcPr>
                  <w:tcW w:w="2050" w:type="pct"/>
                  <w:shd w:val="clear" w:color="auto" w:fill="auto"/>
                  <w:vAlign w:val="center"/>
                </w:tcPr>
                <w:p w14:paraId="5162D0E1">
                  <w:pPr>
                    <w:pStyle w:val="41"/>
                    <w:jc w:val="both"/>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本项目外排废水经市政管网进入污水处理厂，不直排</w:t>
                  </w:r>
                </w:p>
              </w:tc>
            </w:tr>
            <w:tr w14:paraId="35540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shd w:val="clear" w:color="auto" w:fill="auto"/>
                  <w:vAlign w:val="center"/>
                </w:tcPr>
                <w:p w14:paraId="270146A8">
                  <w:pPr>
                    <w:pStyle w:val="41"/>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环境</w:t>
                  </w:r>
                </w:p>
                <w:p w14:paraId="06DED7FC">
                  <w:pPr>
                    <w:pStyle w:val="41"/>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风险</w:t>
                  </w:r>
                </w:p>
              </w:tc>
              <w:tc>
                <w:tcPr>
                  <w:tcW w:w="2432" w:type="pct"/>
                  <w:shd w:val="clear" w:color="auto" w:fill="auto"/>
                  <w:vAlign w:val="center"/>
                </w:tcPr>
                <w:p w14:paraId="2E10989E">
                  <w:pPr>
                    <w:pStyle w:val="41"/>
                    <w:jc w:val="both"/>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有毒有害和易燃易爆危险物质存储量超过临界量的建设项目。</w:t>
                  </w:r>
                </w:p>
              </w:tc>
              <w:tc>
                <w:tcPr>
                  <w:tcW w:w="2050" w:type="pct"/>
                  <w:shd w:val="clear" w:color="auto" w:fill="auto"/>
                  <w:vAlign w:val="center"/>
                </w:tcPr>
                <w:p w14:paraId="4DBBB678">
                  <w:pPr>
                    <w:pStyle w:val="41"/>
                    <w:jc w:val="both"/>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本项目涉及</w:t>
                  </w:r>
                  <w:r>
                    <w:rPr>
                      <w:rFonts w:hint="default" w:ascii="Times New Roman" w:hAnsi="Times New Roman" w:eastAsia="宋体" w:cs="Times New Roman"/>
                      <w:color w:val="auto"/>
                      <w:sz w:val="20"/>
                      <w:szCs w:val="20"/>
                      <w:highlight w:val="none"/>
                      <w:lang w:eastAsia="zh-CN"/>
                    </w:rPr>
                    <w:t>危险物质存储量未超过临界量</w:t>
                  </w:r>
                </w:p>
              </w:tc>
            </w:tr>
            <w:tr w14:paraId="16591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shd w:val="clear" w:color="auto" w:fill="auto"/>
                  <w:vAlign w:val="center"/>
                </w:tcPr>
                <w:p w14:paraId="73C2578F">
                  <w:pPr>
                    <w:pStyle w:val="41"/>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生态</w:t>
                  </w:r>
                </w:p>
              </w:tc>
              <w:tc>
                <w:tcPr>
                  <w:tcW w:w="2432" w:type="pct"/>
                  <w:shd w:val="clear" w:color="auto" w:fill="auto"/>
                  <w:vAlign w:val="center"/>
                </w:tcPr>
                <w:p w14:paraId="01A5F812">
                  <w:pPr>
                    <w:pStyle w:val="41"/>
                    <w:jc w:val="both"/>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取水口下游500米范围内有重要水生生物的自然产卵场、索饵场、越冬场和洄游通道的新增河道取水的污染类建设项目。</w:t>
                  </w:r>
                </w:p>
              </w:tc>
              <w:tc>
                <w:tcPr>
                  <w:tcW w:w="2050" w:type="pct"/>
                  <w:shd w:val="clear" w:color="auto" w:fill="auto"/>
                  <w:vAlign w:val="center"/>
                </w:tcPr>
                <w:p w14:paraId="572A8C66">
                  <w:pPr>
                    <w:pStyle w:val="41"/>
                    <w:jc w:val="both"/>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项目用水由市政管网提供，不单独设置取水口</w:t>
                  </w:r>
                </w:p>
              </w:tc>
            </w:tr>
            <w:tr w14:paraId="34468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shd w:val="clear" w:color="auto" w:fill="auto"/>
                  <w:vAlign w:val="center"/>
                </w:tcPr>
                <w:p w14:paraId="7305E87C">
                  <w:pPr>
                    <w:pStyle w:val="41"/>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海洋</w:t>
                  </w:r>
                </w:p>
              </w:tc>
              <w:tc>
                <w:tcPr>
                  <w:tcW w:w="2432" w:type="pct"/>
                  <w:shd w:val="clear" w:color="auto" w:fill="auto"/>
                  <w:vAlign w:val="center"/>
                </w:tcPr>
                <w:p w14:paraId="44B4C4D3">
                  <w:pPr>
                    <w:pStyle w:val="41"/>
                    <w:jc w:val="both"/>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直接向海排放污染物的海洋工程建设项目。</w:t>
                  </w:r>
                </w:p>
              </w:tc>
              <w:tc>
                <w:tcPr>
                  <w:tcW w:w="2050" w:type="pct"/>
                  <w:shd w:val="clear" w:color="auto" w:fill="auto"/>
                  <w:vAlign w:val="center"/>
                </w:tcPr>
                <w:p w14:paraId="65EF9C28">
                  <w:pPr>
                    <w:pStyle w:val="41"/>
                    <w:jc w:val="both"/>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本项目不属于海洋工程，不涉及海洋影响</w:t>
                  </w:r>
                </w:p>
              </w:tc>
            </w:tr>
          </w:tbl>
          <w:p w14:paraId="1167D5A4">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t>由上表可知，本项目无需设置专项评价。</w:t>
            </w:r>
          </w:p>
        </w:tc>
      </w:tr>
      <w:tr w14:paraId="2E7AF4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9" w:type="dxa"/>
            <w:vAlign w:val="center"/>
          </w:tcPr>
          <w:p w14:paraId="412F6D20">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规划情况</w:t>
            </w:r>
          </w:p>
        </w:tc>
        <w:tc>
          <w:tcPr>
            <w:tcW w:w="8693" w:type="dxa"/>
            <w:gridSpan w:val="4"/>
            <w:vAlign w:val="center"/>
          </w:tcPr>
          <w:p w14:paraId="75C834FB">
            <w:pPr>
              <w:pStyle w:val="38"/>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（1）规划名称：淄博经开区南部创新创业园</w:t>
            </w:r>
          </w:p>
          <w:p w14:paraId="2D06A78D">
            <w:pPr>
              <w:pStyle w:val="38"/>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（2）审批机关：淄博经济开发区管理委员会</w:t>
            </w:r>
          </w:p>
          <w:p w14:paraId="491B3432">
            <w:pPr>
              <w:pStyle w:val="38"/>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（3）审批文件名称：《关于初步规划淄博经开区南部创新创业园的批复》</w:t>
            </w:r>
          </w:p>
          <w:p w14:paraId="728EF540">
            <w:pPr>
              <w:pStyle w:val="38"/>
              <w:rPr>
                <w:rFonts w:hint="default" w:ascii="Times New Roman" w:hAnsi="Times New Roman" w:cs="Times New Roman"/>
                <w:color w:val="auto"/>
                <w:kern w:val="2"/>
                <w:highlight w:val="none"/>
              </w:rPr>
            </w:pPr>
            <w:r>
              <w:rPr>
                <w:rFonts w:hint="default" w:ascii="Times New Roman" w:hAnsi="Times New Roman" w:eastAsia="宋体" w:cs="Times New Roman"/>
                <w:color w:val="auto"/>
                <w:highlight w:val="none"/>
                <w:lang w:val="en-US" w:eastAsia="zh-CN"/>
              </w:rPr>
              <w:t>（4）批复时间：2025年1月20日</w:t>
            </w:r>
          </w:p>
        </w:tc>
      </w:tr>
      <w:tr w14:paraId="47C2D9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9" w:type="dxa"/>
            <w:vAlign w:val="center"/>
          </w:tcPr>
          <w:p w14:paraId="3E02DFBE">
            <w:pPr>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规划环境影响评价情况</w:t>
            </w:r>
          </w:p>
        </w:tc>
        <w:tc>
          <w:tcPr>
            <w:tcW w:w="8693" w:type="dxa"/>
            <w:gridSpan w:val="4"/>
            <w:vAlign w:val="center"/>
          </w:tcPr>
          <w:p w14:paraId="1BAE2960">
            <w:pPr>
              <w:pStyle w:val="38"/>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（1）规划环境影响评价文件名称：《</w:t>
            </w:r>
            <w:bookmarkStart w:id="2" w:name="_Hlk199852903"/>
            <w:r>
              <w:rPr>
                <w:rFonts w:hint="default" w:ascii="Times New Roman" w:hAnsi="Times New Roman" w:eastAsia="宋体" w:cs="Times New Roman"/>
                <w:color w:val="auto"/>
                <w:highlight w:val="none"/>
                <w:lang w:val="en-US" w:eastAsia="zh-CN"/>
              </w:rPr>
              <w:t>淄博经开区南部创新创业园总体发展规划（2025-2035年）环境影响报告书</w:t>
            </w:r>
            <w:bookmarkEnd w:id="2"/>
            <w:r>
              <w:rPr>
                <w:rFonts w:hint="default" w:ascii="Times New Roman" w:hAnsi="Times New Roman" w:eastAsia="宋体" w:cs="Times New Roman"/>
                <w:color w:val="auto"/>
                <w:highlight w:val="none"/>
                <w:lang w:val="en-US" w:eastAsia="zh-CN"/>
              </w:rPr>
              <w:t>》</w:t>
            </w:r>
          </w:p>
          <w:p w14:paraId="45089A3C">
            <w:pPr>
              <w:pStyle w:val="38"/>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（2）召集审查机关：淄博市生态环境局经济开发区分局</w:t>
            </w:r>
          </w:p>
          <w:p w14:paraId="620AAE69">
            <w:pPr>
              <w:pStyle w:val="38"/>
              <w:rPr>
                <w:rFonts w:hint="default" w:ascii="Times New Roman" w:hAnsi="Times New Roman" w:cs="Times New Roman"/>
                <w:color w:val="auto"/>
                <w:szCs w:val="21"/>
                <w:highlight w:val="none"/>
              </w:rPr>
            </w:pPr>
            <w:r>
              <w:rPr>
                <w:rFonts w:hint="default" w:ascii="Times New Roman" w:hAnsi="Times New Roman" w:eastAsia="宋体" w:cs="Times New Roman"/>
                <w:color w:val="auto"/>
                <w:highlight w:val="none"/>
                <w:lang w:val="en-US" w:eastAsia="zh-CN"/>
              </w:rPr>
              <w:t>（3）审查文件名称及文号：</w:t>
            </w:r>
            <w:bookmarkStart w:id="3" w:name="_Hlk83572847"/>
            <w:r>
              <w:rPr>
                <w:rFonts w:hint="default" w:ascii="Times New Roman" w:hAnsi="Times New Roman" w:eastAsia="宋体" w:cs="Times New Roman"/>
                <w:color w:val="auto"/>
                <w:highlight w:val="none"/>
                <w:lang w:val="en-US" w:eastAsia="zh-CN"/>
              </w:rPr>
              <w:t>《</w:t>
            </w:r>
            <w:bookmarkStart w:id="4" w:name="_Hlk202307915"/>
            <w:bookmarkStart w:id="5" w:name="_Hlk101945382"/>
            <w:r>
              <w:rPr>
                <w:rFonts w:hint="default" w:ascii="Times New Roman" w:hAnsi="Times New Roman" w:eastAsia="宋体" w:cs="Times New Roman"/>
                <w:color w:val="auto"/>
                <w:highlight w:val="none"/>
                <w:lang w:val="en-US" w:eastAsia="zh-CN"/>
              </w:rPr>
              <w:t>淄博经开区南部创新创业园总体发展规划（2025-2035年）</w:t>
            </w:r>
            <w:bookmarkEnd w:id="4"/>
            <w:r>
              <w:rPr>
                <w:rFonts w:hint="default" w:ascii="Times New Roman" w:hAnsi="Times New Roman" w:eastAsia="宋体" w:cs="Times New Roman"/>
                <w:color w:val="auto"/>
                <w:highlight w:val="none"/>
                <w:lang w:val="en-US" w:eastAsia="zh-CN"/>
              </w:rPr>
              <w:t>环境影响报告书</w:t>
            </w:r>
            <w:bookmarkEnd w:id="5"/>
            <w:r>
              <w:rPr>
                <w:rFonts w:hint="default" w:ascii="Times New Roman" w:hAnsi="Times New Roman" w:eastAsia="宋体" w:cs="Times New Roman"/>
                <w:color w:val="auto"/>
                <w:highlight w:val="none"/>
                <w:lang w:val="en-US" w:eastAsia="zh-CN"/>
              </w:rPr>
              <w:t>》</w:t>
            </w:r>
            <w:bookmarkEnd w:id="3"/>
            <w:r>
              <w:rPr>
                <w:rFonts w:hint="default" w:ascii="Times New Roman" w:hAnsi="Times New Roman" w:eastAsia="宋体" w:cs="Times New Roman"/>
                <w:color w:val="auto"/>
                <w:highlight w:val="none"/>
                <w:lang w:val="en-US" w:eastAsia="zh-CN"/>
              </w:rPr>
              <w:t>审查意见（淄经开规划环审[2025]1号）</w:t>
            </w:r>
          </w:p>
        </w:tc>
      </w:tr>
      <w:tr w14:paraId="788EAF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9" w:type="dxa"/>
            <w:vAlign w:val="center"/>
          </w:tcPr>
          <w:p w14:paraId="19127C66">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规划及规划环境影响评价符合性分析</w:t>
            </w:r>
          </w:p>
        </w:tc>
        <w:tc>
          <w:tcPr>
            <w:tcW w:w="8693" w:type="dxa"/>
            <w:gridSpan w:val="4"/>
            <w:vAlign w:val="center"/>
          </w:tcPr>
          <w:p w14:paraId="6E9B52DE">
            <w:pPr>
              <w:pStyle w:val="38"/>
              <w:keepNext w:val="0"/>
              <w:keepLines w:val="0"/>
              <w:pageBreakBefore w:val="0"/>
              <w:widowControl w:val="0"/>
              <w:kinsoku/>
              <w:wordWrap/>
              <w:overflowPunct/>
              <w:topLinePunct w:val="0"/>
              <w:autoSpaceDE w:val="0"/>
              <w:autoSpaceDN w:val="0"/>
              <w:bidi w:val="0"/>
              <w:adjustRightInd/>
              <w:snapToGrid/>
              <w:textAlignment w:val="auto"/>
              <w:rPr>
                <w:rFonts w:hint="default" w:ascii="Times New Roman" w:hAnsi="Times New Roman" w:cs="Times New Roman"/>
                <w:color w:val="auto"/>
                <w:highlight w:val="none"/>
                <w:lang w:val="en-US" w:eastAsia="zh-CN"/>
              </w:rPr>
            </w:pPr>
            <w:r>
              <w:rPr>
                <w:rFonts w:hint="eastAsia" w:cs="Times New Roman"/>
                <w:b/>
                <w:bCs/>
                <w:color w:val="auto"/>
                <w:highlight w:val="none"/>
                <w:lang w:val="en-US" w:eastAsia="zh-CN"/>
              </w:rPr>
              <w:t>1、与规划及规划范围符合性分析</w:t>
            </w:r>
          </w:p>
          <w:p w14:paraId="1C125494">
            <w:pPr>
              <w:pStyle w:val="38"/>
              <w:keepNext w:val="0"/>
              <w:keepLines w:val="0"/>
              <w:pageBreakBefore w:val="0"/>
              <w:widowControl w:val="0"/>
              <w:kinsoku/>
              <w:wordWrap/>
              <w:overflowPunct/>
              <w:topLinePunct w:val="0"/>
              <w:autoSpaceDE w:val="0"/>
              <w:autoSpaceDN w:val="0"/>
              <w:bidi w:val="0"/>
              <w:adjustRightInd/>
              <w:snapToGrid/>
              <w:textAlignment w:val="auto"/>
              <w:rPr>
                <w:rFonts w:hint="default" w:ascii="Times New Roman" w:hAnsi="Times New Roman" w:cs="Times New Roman"/>
                <w:color w:val="auto"/>
                <w:highlight w:val="none"/>
                <w:lang w:val="en-US" w:eastAsia="zh-CN"/>
              </w:rPr>
            </w:pPr>
            <w:bookmarkStart w:id="6" w:name="规划定位、产业"/>
            <w:r>
              <w:rPr>
                <w:rFonts w:hint="default" w:ascii="Times New Roman" w:hAnsi="Times New Roman" w:cs="Times New Roman"/>
                <w:color w:val="auto"/>
                <w:highlight w:val="none"/>
                <w:lang w:val="en-US" w:eastAsia="zh-CN"/>
              </w:rPr>
              <w:t>2025年1月20日《淄博经济开发区管理委员会关于&lt;关于初步规划淄博经开区南部创新创业园&gt;的批复》同意设立淄博经开区南部创新创业园，具体范围为傅家镇西河村边界以东，孝妇河沿河路以西，淄河大道以南，规划总用地面积约1036.65公顷，园区以先进装备制造、高端新材料应用和建筑陶瓷、岩板及配套的色釉料、建筑装备等绿色建陶产业链为主导产业。</w:t>
            </w:r>
          </w:p>
          <w:bookmarkEnd w:id="6"/>
          <w:p w14:paraId="5D9FA024">
            <w:pPr>
              <w:pStyle w:val="38"/>
              <w:keepNext w:val="0"/>
              <w:keepLines w:val="0"/>
              <w:pageBreakBefore w:val="0"/>
              <w:widowControl w:val="0"/>
              <w:kinsoku/>
              <w:wordWrap/>
              <w:overflowPunct/>
              <w:topLinePunct w:val="0"/>
              <w:autoSpaceDE w:val="0"/>
              <w:autoSpaceDN w:val="0"/>
              <w:bidi w:val="0"/>
              <w:adjustRightInd/>
              <w:snapToGrid/>
              <w:textAlignment w:val="auto"/>
              <w:rPr>
                <w:rFonts w:hint="default" w:ascii="Times New Roman" w:hAnsi="Times New Roman" w:cs="Times New Roman"/>
                <w:color w:val="FF0000"/>
                <w:highlight w:val="none"/>
                <w:lang w:val="en-US" w:eastAsia="zh-CN"/>
              </w:rPr>
            </w:pPr>
            <w:r>
              <w:rPr>
                <w:rFonts w:hint="default" w:ascii="Times New Roman" w:hAnsi="Times New Roman" w:cs="Times New Roman"/>
                <w:color w:val="FF0000"/>
                <w:highlight w:val="none"/>
                <w:lang w:val="en-US" w:eastAsia="zh-CN"/>
              </w:rPr>
              <w:t>本项目位于</w:t>
            </w:r>
            <w:r>
              <w:rPr>
                <w:rFonts w:hint="eastAsia" w:cs="Times New Roman"/>
                <w:color w:val="FF0000"/>
                <w:sz w:val="21"/>
                <w:szCs w:val="21"/>
                <w:highlight w:val="none"/>
                <w:lang w:eastAsia="zh-CN"/>
              </w:rPr>
              <w:t>山东省淄博市淄博经济开发区傅家镇双杨管区天津路与梁牛路路口西150米路北院内东侧第二间车间</w:t>
            </w:r>
            <w:r>
              <w:rPr>
                <w:rFonts w:hint="default" w:ascii="Times New Roman" w:hAnsi="Times New Roman" w:cs="Times New Roman"/>
                <w:color w:val="FF0000"/>
                <w:highlight w:val="none"/>
                <w:lang w:val="en-US" w:eastAsia="zh-CN"/>
              </w:rPr>
              <w:t>，</w:t>
            </w:r>
            <w:r>
              <w:rPr>
                <w:rFonts w:hint="eastAsia" w:ascii="Times New Roman" w:hAnsi="Times New Roman" w:cs="Times New Roman"/>
                <w:color w:val="FF0000"/>
                <w:highlight w:val="none"/>
                <w:lang w:val="en-US" w:eastAsia="zh-CN"/>
              </w:rPr>
              <w:t>位于</w:t>
            </w:r>
            <w:r>
              <w:rPr>
                <w:rFonts w:hint="default" w:ascii="Times New Roman" w:hAnsi="Times New Roman" w:cs="Times New Roman"/>
                <w:color w:val="FF0000"/>
                <w:highlight w:val="none"/>
                <w:lang w:val="en-US" w:eastAsia="zh-CN"/>
              </w:rPr>
              <w:t>淄博经开区南部创新创业园</w:t>
            </w:r>
            <w:r>
              <w:rPr>
                <w:rFonts w:hint="eastAsia" w:ascii="Times New Roman" w:hAnsi="Times New Roman" w:cs="Times New Roman"/>
                <w:color w:val="FF0000"/>
                <w:highlight w:val="none"/>
                <w:lang w:val="en-US" w:eastAsia="zh-CN"/>
              </w:rPr>
              <w:t>规划</w:t>
            </w:r>
            <w:r>
              <w:rPr>
                <w:rFonts w:hint="default" w:ascii="Times New Roman" w:hAnsi="Times New Roman" w:cs="Times New Roman"/>
                <w:color w:val="FF0000"/>
                <w:highlight w:val="none"/>
                <w:lang w:val="en-US" w:eastAsia="zh-CN"/>
              </w:rPr>
              <w:t>范围</w:t>
            </w:r>
            <w:r>
              <w:rPr>
                <w:rFonts w:hint="eastAsia" w:ascii="Times New Roman" w:hAnsi="Times New Roman" w:cs="Times New Roman"/>
                <w:color w:val="FF0000"/>
                <w:highlight w:val="none"/>
                <w:lang w:val="en-US" w:eastAsia="zh-CN"/>
              </w:rPr>
              <w:t>内</w:t>
            </w:r>
            <w:r>
              <w:rPr>
                <w:rFonts w:hint="default" w:ascii="Times New Roman" w:hAnsi="Times New Roman" w:cs="Times New Roman"/>
                <w:color w:val="FF0000"/>
                <w:highlight w:val="none"/>
                <w:lang w:val="en-US" w:eastAsia="zh-CN"/>
              </w:rPr>
              <w:t>，根据《淄博经开区南部创新创业园总体发展规划（2025-2035年）</w:t>
            </w:r>
            <w:r>
              <w:rPr>
                <w:rFonts w:hint="eastAsia" w:cs="Times New Roman"/>
                <w:color w:val="FF0000"/>
                <w:highlight w:val="none"/>
                <w:lang w:val="en-US" w:eastAsia="zh-CN"/>
              </w:rPr>
              <w:t>-</w:t>
            </w:r>
            <w:r>
              <w:rPr>
                <w:rFonts w:hint="default" w:ascii="Times New Roman" w:hAnsi="Times New Roman" w:cs="Times New Roman"/>
                <w:color w:val="FF0000"/>
                <w:highlight w:val="none"/>
                <w:lang w:val="en-US" w:eastAsia="zh-CN"/>
              </w:rPr>
              <w:t>土地利用规划图》，项目土地规划用途为工业用地。</w:t>
            </w:r>
            <w:r>
              <w:rPr>
                <w:rFonts w:hint="eastAsia" w:ascii="Times New Roman" w:hAnsi="Times New Roman" w:cs="Times New Roman"/>
                <w:color w:val="FF0000"/>
                <w:highlight w:val="none"/>
                <w:lang w:val="en-US" w:eastAsia="zh-CN"/>
              </w:rPr>
              <w:t>项目</w:t>
            </w:r>
            <w:r>
              <w:rPr>
                <w:rFonts w:hint="default" w:ascii="Times New Roman" w:hAnsi="Times New Roman" w:cs="Times New Roman"/>
                <w:color w:val="FF0000"/>
                <w:highlight w:val="none"/>
                <w:lang w:val="en-US" w:eastAsia="zh-CN"/>
              </w:rPr>
              <w:t>符合淄博经开区南部创新创业园总体发展规划</w:t>
            </w:r>
            <w:r>
              <w:rPr>
                <w:rFonts w:hint="eastAsia" w:ascii="Times New Roman" w:hAnsi="Times New Roman" w:cs="Times New Roman"/>
                <w:color w:val="FF0000"/>
                <w:highlight w:val="none"/>
                <w:lang w:val="en-US" w:eastAsia="zh-CN"/>
              </w:rPr>
              <w:t>。</w:t>
            </w:r>
            <w:r>
              <w:rPr>
                <w:rFonts w:hint="eastAsia" w:cs="Times New Roman"/>
                <w:color w:val="FF0000"/>
                <w:highlight w:val="none"/>
                <w:lang w:val="en-US" w:eastAsia="zh-CN"/>
              </w:rPr>
              <w:t>项目与</w:t>
            </w:r>
            <w:r>
              <w:rPr>
                <w:rFonts w:hint="default" w:ascii="Times New Roman" w:hAnsi="Times New Roman" w:cs="Times New Roman"/>
                <w:color w:val="FF0000"/>
                <w:highlight w:val="none"/>
                <w:lang w:val="en-US" w:eastAsia="zh-CN"/>
              </w:rPr>
              <w:t>淄博经开区南部创新创业园</w:t>
            </w:r>
            <w:r>
              <w:rPr>
                <w:rFonts w:hint="eastAsia" w:ascii="Times New Roman" w:hAnsi="Times New Roman" w:cs="Times New Roman"/>
                <w:color w:val="FF0000"/>
                <w:highlight w:val="none"/>
                <w:lang w:val="en-US" w:eastAsia="zh-CN"/>
              </w:rPr>
              <w:t>相对位置见附图3。</w:t>
            </w:r>
          </w:p>
          <w:p w14:paraId="25725877">
            <w:pPr>
              <w:pStyle w:val="38"/>
              <w:bidi w:val="0"/>
              <w:rPr>
                <w:rFonts w:hint="default"/>
                <w:color w:val="auto"/>
                <w:highlight w:val="none"/>
                <w:lang w:val="en-US" w:eastAsia="zh-CN"/>
              </w:rPr>
            </w:pPr>
            <w:r>
              <w:rPr>
                <w:rFonts w:hint="default"/>
                <w:b/>
                <w:bCs/>
                <w:color w:val="auto"/>
                <w:highlight w:val="none"/>
                <w:lang w:val="en-US" w:eastAsia="zh-CN"/>
              </w:rPr>
              <w:t>2</w:t>
            </w:r>
            <w:r>
              <w:rPr>
                <w:rFonts w:hint="default"/>
                <w:b/>
                <w:bCs/>
                <w:color w:val="auto"/>
                <w:highlight w:val="none"/>
              </w:rPr>
              <w:t>、与</w:t>
            </w:r>
            <w:r>
              <w:rPr>
                <w:rFonts w:hint="default"/>
                <w:b/>
                <w:bCs/>
                <w:color w:val="auto"/>
                <w:highlight w:val="none"/>
                <w:lang w:val="en-US" w:eastAsia="zh-CN"/>
              </w:rPr>
              <w:t>淄博经开区南部创新创业园准入控制清单</w:t>
            </w:r>
            <w:r>
              <w:rPr>
                <w:rFonts w:hint="default"/>
                <w:b/>
                <w:bCs/>
                <w:color w:val="auto"/>
                <w:highlight w:val="none"/>
              </w:rPr>
              <w:t>符合性分析</w:t>
            </w:r>
          </w:p>
          <w:p w14:paraId="313B441A">
            <w:pPr>
              <w:pStyle w:val="39"/>
              <w:bidi w:val="0"/>
              <w:rPr>
                <w:rFonts w:hint="default" w:ascii="Times New Roman" w:hAnsi="Times New Roman" w:cs="Times New Roman"/>
                <w:color w:val="auto"/>
                <w:highlight w:val="none"/>
                <w:lang w:val="en-GB" w:eastAsia="zh-CN"/>
              </w:rPr>
            </w:pPr>
            <w:r>
              <w:rPr>
                <w:rFonts w:hint="default" w:ascii="Times New Roman" w:hAnsi="Times New Roman" w:cs="Times New Roman"/>
                <w:color w:val="auto"/>
                <w:highlight w:val="none"/>
                <w:lang w:val="en-GB" w:eastAsia="zh-CN"/>
              </w:rPr>
              <w:t>表</w:t>
            </w: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lang w:val="en-GB" w:eastAsia="zh-CN"/>
              </w:rPr>
              <w:t xml:space="preserve"> 园区</w:t>
            </w:r>
            <w:r>
              <w:rPr>
                <w:rFonts w:hint="default" w:ascii="Times New Roman" w:hAnsi="Times New Roman" w:cs="Times New Roman"/>
                <w:color w:val="auto"/>
                <w:highlight w:val="none"/>
                <w:lang w:val="en-US" w:eastAsia="zh-CN"/>
              </w:rPr>
              <w:t>行业准入控制清单</w:t>
            </w:r>
            <w:r>
              <w:rPr>
                <w:rFonts w:hint="eastAsia" w:ascii="Times New Roman" w:hAnsi="Times New Roman" w:cs="Times New Roman"/>
                <w:color w:val="auto"/>
                <w:highlight w:val="none"/>
                <w:lang w:val="en-GB" w:eastAsia="zh-CN"/>
              </w:rPr>
              <w:t>一览表</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0"/>
              <w:gridCol w:w="4782"/>
              <w:gridCol w:w="1872"/>
            </w:tblGrid>
            <w:tr w14:paraId="2434B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noWrap w:val="0"/>
                  <w:vAlign w:val="center"/>
                </w:tcPr>
                <w:p w14:paraId="5659D0D1">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行业类别</w:t>
                  </w:r>
                </w:p>
              </w:tc>
              <w:tc>
                <w:tcPr>
                  <w:tcW w:w="2825" w:type="pct"/>
                  <w:noWrap w:val="0"/>
                  <w:vAlign w:val="center"/>
                </w:tcPr>
                <w:p w14:paraId="4472B0CE">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行业小类</w:t>
                  </w:r>
                </w:p>
              </w:tc>
              <w:tc>
                <w:tcPr>
                  <w:tcW w:w="1104" w:type="pct"/>
                  <w:noWrap w:val="0"/>
                  <w:vAlign w:val="center"/>
                </w:tcPr>
                <w:p w14:paraId="6956031C">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控制级别</w:t>
                  </w:r>
                </w:p>
              </w:tc>
            </w:tr>
            <w:tr w14:paraId="45D0C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restart"/>
                  <w:noWrap w:val="0"/>
                  <w:vAlign w:val="center"/>
                </w:tcPr>
                <w:p w14:paraId="365D1F1D">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C33金属制品业</w:t>
                  </w:r>
                </w:p>
              </w:tc>
              <w:tc>
                <w:tcPr>
                  <w:tcW w:w="2825" w:type="pct"/>
                  <w:noWrap w:val="0"/>
                  <w:vAlign w:val="center"/>
                </w:tcPr>
                <w:p w14:paraId="3D7B22A6">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C331结构性金属制品制造</w:t>
                  </w:r>
                </w:p>
              </w:tc>
              <w:tc>
                <w:tcPr>
                  <w:tcW w:w="1104" w:type="pct"/>
                  <w:noWrap w:val="0"/>
                  <w:vAlign w:val="center"/>
                </w:tcPr>
                <w:p w14:paraId="2A973E7E">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00DB5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4C5DCDB1">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22E264FE">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C332金属工具制造</w:t>
                  </w:r>
                </w:p>
              </w:tc>
              <w:tc>
                <w:tcPr>
                  <w:tcW w:w="1104" w:type="pct"/>
                  <w:noWrap w:val="0"/>
                  <w:vAlign w:val="center"/>
                </w:tcPr>
                <w:p w14:paraId="2BF15D0C">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7E87A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6F0B0BE9">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7EF722E3">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C333集装箱及金属包装容器制造</w:t>
                  </w:r>
                </w:p>
              </w:tc>
              <w:tc>
                <w:tcPr>
                  <w:tcW w:w="1104" w:type="pct"/>
                  <w:noWrap w:val="0"/>
                  <w:vAlign w:val="center"/>
                </w:tcPr>
                <w:p w14:paraId="73755BD4">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3AD42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4116A947">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75119061">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C334金属丝绳及其制品制造</w:t>
                  </w:r>
                </w:p>
              </w:tc>
              <w:tc>
                <w:tcPr>
                  <w:tcW w:w="1104" w:type="pct"/>
                  <w:noWrap w:val="0"/>
                  <w:vAlign w:val="center"/>
                </w:tcPr>
                <w:p w14:paraId="13F02804">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7C89D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39091874">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025BD7B6">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C335建筑、安全用金属制品制造</w:t>
                  </w:r>
                </w:p>
              </w:tc>
              <w:tc>
                <w:tcPr>
                  <w:tcW w:w="1104" w:type="pct"/>
                  <w:noWrap w:val="0"/>
                  <w:vAlign w:val="center"/>
                </w:tcPr>
                <w:p w14:paraId="1B08EBB4">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7C9B2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7F3A379B">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5D0FB8BF">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C336金属表面处理及热处理加工</w:t>
                  </w:r>
                </w:p>
              </w:tc>
              <w:tc>
                <w:tcPr>
                  <w:tcW w:w="1104" w:type="pct"/>
                  <w:noWrap w:val="0"/>
                  <w:vAlign w:val="center"/>
                </w:tcPr>
                <w:p w14:paraId="733DDB97">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1D354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54DF8B27">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0BB3805D">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C337搪瓷制品制造</w:t>
                  </w:r>
                </w:p>
              </w:tc>
              <w:tc>
                <w:tcPr>
                  <w:tcW w:w="1104" w:type="pct"/>
                  <w:noWrap w:val="0"/>
                  <w:vAlign w:val="center"/>
                </w:tcPr>
                <w:p w14:paraId="36C4DD6C">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35645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5C6DE889">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31E85967">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C338金属制日用品制造</w:t>
                  </w:r>
                </w:p>
              </w:tc>
              <w:tc>
                <w:tcPr>
                  <w:tcW w:w="1104" w:type="pct"/>
                  <w:noWrap w:val="0"/>
                  <w:vAlign w:val="center"/>
                </w:tcPr>
                <w:p w14:paraId="5452A267">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1A0AA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5ACB9B8E">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3509EC26">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C339铸造及其他金属制品制造</w:t>
                  </w:r>
                </w:p>
              </w:tc>
              <w:tc>
                <w:tcPr>
                  <w:tcW w:w="1104" w:type="pct"/>
                  <w:noWrap w:val="0"/>
                  <w:vAlign w:val="center"/>
                </w:tcPr>
                <w:p w14:paraId="3BB5C5DE">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04AD1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restart"/>
                  <w:noWrap w:val="0"/>
                  <w:vAlign w:val="center"/>
                </w:tcPr>
                <w:p w14:paraId="327E259A">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C34通用设备制造业</w:t>
                  </w:r>
                </w:p>
              </w:tc>
              <w:tc>
                <w:tcPr>
                  <w:tcW w:w="2825" w:type="pct"/>
                  <w:noWrap w:val="0"/>
                  <w:vAlign w:val="center"/>
                </w:tcPr>
                <w:p w14:paraId="340070EF">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C341锅炉及原动设备制造</w:t>
                  </w:r>
                </w:p>
              </w:tc>
              <w:tc>
                <w:tcPr>
                  <w:tcW w:w="1104" w:type="pct"/>
                  <w:noWrap w:val="0"/>
                  <w:vAlign w:val="center"/>
                </w:tcPr>
                <w:p w14:paraId="0A631FFE">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5C33A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3BFC734B">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1B6373B7">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C342金属加工机械制造</w:t>
                  </w:r>
                </w:p>
              </w:tc>
              <w:tc>
                <w:tcPr>
                  <w:tcW w:w="1104" w:type="pct"/>
                  <w:noWrap w:val="0"/>
                  <w:vAlign w:val="center"/>
                </w:tcPr>
                <w:p w14:paraId="715A47DD">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03FB8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0A3EAB5C">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15616B2A">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C343物料搬运设备制造</w:t>
                  </w:r>
                </w:p>
              </w:tc>
              <w:tc>
                <w:tcPr>
                  <w:tcW w:w="1104" w:type="pct"/>
                  <w:noWrap w:val="0"/>
                  <w:vAlign w:val="center"/>
                </w:tcPr>
                <w:p w14:paraId="2F7028AE">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46E0C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081E25EF">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6D43D19F">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C344泵、阀门、压缩机及类似机械制造</w:t>
                  </w:r>
                </w:p>
              </w:tc>
              <w:tc>
                <w:tcPr>
                  <w:tcW w:w="1104" w:type="pct"/>
                  <w:noWrap w:val="0"/>
                  <w:vAlign w:val="center"/>
                </w:tcPr>
                <w:p w14:paraId="4EAA258E">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1A706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375ED7EA">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398E45D6">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C345轴承、齿轮和传动部件制造</w:t>
                  </w:r>
                </w:p>
              </w:tc>
              <w:tc>
                <w:tcPr>
                  <w:tcW w:w="1104" w:type="pct"/>
                  <w:noWrap w:val="0"/>
                  <w:vAlign w:val="center"/>
                </w:tcPr>
                <w:p w14:paraId="021711FA">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78531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29B44F00">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6AB254B0">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C346烘炉、风机、包装等设备制造</w:t>
                  </w:r>
                </w:p>
              </w:tc>
              <w:tc>
                <w:tcPr>
                  <w:tcW w:w="1104" w:type="pct"/>
                  <w:noWrap w:val="0"/>
                  <w:vAlign w:val="center"/>
                </w:tcPr>
                <w:p w14:paraId="2648C00C">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6B2ED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6AAB8048">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02A6BE2C">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C347文化、办公用机械制造</w:t>
                  </w:r>
                </w:p>
              </w:tc>
              <w:tc>
                <w:tcPr>
                  <w:tcW w:w="1104" w:type="pct"/>
                  <w:noWrap w:val="0"/>
                  <w:vAlign w:val="center"/>
                </w:tcPr>
                <w:p w14:paraId="6BC99229">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2253D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33272C40">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3EB65F58">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C348通用零部件制造</w:t>
                  </w:r>
                </w:p>
              </w:tc>
              <w:tc>
                <w:tcPr>
                  <w:tcW w:w="1104" w:type="pct"/>
                  <w:noWrap w:val="0"/>
                  <w:vAlign w:val="center"/>
                </w:tcPr>
                <w:p w14:paraId="75CAFDA0">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229B4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535CAB56">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28E4720D">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C349其他通用设备制造</w:t>
                  </w:r>
                </w:p>
              </w:tc>
              <w:tc>
                <w:tcPr>
                  <w:tcW w:w="1104" w:type="pct"/>
                  <w:noWrap w:val="0"/>
                  <w:vAlign w:val="center"/>
                </w:tcPr>
                <w:p w14:paraId="32942694">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7A083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restart"/>
                  <w:noWrap w:val="0"/>
                  <w:vAlign w:val="center"/>
                </w:tcPr>
                <w:p w14:paraId="530CE20C">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C35专用设备制造业</w:t>
                  </w:r>
                </w:p>
              </w:tc>
              <w:tc>
                <w:tcPr>
                  <w:tcW w:w="2825" w:type="pct"/>
                  <w:noWrap w:val="0"/>
                  <w:vAlign w:val="center"/>
                </w:tcPr>
                <w:p w14:paraId="4B4C7488">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C351采矿、冶金、建筑专用设备制造</w:t>
                  </w:r>
                </w:p>
              </w:tc>
              <w:tc>
                <w:tcPr>
                  <w:tcW w:w="1104" w:type="pct"/>
                  <w:noWrap w:val="0"/>
                  <w:vAlign w:val="center"/>
                </w:tcPr>
                <w:p w14:paraId="40007557">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7A473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073B0F3B">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2E02EF74">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C352化工、木材、非金属加工专用设备制造</w:t>
                  </w:r>
                </w:p>
              </w:tc>
              <w:tc>
                <w:tcPr>
                  <w:tcW w:w="1104" w:type="pct"/>
                  <w:noWrap w:val="0"/>
                  <w:vAlign w:val="center"/>
                </w:tcPr>
                <w:p w14:paraId="4C0367E0">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4E0E1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4796A4E3">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604D2DF6">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C353食品、饮料、烟草及饲料生产专用设备制造</w:t>
                  </w:r>
                </w:p>
              </w:tc>
              <w:tc>
                <w:tcPr>
                  <w:tcW w:w="1104" w:type="pct"/>
                  <w:noWrap w:val="0"/>
                  <w:vAlign w:val="center"/>
                </w:tcPr>
                <w:p w14:paraId="1872F711">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349CB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7D32CF45">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5FF3728E">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C354印刷、制药、日化及日用品生产专用设备制造</w:t>
                  </w:r>
                </w:p>
              </w:tc>
              <w:tc>
                <w:tcPr>
                  <w:tcW w:w="1104" w:type="pct"/>
                  <w:noWrap w:val="0"/>
                  <w:vAlign w:val="center"/>
                </w:tcPr>
                <w:p w14:paraId="0F97E858">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2D555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472BF6D1">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640DB1F6">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C355纺织、服装和皮革加工专用设备制造</w:t>
                  </w:r>
                </w:p>
              </w:tc>
              <w:tc>
                <w:tcPr>
                  <w:tcW w:w="1104" w:type="pct"/>
                  <w:noWrap w:val="0"/>
                  <w:vAlign w:val="center"/>
                </w:tcPr>
                <w:p w14:paraId="1AD2D0DC">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42D65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623ECCCD">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20B7B7E9">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C356电子和电工机械专用设备制造</w:t>
                  </w:r>
                </w:p>
              </w:tc>
              <w:tc>
                <w:tcPr>
                  <w:tcW w:w="1104" w:type="pct"/>
                  <w:noWrap w:val="0"/>
                  <w:vAlign w:val="center"/>
                </w:tcPr>
                <w:p w14:paraId="451116D6">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4E30D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74C97FF2">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6BD81584">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C357农、林、牧、渔专用机械制造</w:t>
                  </w:r>
                </w:p>
              </w:tc>
              <w:tc>
                <w:tcPr>
                  <w:tcW w:w="1104" w:type="pct"/>
                  <w:noWrap w:val="0"/>
                  <w:vAlign w:val="center"/>
                </w:tcPr>
                <w:p w14:paraId="3A10921E">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27DD2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153E16ED">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1BE5CB20">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C358医疗仪器设备及器械制造</w:t>
                  </w:r>
                </w:p>
              </w:tc>
              <w:tc>
                <w:tcPr>
                  <w:tcW w:w="1104" w:type="pct"/>
                  <w:noWrap w:val="0"/>
                  <w:vAlign w:val="center"/>
                </w:tcPr>
                <w:p w14:paraId="310D9D8A">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12DB6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7742B450">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01984142">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C359环保、邮政、社会公共服务及其他专用设备制造</w:t>
                  </w:r>
                </w:p>
              </w:tc>
              <w:tc>
                <w:tcPr>
                  <w:tcW w:w="1104" w:type="pct"/>
                  <w:noWrap w:val="0"/>
                  <w:vAlign w:val="center"/>
                </w:tcPr>
                <w:p w14:paraId="1B3C9265">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12153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restart"/>
                  <w:noWrap w:val="0"/>
                  <w:vAlign w:val="center"/>
                </w:tcPr>
                <w:p w14:paraId="59BFDBF2">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C30非金属矿物制品业</w:t>
                  </w:r>
                </w:p>
              </w:tc>
              <w:tc>
                <w:tcPr>
                  <w:tcW w:w="2825" w:type="pct"/>
                  <w:noWrap w:val="0"/>
                  <w:vAlign w:val="center"/>
                </w:tcPr>
                <w:p w14:paraId="39171F80">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C307陶瓷制品制造</w:t>
                  </w:r>
                </w:p>
              </w:tc>
              <w:tc>
                <w:tcPr>
                  <w:tcW w:w="1104" w:type="pct"/>
                  <w:noWrap w:val="0"/>
                  <w:vAlign w:val="center"/>
                </w:tcPr>
                <w:p w14:paraId="443D2561">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07196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18125D2D">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1A09A52A">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C3034隔热和隔音材料制造</w:t>
                  </w:r>
                </w:p>
              </w:tc>
              <w:tc>
                <w:tcPr>
                  <w:tcW w:w="1104" w:type="pct"/>
                  <w:noWrap w:val="0"/>
                  <w:vAlign w:val="center"/>
                </w:tcPr>
                <w:p w14:paraId="586CA65A">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3E23B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1BDB25AD">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7C839A6E">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C3039其他建筑材料制造</w:t>
                  </w:r>
                </w:p>
              </w:tc>
              <w:tc>
                <w:tcPr>
                  <w:tcW w:w="1104" w:type="pct"/>
                  <w:noWrap w:val="0"/>
                  <w:vAlign w:val="center"/>
                </w:tcPr>
                <w:p w14:paraId="3D6F2851">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3B371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511107C8">
                  <w:pPr>
                    <w:pStyle w:val="41"/>
                    <w:jc w:val="center"/>
                    <w:rPr>
                      <w:rFonts w:hint="default" w:ascii="Times New Roman" w:hAnsi="Times New Roman" w:eastAsia="宋体" w:cs="Times New Roman"/>
                      <w:color w:val="auto"/>
                      <w:sz w:val="20"/>
                      <w:szCs w:val="20"/>
                      <w:highlight w:val="none"/>
                      <w:lang w:val="en-US" w:eastAsia="zh-CN"/>
                    </w:rPr>
                  </w:pPr>
                </w:p>
              </w:tc>
              <w:tc>
                <w:tcPr>
                  <w:tcW w:w="2825" w:type="pct"/>
                  <w:noWrap w:val="0"/>
                  <w:vAlign w:val="center"/>
                </w:tcPr>
                <w:p w14:paraId="258BE9B5">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C3099其他非金属矿物制品制造</w:t>
                  </w:r>
                </w:p>
              </w:tc>
              <w:tc>
                <w:tcPr>
                  <w:tcW w:w="1104" w:type="pct"/>
                  <w:noWrap w:val="0"/>
                  <w:vAlign w:val="center"/>
                </w:tcPr>
                <w:p w14:paraId="4D5F4350">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w:t>
                  </w:r>
                </w:p>
              </w:tc>
            </w:tr>
            <w:tr w14:paraId="4E236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3"/>
                  <w:noWrap w:val="0"/>
                  <w:vAlign w:val="center"/>
                </w:tcPr>
                <w:p w14:paraId="296C95DA">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★表示</w:t>
                  </w:r>
                  <w:r>
                    <w:rPr>
                      <w:rFonts w:hint="eastAsia" w:ascii="Times New Roman" w:hAnsi="Times New Roman" w:cs="Times New Roman"/>
                      <w:color w:val="auto"/>
                      <w:sz w:val="20"/>
                      <w:szCs w:val="20"/>
                      <w:highlight w:val="none"/>
                      <w:lang w:val="en-US" w:eastAsia="zh-CN"/>
                    </w:rPr>
                    <w:t>“</w:t>
                  </w:r>
                  <w:r>
                    <w:rPr>
                      <w:rFonts w:hint="default" w:ascii="Times New Roman" w:hAnsi="Times New Roman" w:eastAsia="宋体" w:cs="Times New Roman"/>
                      <w:color w:val="auto"/>
                      <w:sz w:val="20"/>
                      <w:szCs w:val="20"/>
                      <w:highlight w:val="none"/>
                      <w:lang w:val="en-US" w:eastAsia="zh-CN"/>
                    </w:rPr>
                    <w:t>优先进入行业</w:t>
                  </w:r>
                  <w:r>
                    <w:rPr>
                      <w:rFonts w:hint="eastAsia" w:ascii="Times New Roman" w:hAnsi="Times New Roman" w:cs="Times New Roman"/>
                      <w:color w:val="auto"/>
                      <w:sz w:val="20"/>
                      <w:szCs w:val="20"/>
                      <w:highlight w:val="none"/>
                      <w:lang w:val="en-US" w:eastAsia="zh-CN"/>
                    </w:rPr>
                    <w:t>”</w:t>
                  </w:r>
                  <w:r>
                    <w:rPr>
                      <w:rFonts w:hint="default" w:ascii="Times New Roman" w:hAnsi="Times New Roman" w:eastAsia="宋体" w:cs="Times New Roman"/>
                      <w:color w:val="auto"/>
                      <w:sz w:val="20"/>
                      <w:szCs w:val="20"/>
                      <w:highlight w:val="none"/>
                      <w:lang w:val="en-US" w:eastAsia="zh-CN"/>
                    </w:rPr>
                    <w:t>；●</w:t>
                  </w:r>
                  <w:r>
                    <w:rPr>
                      <w:rFonts w:hint="eastAsia" w:ascii="Times New Roman" w:hAnsi="Times New Roman" w:cs="Times New Roman"/>
                      <w:color w:val="auto"/>
                      <w:sz w:val="20"/>
                      <w:szCs w:val="20"/>
                      <w:highlight w:val="none"/>
                      <w:lang w:val="en-US" w:eastAsia="zh-CN"/>
                    </w:rPr>
                    <w:t>表示“</w:t>
                  </w:r>
                  <w:r>
                    <w:rPr>
                      <w:rFonts w:hint="default" w:ascii="Times New Roman" w:hAnsi="Times New Roman" w:eastAsia="宋体" w:cs="Times New Roman"/>
                      <w:color w:val="auto"/>
                      <w:sz w:val="20"/>
                      <w:szCs w:val="20"/>
                      <w:highlight w:val="none"/>
                      <w:lang w:val="en-US" w:eastAsia="zh-CN"/>
                    </w:rPr>
                    <w:t>准许进入行业</w:t>
                  </w:r>
                  <w:r>
                    <w:rPr>
                      <w:rFonts w:hint="eastAsia" w:ascii="Times New Roman" w:hAnsi="Times New Roman" w:cs="Times New Roman"/>
                      <w:color w:val="auto"/>
                      <w:sz w:val="20"/>
                      <w:szCs w:val="20"/>
                      <w:highlight w:val="none"/>
                      <w:lang w:val="en-US" w:eastAsia="zh-CN"/>
                    </w:rPr>
                    <w:t>”</w:t>
                  </w:r>
                  <w:r>
                    <w:rPr>
                      <w:rFonts w:hint="default" w:ascii="Times New Roman" w:hAnsi="Times New Roman" w:eastAsia="宋体" w:cs="Times New Roman"/>
                      <w:color w:val="auto"/>
                      <w:sz w:val="20"/>
                      <w:szCs w:val="20"/>
                      <w:highlight w:val="none"/>
                      <w:lang w:val="en-US" w:eastAsia="zh-CN"/>
                    </w:rPr>
                    <w:t>；▲表示</w:t>
                  </w:r>
                  <w:r>
                    <w:rPr>
                      <w:rFonts w:hint="eastAsia" w:ascii="Times New Roman" w:hAnsi="Times New Roman" w:cs="Times New Roman"/>
                      <w:color w:val="auto"/>
                      <w:sz w:val="20"/>
                      <w:szCs w:val="20"/>
                      <w:highlight w:val="none"/>
                      <w:lang w:val="en-US" w:eastAsia="zh-CN"/>
                    </w:rPr>
                    <w:t>“</w:t>
                  </w:r>
                  <w:r>
                    <w:rPr>
                      <w:rFonts w:hint="default" w:ascii="Times New Roman" w:hAnsi="Times New Roman" w:eastAsia="宋体" w:cs="Times New Roman"/>
                      <w:color w:val="auto"/>
                      <w:sz w:val="20"/>
                      <w:szCs w:val="20"/>
                      <w:highlight w:val="none"/>
                      <w:lang w:val="en-US" w:eastAsia="zh-CN"/>
                    </w:rPr>
                    <w:t>有条件进入行业</w:t>
                  </w:r>
                  <w:r>
                    <w:rPr>
                      <w:rFonts w:hint="eastAsia" w:ascii="Times New Roman" w:hAnsi="Times New Roman" w:cs="Times New Roman"/>
                      <w:color w:val="auto"/>
                      <w:sz w:val="20"/>
                      <w:szCs w:val="20"/>
                      <w:highlight w:val="none"/>
                      <w:lang w:val="en-US" w:eastAsia="zh-CN"/>
                    </w:rPr>
                    <w:t>”</w:t>
                  </w:r>
                </w:p>
              </w:tc>
            </w:tr>
            <w:tr w14:paraId="21E83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3"/>
                  <w:noWrap w:val="0"/>
                  <w:vAlign w:val="center"/>
                </w:tcPr>
                <w:p w14:paraId="759DDAB5">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废水排放不得含有一类重金属污染物；能效达到最新版工业重点领域能效标杆水平和基准水平；采取的污防措施须满足污染防治可行技术指南的要求；C339铸造及其他金属制品制造、C3071建筑陶瓷制品制造按照现行有效的</w:t>
                  </w:r>
                  <w:r>
                    <w:rPr>
                      <w:rFonts w:hint="eastAsia" w:ascii="Times New Roman" w:hAnsi="Times New Roman" w:cs="Times New Roman"/>
                      <w:color w:val="auto"/>
                      <w:sz w:val="20"/>
                      <w:szCs w:val="20"/>
                      <w:highlight w:val="none"/>
                      <w:lang w:val="en-US" w:eastAsia="zh-CN"/>
                    </w:rPr>
                    <w:t>“</w:t>
                  </w:r>
                  <w:r>
                    <w:rPr>
                      <w:rFonts w:hint="default" w:ascii="Times New Roman" w:hAnsi="Times New Roman" w:eastAsia="宋体" w:cs="Times New Roman"/>
                      <w:color w:val="auto"/>
                      <w:sz w:val="20"/>
                      <w:szCs w:val="20"/>
                      <w:highlight w:val="none"/>
                      <w:lang w:val="en-US" w:eastAsia="zh-CN"/>
                    </w:rPr>
                    <w:t>两高</w:t>
                  </w:r>
                  <w:r>
                    <w:rPr>
                      <w:rFonts w:hint="eastAsia" w:ascii="Times New Roman" w:hAnsi="Times New Roman" w:cs="Times New Roman"/>
                      <w:color w:val="auto"/>
                      <w:sz w:val="20"/>
                      <w:szCs w:val="20"/>
                      <w:highlight w:val="none"/>
                      <w:lang w:val="en-US" w:eastAsia="zh-CN"/>
                    </w:rPr>
                    <w:t>”</w:t>
                  </w:r>
                  <w:r>
                    <w:rPr>
                      <w:rFonts w:hint="default" w:ascii="Times New Roman" w:hAnsi="Times New Roman" w:eastAsia="宋体" w:cs="Times New Roman"/>
                      <w:color w:val="auto"/>
                      <w:sz w:val="20"/>
                      <w:szCs w:val="20"/>
                      <w:highlight w:val="none"/>
                      <w:lang w:val="en-US" w:eastAsia="zh-CN"/>
                    </w:rPr>
                    <w:t>项目管理措施实施。限制新建高氨氮废水排放项目。</w:t>
                  </w:r>
                </w:p>
              </w:tc>
            </w:tr>
            <w:tr w14:paraId="1CC86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3"/>
                  <w:noWrap w:val="0"/>
                  <w:vAlign w:val="center"/>
                </w:tcPr>
                <w:p w14:paraId="69C1307F">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表中未列的其他行业或其他新兴行业，在满足以下条件下可以入园：①生产过程无污染或产生的污染较轻；②环境风险可防可控。③入区前须由当地园区管理部门商当地生态环境主管部门意见。</w:t>
                  </w:r>
                </w:p>
              </w:tc>
            </w:tr>
          </w:tbl>
          <w:p w14:paraId="4CEC39C6">
            <w:pPr>
              <w:pStyle w:val="38"/>
              <w:bidi w:val="0"/>
              <w:rPr>
                <w:rFonts w:hint="default"/>
                <w:color w:val="FF0000"/>
                <w:highlight w:val="none"/>
                <w:lang w:val="en-US" w:eastAsia="zh-CN"/>
              </w:rPr>
            </w:pPr>
            <w:r>
              <w:rPr>
                <w:rFonts w:hint="eastAsia"/>
                <w:color w:val="FF0000"/>
                <w:highlight w:val="none"/>
                <w:lang w:val="en-US" w:eastAsia="zh-CN"/>
              </w:rPr>
              <w:t>本项目不涉及废水一类重金属污染物，不属于新建高氨氮废水排放项目。</w:t>
            </w:r>
          </w:p>
          <w:p w14:paraId="35C9E1E6">
            <w:pPr>
              <w:pStyle w:val="38"/>
              <w:bidi w:val="0"/>
              <w:rPr>
                <w:rFonts w:hint="default" w:ascii="Times New Roman" w:hAnsi="Times New Roman"/>
                <w:color w:val="FF0000"/>
                <w:lang w:val="en-US" w:eastAsia="zh-CN"/>
              </w:rPr>
            </w:pPr>
            <w:r>
              <w:rPr>
                <w:rFonts w:hint="eastAsia"/>
                <w:color w:val="FF0000"/>
                <w:lang w:val="en-US" w:eastAsia="zh-CN"/>
              </w:rPr>
              <w:t>本项目产品为实验室装备（实验台），项目行业类别为C2130 金属家具制造，属于“</w:t>
            </w:r>
            <w:r>
              <w:rPr>
                <w:rFonts w:hint="default"/>
                <w:color w:val="FF0000"/>
              </w:rPr>
              <w:t>园区行业准入清单一览表</w:t>
            </w:r>
            <w:r>
              <w:rPr>
                <w:rFonts w:hint="eastAsia"/>
                <w:color w:val="FF0000"/>
                <w:lang w:val="en-US" w:eastAsia="zh-CN"/>
              </w:rPr>
              <w:t>”中“</w:t>
            </w:r>
            <w:r>
              <w:rPr>
                <w:rFonts w:hint="default"/>
                <w:color w:val="FF0000"/>
                <w:lang w:val="en-US"/>
              </w:rPr>
              <w:t>表中未列的其他行业</w:t>
            </w:r>
            <w:r>
              <w:rPr>
                <w:rFonts w:hint="eastAsia"/>
                <w:color w:val="FF0000"/>
                <w:lang w:val="en-US" w:eastAsia="zh-CN"/>
              </w:rPr>
              <w:t>”。本项目不涉及有毒有害大气污染物和有毒有害水污染物，工业固废产生量不大，且进行有效综合利用或委托处置。项目生产过程中产生的污染较轻，经采取针对性有效处理后，各项污染物排放量极少，环境风险可防可控，项目不属于园区空间管制中禁建区范围，符</w:t>
            </w:r>
            <w:r>
              <w:rPr>
                <w:rFonts w:hint="eastAsia" w:ascii="Times New Roman" w:hAnsi="Times New Roman"/>
                <w:color w:val="FF0000"/>
                <w:lang w:val="en-US" w:eastAsia="zh-CN"/>
              </w:rPr>
              <w:t>合园区规划要求。</w:t>
            </w:r>
            <w:r>
              <w:rPr>
                <w:rFonts w:hint="default" w:ascii="Times New Roman" w:hAnsi="Times New Roman"/>
                <w:color w:val="FF0000"/>
                <w:lang w:val="en-US" w:eastAsia="zh-CN"/>
              </w:rPr>
              <w:t>已取得傅家镇</w:t>
            </w:r>
            <w:r>
              <w:rPr>
                <w:rFonts w:hint="eastAsia" w:ascii="Times New Roman" w:hAnsi="Times New Roman"/>
                <w:color w:val="FF0000"/>
                <w:lang w:val="en-US" w:eastAsia="zh-CN"/>
              </w:rPr>
              <w:t>人民政府</w:t>
            </w:r>
            <w:r>
              <w:rPr>
                <w:rFonts w:hint="default" w:ascii="Times New Roman" w:hAnsi="Times New Roman"/>
                <w:color w:val="FF0000"/>
                <w:lang w:val="en-US" w:eastAsia="zh-CN"/>
              </w:rPr>
              <w:t>同意</w:t>
            </w:r>
            <w:r>
              <w:rPr>
                <w:rFonts w:hint="eastAsia" w:ascii="Times New Roman" w:hAnsi="Times New Roman"/>
                <w:color w:val="FF0000"/>
                <w:lang w:val="en-US" w:eastAsia="zh-CN"/>
              </w:rPr>
              <w:t>入园</w:t>
            </w:r>
            <w:r>
              <w:rPr>
                <w:rFonts w:hint="default" w:ascii="Times New Roman" w:hAnsi="Times New Roman"/>
                <w:color w:val="FF0000"/>
                <w:lang w:val="en-US" w:eastAsia="zh-CN"/>
              </w:rPr>
              <w:t>建设的意见（详见附件</w:t>
            </w:r>
            <w:r>
              <w:rPr>
                <w:rFonts w:hint="eastAsia" w:ascii="Times New Roman" w:hAnsi="Times New Roman"/>
                <w:color w:val="FF0000"/>
                <w:lang w:val="en-US" w:eastAsia="zh-CN"/>
              </w:rPr>
              <w:t>7</w:t>
            </w:r>
            <w:r>
              <w:rPr>
                <w:rFonts w:hint="default" w:ascii="Times New Roman" w:hAnsi="Times New Roman"/>
                <w:color w:val="FF0000"/>
                <w:lang w:val="en-US" w:eastAsia="zh-CN"/>
              </w:rPr>
              <w:t>），故项目满足入园条件</w:t>
            </w:r>
            <w:r>
              <w:rPr>
                <w:rFonts w:hint="eastAsia" w:ascii="Times New Roman" w:hAnsi="Times New Roman"/>
                <w:color w:val="FF0000"/>
                <w:lang w:val="en-US" w:eastAsia="zh-CN"/>
              </w:rPr>
              <w:t>。</w:t>
            </w:r>
          </w:p>
          <w:p w14:paraId="59ACD330">
            <w:pPr>
              <w:pStyle w:val="38"/>
              <w:bidi w:val="0"/>
              <w:rPr>
                <w:rFonts w:hint="default"/>
                <w:color w:val="auto"/>
                <w:highlight w:val="none"/>
                <w:lang w:val="en-US" w:eastAsia="zh-CN"/>
              </w:rPr>
            </w:pPr>
            <w:r>
              <w:rPr>
                <w:rFonts w:hint="eastAsia"/>
                <w:b/>
                <w:bCs/>
                <w:color w:val="auto"/>
                <w:highlight w:val="none"/>
                <w:lang w:val="en-US" w:eastAsia="zh-CN"/>
              </w:rPr>
              <w:t>3、与规划环评结论及审查意见符合性分析</w:t>
            </w:r>
          </w:p>
          <w:p w14:paraId="0572C332">
            <w:pPr>
              <w:pStyle w:val="3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en-US" w:eastAsia="zh-CN"/>
              </w:rPr>
              <w:t xml:space="preserve"> 项目与淄博经开区南部创新创业园规划环评结论及审查意见符合性分析</w:t>
            </w:r>
          </w:p>
          <w:tbl>
            <w:tblPr>
              <w:tblStyle w:val="29"/>
              <w:tblW w:w="4998" w:type="pct"/>
              <w:jc w:val="cente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autofit"/>
              <w:tblCellMar>
                <w:top w:w="0" w:type="dxa"/>
                <w:left w:w="108" w:type="dxa"/>
                <w:bottom w:w="0" w:type="dxa"/>
                <w:right w:w="108" w:type="dxa"/>
              </w:tblCellMar>
            </w:tblPr>
            <w:tblGrid>
              <w:gridCol w:w="633"/>
              <w:gridCol w:w="4618"/>
              <w:gridCol w:w="2245"/>
              <w:gridCol w:w="968"/>
            </w:tblGrid>
            <w:tr w14:paraId="60423C39">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1" w:type="pct"/>
                  <w:gridSpan w:val="2"/>
                  <w:noWrap w:val="0"/>
                  <w:vAlign w:val="center"/>
                </w:tcPr>
                <w:p w14:paraId="35092544">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rPr>
                    <w:t>环境影响报告书结论</w:t>
                  </w:r>
                  <w:r>
                    <w:rPr>
                      <w:rFonts w:hint="default" w:ascii="Times New Roman" w:hAnsi="Times New Roman" w:eastAsia="宋体" w:cs="Times New Roman"/>
                      <w:color w:val="auto"/>
                      <w:sz w:val="20"/>
                      <w:szCs w:val="20"/>
                      <w:highlight w:val="none"/>
                      <w:lang w:val="en-US" w:eastAsia="zh-CN"/>
                    </w:rPr>
                    <w:t>及审查意见</w:t>
                  </w:r>
                </w:p>
              </w:tc>
              <w:tc>
                <w:tcPr>
                  <w:tcW w:w="1326" w:type="pct"/>
                  <w:noWrap w:val="0"/>
                  <w:vAlign w:val="center"/>
                </w:tcPr>
                <w:p w14:paraId="53170CC1">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本项目情况</w:t>
                  </w:r>
                </w:p>
              </w:tc>
              <w:tc>
                <w:tcPr>
                  <w:tcW w:w="571" w:type="pct"/>
                  <w:noWrap w:val="0"/>
                  <w:vAlign w:val="center"/>
                </w:tcPr>
                <w:p w14:paraId="61EA455F">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符合性</w:t>
                  </w:r>
                </w:p>
              </w:tc>
            </w:tr>
            <w:tr w14:paraId="4B5BEA6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4" w:type="pct"/>
                  <w:noWrap w:val="0"/>
                  <w:vAlign w:val="center"/>
                </w:tcPr>
                <w:p w14:paraId="01DE9556">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规划范围</w:t>
                  </w:r>
                </w:p>
              </w:tc>
              <w:tc>
                <w:tcPr>
                  <w:tcW w:w="2727" w:type="pct"/>
                  <w:noWrap w:val="0"/>
                  <w:vAlign w:val="center"/>
                </w:tcPr>
                <w:p w14:paraId="70B1D6C7">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东至金牛路、南至经开区管辖范围线、西至原山大道、北至淄河大道，规划面积为511</w:t>
                  </w:r>
                  <w:r>
                    <w:rPr>
                      <w:rFonts w:hint="default" w:ascii="Times New Roman" w:hAnsi="Times New Roman" w:eastAsia="宋体" w:cs="Times New Roman"/>
                      <w:color w:val="auto"/>
                      <w:sz w:val="20"/>
                      <w:szCs w:val="20"/>
                      <w:highlight w:val="none"/>
                      <w:lang w:val="en-US" w:eastAsia="zh-CN"/>
                    </w:rPr>
                    <w:t>.</w:t>
                  </w:r>
                  <w:r>
                    <w:rPr>
                      <w:rFonts w:hint="default" w:ascii="Times New Roman" w:hAnsi="Times New Roman" w:eastAsia="宋体" w:cs="Times New Roman"/>
                      <w:color w:val="auto"/>
                      <w:sz w:val="20"/>
                      <w:szCs w:val="20"/>
                      <w:highlight w:val="none"/>
                      <w:lang w:eastAsia="zh-CN"/>
                    </w:rPr>
                    <w:t>37公顷。</w:t>
                  </w:r>
                </w:p>
              </w:tc>
              <w:tc>
                <w:tcPr>
                  <w:tcW w:w="1326" w:type="pct"/>
                  <w:noWrap w:val="0"/>
                  <w:vAlign w:val="center"/>
                </w:tcPr>
                <w:p w14:paraId="16F4CD02">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val="en-US" w:eastAsia="zh-CN"/>
                    </w:rPr>
                    <w:t>本项目位于</w:t>
                  </w:r>
                  <w:r>
                    <w:rPr>
                      <w:rFonts w:hint="eastAsia" w:ascii="Times New Roman" w:hAnsi="Times New Roman" w:eastAsia="宋体" w:cs="Times New Roman"/>
                      <w:color w:val="auto"/>
                      <w:sz w:val="20"/>
                      <w:szCs w:val="20"/>
                      <w:highlight w:val="none"/>
                      <w:lang w:eastAsia="zh-CN"/>
                    </w:rPr>
                    <w:t>山东省淄博市淄博经济开发区傅家镇双杨管区天津路与梁牛路路口西150米路北院内东侧第二间车间</w:t>
                  </w:r>
                  <w:r>
                    <w:rPr>
                      <w:rFonts w:hint="default" w:ascii="Times New Roman" w:hAnsi="Times New Roman" w:eastAsia="宋体" w:cs="Times New Roman"/>
                      <w:color w:val="auto"/>
                      <w:sz w:val="20"/>
                      <w:szCs w:val="20"/>
                      <w:highlight w:val="none"/>
                      <w:lang w:val="en-US" w:eastAsia="zh-CN"/>
                    </w:rPr>
                    <w:t>，</w:t>
                  </w:r>
                  <w:r>
                    <w:rPr>
                      <w:rFonts w:hint="eastAsia" w:ascii="Times New Roman" w:hAnsi="Times New Roman" w:eastAsia="宋体" w:cs="Times New Roman"/>
                      <w:color w:val="auto"/>
                      <w:sz w:val="20"/>
                      <w:szCs w:val="20"/>
                      <w:highlight w:val="none"/>
                      <w:lang w:val="en-US" w:eastAsia="zh-CN"/>
                    </w:rPr>
                    <w:t>项目所在区域属于</w:t>
                  </w:r>
                  <w:r>
                    <w:rPr>
                      <w:rFonts w:hint="default" w:ascii="Times New Roman" w:hAnsi="Times New Roman" w:eastAsia="宋体" w:cs="Times New Roman"/>
                      <w:color w:val="auto"/>
                      <w:sz w:val="20"/>
                      <w:szCs w:val="20"/>
                      <w:highlight w:val="none"/>
                      <w:lang w:val="en-US" w:eastAsia="zh-CN"/>
                    </w:rPr>
                    <w:t>淄博经开区南部创新创业园范围</w:t>
                  </w:r>
                </w:p>
              </w:tc>
              <w:tc>
                <w:tcPr>
                  <w:tcW w:w="571" w:type="pct"/>
                  <w:noWrap w:val="0"/>
                  <w:vAlign w:val="center"/>
                </w:tcPr>
                <w:p w14:paraId="69A78D01">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符合</w:t>
                  </w:r>
                </w:p>
              </w:tc>
            </w:tr>
            <w:tr w14:paraId="148E35D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4" w:type="pct"/>
                  <w:noWrap w:val="0"/>
                  <w:vAlign w:val="center"/>
                </w:tcPr>
                <w:p w14:paraId="74E4C1E7">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产业发展</w:t>
                  </w:r>
                </w:p>
              </w:tc>
              <w:tc>
                <w:tcPr>
                  <w:tcW w:w="2727" w:type="pct"/>
                  <w:noWrap w:val="0"/>
                  <w:vAlign w:val="center"/>
                </w:tcPr>
                <w:p w14:paraId="4CF58ADC">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园区以先进装备制造、高端新材料应用和建筑陶瓷、岩板及配套的色釉料、建陶装备等绿色建陶产业链为主导的产业发展方向。</w:t>
                  </w:r>
                </w:p>
              </w:tc>
              <w:tc>
                <w:tcPr>
                  <w:tcW w:w="1326" w:type="pct"/>
                  <w:noWrap w:val="0"/>
                  <w:vAlign w:val="center"/>
                </w:tcPr>
                <w:p w14:paraId="0904150A">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lang w:val="en-US" w:eastAsia="zh-CN"/>
                    </w:rPr>
                    <w:t>项目行业类别为C</w:t>
                  </w:r>
                  <w:r>
                    <w:rPr>
                      <w:rFonts w:hint="eastAsia" w:ascii="Times New Roman" w:hAnsi="Times New Roman" w:eastAsia="宋体" w:cs="Times New Roman"/>
                      <w:color w:val="auto"/>
                      <w:sz w:val="20"/>
                      <w:szCs w:val="20"/>
                      <w:highlight w:val="none"/>
                      <w:lang w:val="en-US" w:eastAsia="zh-CN"/>
                    </w:rPr>
                    <w:t>2130金属家具</w:t>
                  </w:r>
                  <w:r>
                    <w:rPr>
                      <w:rFonts w:hint="default" w:ascii="Times New Roman" w:hAnsi="Times New Roman" w:eastAsia="宋体" w:cs="Times New Roman"/>
                      <w:color w:val="auto"/>
                      <w:sz w:val="20"/>
                      <w:szCs w:val="20"/>
                      <w:highlight w:val="none"/>
                      <w:lang w:val="en-US" w:eastAsia="zh-CN"/>
                    </w:rPr>
                    <w:t>制造，属于允许进入行业，符合聚集区内的产业定位</w:t>
                  </w:r>
                </w:p>
              </w:tc>
              <w:tc>
                <w:tcPr>
                  <w:tcW w:w="571" w:type="pct"/>
                  <w:noWrap w:val="0"/>
                  <w:vAlign w:val="center"/>
                </w:tcPr>
                <w:p w14:paraId="5B5C876F">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r w14:paraId="34C05CA0">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4" w:type="pct"/>
                  <w:noWrap w:val="0"/>
                  <w:vAlign w:val="center"/>
                </w:tcPr>
                <w:p w14:paraId="1D411EA1">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给水</w:t>
                  </w:r>
                </w:p>
              </w:tc>
              <w:tc>
                <w:tcPr>
                  <w:tcW w:w="2727" w:type="pct"/>
                  <w:noWrap w:val="0"/>
                  <w:vAlign w:val="center"/>
                </w:tcPr>
                <w:p w14:paraId="4169F774">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区域工业用水由萌山水库提供、生活用水由淄博星辰供水有限公司提供；园区规划给水管道沿道路敷设，管径为DN200一DN800，在区域内布置成环状。</w:t>
                  </w:r>
                </w:p>
              </w:tc>
              <w:tc>
                <w:tcPr>
                  <w:tcW w:w="1326" w:type="pct"/>
                  <w:noWrap w:val="0"/>
                  <w:vAlign w:val="center"/>
                </w:tcPr>
                <w:p w14:paraId="567BF22B">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本项目用水由当地供水管网供给</w:t>
                  </w:r>
                </w:p>
              </w:tc>
              <w:tc>
                <w:tcPr>
                  <w:tcW w:w="571" w:type="pct"/>
                  <w:noWrap w:val="0"/>
                  <w:vAlign w:val="center"/>
                </w:tcPr>
                <w:p w14:paraId="5C8322AA">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r w14:paraId="15F2E9C9">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4" w:type="pct"/>
                  <w:noWrap w:val="0"/>
                  <w:vAlign w:val="center"/>
                </w:tcPr>
                <w:p w14:paraId="68A212F5">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排水</w:t>
                  </w:r>
                </w:p>
              </w:tc>
              <w:tc>
                <w:tcPr>
                  <w:tcW w:w="2727" w:type="pct"/>
                  <w:noWrap w:val="0"/>
                  <w:vAlign w:val="center"/>
                </w:tcPr>
                <w:p w14:paraId="566EEFD9">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园区按照雨污分流、污污分流、分类收集、分质处理的原则建设污水收集管网。范围内污水经葛洲坝水务淄博淄川有限公司处理后排入孝妇河。</w:t>
                  </w:r>
                </w:p>
              </w:tc>
              <w:tc>
                <w:tcPr>
                  <w:tcW w:w="1326" w:type="pct"/>
                  <w:noWrap w:val="0"/>
                  <w:vAlign w:val="center"/>
                </w:tcPr>
                <w:p w14:paraId="556DC406">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项目生活废水经</w:t>
                  </w:r>
                  <w:r>
                    <w:rPr>
                      <w:rFonts w:hint="eastAsia" w:ascii="Times New Roman" w:hAnsi="Times New Roman" w:eastAsia="宋体" w:cs="Times New Roman"/>
                      <w:color w:val="auto"/>
                      <w:sz w:val="20"/>
                      <w:szCs w:val="20"/>
                      <w:highlight w:val="none"/>
                      <w:lang w:val="en-US" w:eastAsia="zh-CN"/>
                    </w:rPr>
                    <w:t>化粪池暂存</w:t>
                  </w:r>
                  <w:r>
                    <w:rPr>
                      <w:rFonts w:hint="default" w:ascii="Times New Roman" w:hAnsi="Times New Roman" w:eastAsia="宋体" w:cs="Times New Roman"/>
                      <w:color w:val="auto"/>
                      <w:sz w:val="20"/>
                      <w:szCs w:val="20"/>
                      <w:highlight w:val="none"/>
                      <w:lang w:val="en-US" w:eastAsia="zh-CN"/>
                    </w:rPr>
                    <w:t>后，</w:t>
                  </w:r>
                  <w:r>
                    <w:rPr>
                      <w:rFonts w:hint="eastAsia" w:ascii="Times New Roman" w:hAnsi="Times New Roman" w:eastAsia="宋体" w:cs="Times New Roman"/>
                      <w:color w:val="auto"/>
                      <w:sz w:val="20"/>
                      <w:szCs w:val="20"/>
                      <w:highlight w:val="none"/>
                      <w:lang w:val="en-US" w:eastAsia="zh-CN"/>
                    </w:rPr>
                    <w:t>由环卫部门定期清运</w:t>
                  </w:r>
                </w:p>
              </w:tc>
              <w:tc>
                <w:tcPr>
                  <w:tcW w:w="571" w:type="pct"/>
                  <w:noWrap w:val="0"/>
                  <w:vAlign w:val="center"/>
                </w:tcPr>
                <w:p w14:paraId="2084EACC">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r w14:paraId="43725D8D">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4" w:type="pct"/>
                  <w:noWrap w:val="0"/>
                  <w:vAlign w:val="center"/>
                </w:tcPr>
                <w:p w14:paraId="35BF9D57">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燃气</w:t>
                  </w:r>
                </w:p>
              </w:tc>
              <w:tc>
                <w:tcPr>
                  <w:tcW w:w="2727" w:type="pct"/>
                  <w:noWrap w:val="0"/>
                  <w:vAlign w:val="center"/>
                </w:tcPr>
                <w:p w14:paraId="056AB468">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园区燃气供应单位为淄博绿博燃气有限公司，管线接城市管网，主要沿淄河大道、梁牛路、双圣路、横六路、横七路、杨萌路、雅迪路、纵三路、法耿路、天津路、北京路铺设。</w:t>
                  </w:r>
                </w:p>
              </w:tc>
              <w:tc>
                <w:tcPr>
                  <w:tcW w:w="1326" w:type="pct"/>
                  <w:noWrap w:val="0"/>
                  <w:vAlign w:val="center"/>
                </w:tcPr>
                <w:p w14:paraId="50324981">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本项目</w:t>
                  </w:r>
                  <w:r>
                    <w:rPr>
                      <w:rFonts w:hint="eastAsia" w:ascii="Times New Roman" w:hAnsi="Times New Roman" w:eastAsia="宋体" w:cs="Times New Roman"/>
                      <w:color w:val="auto"/>
                      <w:sz w:val="20"/>
                      <w:szCs w:val="20"/>
                      <w:highlight w:val="none"/>
                      <w:lang w:val="en-US" w:eastAsia="zh-CN"/>
                    </w:rPr>
                    <w:t>不涉及天然气使用</w:t>
                  </w:r>
                </w:p>
              </w:tc>
              <w:tc>
                <w:tcPr>
                  <w:tcW w:w="571" w:type="pct"/>
                  <w:noWrap w:val="0"/>
                  <w:vAlign w:val="center"/>
                </w:tcPr>
                <w:p w14:paraId="7147BFA7">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r w14:paraId="470960AB">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4" w:type="pct"/>
                  <w:noWrap w:val="0"/>
                  <w:vAlign w:val="center"/>
                </w:tcPr>
                <w:p w14:paraId="6243CBB1">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供电</w:t>
                  </w:r>
                </w:p>
              </w:tc>
              <w:tc>
                <w:tcPr>
                  <w:tcW w:w="2727" w:type="pct"/>
                  <w:noWrap w:val="0"/>
                  <w:vAlign w:val="center"/>
                </w:tcPr>
                <w:p w14:paraId="66DA0FBE">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结合变电站位置和规划道路，确定电力管网布局。园区规划110kV高压线沿原山大道、天津路、北京路埋地敷设，规划电力管线接城市管网，沿淄河大道、梁牛路、双圣路、横六路、横七路、杨萌路、雅迪路、纵三路、法耿路、天津路、北京路铺设。</w:t>
                  </w:r>
                </w:p>
              </w:tc>
              <w:tc>
                <w:tcPr>
                  <w:tcW w:w="1326" w:type="pct"/>
                  <w:noWrap w:val="0"/>
                  <w:vAlign w:val="center"/>
                </w:tcPr>
                <w:p w14:paraId="2E3247FD">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本项目用电由当地供电电网供给</w:t>
                  </w:r>
                </w:p>
              </w:tc>
              <w:tc>
                <w:tcPr>
                  <w:tcW w:w="571" w:type="pct"/>
                  <w:noWrap w:val="0"/>
                  <w:vAlign w:val="center"/>
                </w:tcPr>
                <w:p w14:paraId="5E17F9E5">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r w14:paraId="5FA260F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4" w:type="pct"/>
                  <w:noWrap w:val="0"/>
                  <w:vAlign w:val="center"/>
                </w:tcPr>
                <w:p w14:paraId="56A21B95">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固体废物处置</w:t>
                  </w:r>
                </w:p>
              </w:tc>
              <w:tc>
                <w:tcPr>
                  <w:tcW w:w="2727" w:type="pct"/>
                  <w:noWrap w:val="0"/>
                  <w:vAlign w:val="center"/>
                </w:tcPr>
                <w:p w14:paraId="3285BFD0">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园区废物处理处置纳入市政体系，区内不设置生活垃圾处理场，仅设置垃圾转运站，企业产生的生活垃圾，运至生活垃圾中转站，再转运至淄博绿能环保能源有限公司进行处置。</w:t>
                  </w:r>
                </w:p>
                <w:p w14:paraId="3AE73CFC">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危险废委物托省内有危险废物处理资质单位安全处置。</w:t>
                  </w:r>
                </w:p>
              </w:tc>
              <w:tc>
                <w:tcPr>
                  <w:tcW w:w="1326" w:type="pct"/>
                  <w:noWrap w:val="0"/>
                  <w:vAlign w:val="center"/>
                </w:tcPr>
                <w:p w14:paraId="4719032F">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项目产生生活垃圾由环卫部门定期清运；危险废物委托有资质单位处置</w:t>
                  </w:r>
                </w:p>
              </w:tc>
              <w:tc>
                <w:tcPr>
                  <w:tcW w:w="571" w:type="pct"/>
                  <w:noWrap w:val="0"/>
                  <w:vAlign w:val="center"/>
                </w:tcPr>
                <w:p w14:paraId="52A0D034">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r w14:paraId="22E0005F">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1" w:type="pct"/>
                  <w:gridSpan w:val="2"/>
                  <w:shd w:val="clear" w:color="auto" w:fill="auto"/>
                  <w:noWrap w:val="0"/>
                  <w:vAlign w:val="center"/>
                </w:tcPr>
                <w:p w14:paraId="7CBCFFBA">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rPr>
                    <w:t>严格执行法定规划</w:t>
                  </w:r>
                  <w:r>
                    <w:rPr>
                      <w:rFonts w:hint="default" w:ascii="Times New Roman" w:hAnsi="Times New Roman" w:eastAsia="宋体" w:cs="Times New Roman"/>
                      <w:color w:val="auto"/>
                      <w:sz w:val="20"/>
                      <w:szCs w:val="20"/>
                      <w:highlight w:val="none"/>
                      <w:lang w:eastAsia="zh-CN"/>
                    </w:rPr>
                    <w:t>，</w:t>
                  </w:r>
                  <w:r>
                    <w:rPr>
                      <w:rFonts w:hint="default" w:ascii="Times New Roman" w:hAnsi="Times New Roman" w:eastAsia="宋体" w:cs="Times New Roman"/>
                      <w:color w:val="auto"/>
                      <w:sz w:val="20"/>
                      <w:szCs w:val="20"/>
                      <w:highlight w:val="none"/>
                    </w:rPr>
                    <w:t>严格落实生态环境分区管控要求。按照生态环境准入清单筛选入区项目，合理布局新入区企业。对位于鲁皖石油管线、高压线走廊控制区域，严格落实相关规范要求</w:t>
                  </w:r>
                  <w:r>
                    <w:rPr>
                      <w:rFonts w:hint="default" w:ascii="Times New Roman" w:hAnsi="Times New Roman" w:eastAsia="宋体" w:cs="Times New Roman"/>
                      <w:color w:val="auto"/>
                      <w:sz w:val="20"/>
                      <w:szCs w:val="20"/>
                      <w:highlight w:val="none"/>
                      <w:lang w:eastAsia="zh-CN"/>
                    </w:rPr>
                    <w:t>。</w:t>
                  </w:r>
                </w:p>
              </w:tc>
              <w:tc>
                <w:tcPr>
                  <w:tcW w:w="1326" w:type="pct"/>
                  <w:shd w:val="clear" w:color="auto" w:fill="auto"/>
                  <w:noWrap w:val="0"/>
                  <w:vAlign w:val="center"/>
                </w:tcPr>
                <w:p w14:paraId="32BDACDC">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本项目符合生态环境分区管控要求，不涉及</w:t>
                  </w:r>
                  <w:r>
                    <w:rPr>
                      <w:rFonts w:hint="default" w:ascii="Times New Roman" w:hAnsi="Times New Roman" w:eastAsia="宋体" w:cs="Times New Roman"/>
                      <w:color w:val="auto"/>
                      <w:sz w:val="20"/>
                      <w:szCs w:val="20"/>
                      <w:highlight w:val="none"/>
                    </w:rPr>
                    <w:t>鲁皖石油管线、高压线走廊控制区域</w:t>
                  </w:r>
                </w:p>
              </w:tc>
              <w:tc>
                <w:tcPr>
                  <w:tcW w:w="571" w:type="pct"/>
                  <w:noWrap w:val="0"/>
                  <w:vAlign w:val="center"/>
                </w:tcPr>
                <w:p w14:paraId="49E48043">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符合</w:t>
                  </w:r>
                </w:p>
              </w:tc>
            </w:tr>
            <w:tr w14:paraId="2CF6DC60">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1" w:type="pct"/>
                  <w:gridSpan w:val="2"/>
                  <w:shd w:val="clear" w:color="auto" w:fill="auto"/>
                  <w:noWrap w:val="0"/>
                  <w:vAlign w:val="center"/>
                </w:tcPr>
                <w:p w14:paraId="58FF2F2C">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健全创业园环境风险防控体系，定期开展突发环境事件风险评估，强化企业-创业园-经开区管委会的环境管理联动，定期组织应急演练。督促指导入区企业制定相应的风险事故防范措施及应急预案，加强创业园及相关企业应急物资储备、应急救援队伍及监测能力建设。</w:t>
                  </w:r>
                </w:p>
              </w:tc>
              <w:tc>
                <w:tcPr>
                  <w:tcW w:w="1326" w:type="pct"/>
                  <w:shd w:val="clear" w:color="auto" w:fill="auto"/>
                  <w:noWrap w:val="0"/>
                  <w:vAlign w:val="center"/>
                </w:tcPr>
                <w:p w14:paraId="2C7C28E8">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rPr>
                    <w:t>本项目</w:t>
                  </w:r>
                  <w:r>
                    <w:rPr>
                      <w:rFonts w:hint="default" w:ascii="Times New Roman" w:hAnsi="Times New Roman" w:eastAsia="宋体" w:cs="Times New Roman"/>
                      <w:color w:val="auto"/>
                      <w:sz w:val="20"/>
                      <w:szCs w:val="20"/>
                      <w:highlight w:val="none"/>
                      <w:lang w:val="en-US" w:eastAsia="zh-CN"/>
                    </w:rPr>
                    <w:t>按要求</w:t>
                  </w:r>
                  <w:r>
                    <w:rPr>
                      <w:rFonts w:hint="default" w:ascii="Times New Roman" w:hAnsi="Times New Roman" w:eastAsia="宋体" w:cs="Times New Roman"/>
                      <w:color w:val="auto"/>
                      <w:sz w:val="20"/>
                      <w:szCs w:val="20"/>
                      <w:highlight w:val="none"/>
                    </w:rPr>
                    <w:t>进行应急</w:t>
                  </w:r>
                  <w:r>
                    <w:rPr>
                      <w:rFonts w:hint="default" w:ascii="Times New Roman" w:hAnsi="Times New Roman" w:eastAsia="宋体" w:cs="Times New Roman"/>
                      <w:color w:val="auto"/>
                      <w:sz w:val="20"/>
                      <w:szCs w:val="20"/>
                      <w:highlight w:val="none"/>
                      <w:lang w:val="en-US" w:eastAsia="zh-CN"/>
                    </w:rPr>
                    <w:t>演练，强化与园联动</w:t>
                  </w:r>
                </w:p>
              </w:tc>
              <w:tc>
                <w:tcPr>
                  <w:tcW w:w="571" w:type="pct"/>
                  <w:noWrap w:val="0"/>
                  <w:vAlign w:val="center"/>
                </w:tcPr>
                <w:p w14:paraId="2BFA21EA">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符合</w:t>
                  </w:r>
                </w:p>
              </w:tc>
            </w:tr>
            <w:tr w14:paraId="655EC85F">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1" w:type="pct"/>
                  <w:gridSpan w:val="2"/>
                  <w:shd w:val="clear" w:color="auto" w:fill="auto"/>
                  <w:noWrap w:val="0"/>
                  <w:vAlign w:val="center"/>
                </w:tcPr>
                <w:p w14:paraId="44823FAC">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rPr>
                    <w:t>推动减污降碳协同共治，引导企业不断改进高耗能工艺，持续降低碳排放强度。积极提升创业园循环化水平，大力推进区内企业依法开展强制性清洁生产审核，鼓励创业园开展整体清洁生产审核，全面提升创业园清洁生产水平。</w:t>
                  </w:r>
                </w:p>
              </w:tc>
              <w:tc>
                <w:tcPr>
                  <w:tcW w:w="1326" w:type="pct"/>
                  <w:shd w:val="clear" w:color="auto" w:fill="auto"/>
                  <w:noWrap w:val="0"/>
                  <w:vAlign w:val="center"/>
                </w:tcPr>
                <w:p w14:paraId="092355A2">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rPr>
                    <w:t>本项目不属于</w:t>
                  </w:r>
                  <w:r>
                    <w:rPr>
                      <w:rFonts w:hint="default" w:ascii="Times New Roman" w:hAnsi="Times New Roman" w:eastAsia="宋体" w:cs="Times New Roman"/>
                      <w:color w:val="auto"/>
                      <w:sz w:val="20"/>
                      <w:szCs w:val="20"/>
                      <w:highlight w:val="none"/>
                      <w:lang w:val="en-US" w:eastAsia="zh-CN"/>
                    </w:rPr>
                    <w:t>高耗能项目</w:t>
                  </w:r>
                  <w:r>
                    <w:rPr>
                      <w:rFonts w:hint="default" w:ascii="Times New Roman" w:hAnsi="Times New Roman" w:eastAsia="宋体" w:cs="Times New Roman"/>
                      <w:color w:val="auto"/>
                      <w:sz w:val="20"/>
                      <w:szCs w:val="20"/>
                      <w:highlight w:val="none"/>
                      <w:lang w:eastAsia="zh-CN"/>
                    </w:rPr>
                    <w:t>，</w:t>
                  </w:r>
                  <w:r>
                    <w:rPr>
                      <w:rFonts w:hint="default" w:ascii="Times New Roman" w:hAnsi="Times New Roman" w:eastAsia="宋体" w:cs="Times New Roman"/>
                      <w:color w:val="auto"/>
                      <w:sz w:val="20"/>
                      <w:szCs w:val="20"/>
                      <w:highlight w:val="none"/>
                      <w:lang w:val="en-US" w:eastAsia="zh-CN"/>
                    </w:rPr>
                    <w:t>将</w:t>
                  </w:r>
                  <w:r>
                    <w:rPr>
                      <w:rFonts w:hint="default" w:ascii="Times New Roman" w:hAnsi="Times New Roman" w:eastAsia="宋体" w:cs="Times New Roman"/>
                      <w:color w:val="auto"/>
                      <w:sz w:val="20"/>
                      <w:szCs w:val="20"/>
                      <w:highlight w:val="none"/>
                    </w:rPr>
                    <w:t>按要求积极实施清洁生产</w:t>
                  </w:r>
                </w:p>
              </w:tc>
              <w:tc>
                <w:tcPr>
                  <w:tcW w:w="571" w:type="pct"/>
                  <w:noWrap w:val="0"/>
                  <w:vAlign w:val="center"/>
                </w:tcPr>
                <w:p w14:paraId="44BED906">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r w14:paraId="4C268FB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1" w:type="pct"/>
                  <w:gridSpan w:val="2"/>
                  <w:shd w:val="clear" w:color="auto" w:fill="auto"/>
                  <w:noWrap w:val="0"/>
                  <w:vAlign w:val="center"/>
                </w:tcPr>
                <w:p w14:paraId="44BE6BB3">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rPr>
                    <w:t>结合环境质量改善目标、污染防治方案、减排任务等，制定园区污染物减排方案并认真落实。对涉及新增污染物排放的入区项目，依法依规落实污染物替代要求。推进企业PM</w:t>
                  </w:r>
                  <w:r>
                    <w:rPr>
                      <w:rFonts w:hint="default" w:ascii="Times New Roman" w:hAnsi="Times New Roman" w:eastAsia="宋体" w:cs="Times New Roman"/>
                      <w:color w:val="auto"/>
                      <w:sz w:val="20"/>
                      <w:szCs w:val="20"/>
                      <w:highlight w:val="none"/>
                      <w:vertAlign w:val="subscript"/>
                      <w:lang w:val="en-US" w:eastAsia="zh-CN"/>
                    </w:rPr>
                    <w:t>2.5</w:t>
                  </w:r>
                  <w:r>
                    <w:rPr>
                      <w:rFonts w:hint="default" w:ascii="Times New Roman" w:hAnsi="Times New Roman" w:eastAsia="宋体" w:cs="Times New Roman"/>
                      <w:color w:val="auto"/>
                      <w:sz w:val="20"/>
                      <w:szCs w:val="20"/>
                      <w:highlight w:val="none"/>
                      <w:lang w:val="en-US" w:eastAsia="zh-CN"/>
                    </w:rPr>
                    <w:t>、</w:t>
                  </w:r>
                  <w:r>
                    <w:rPr>
                      <w:rFonts w:hint="default" w:ascii="Times New Roman" w:hAnsi="Times New Roman" w:eastAsia="宋体" w:cs="Times New Roman"/>
                      <w:color w:val="auto"/>
                      <w:sz w:val="20"/>
                      <w:szCs w:val="20"/>
                      <w:highlight w:val="none"/>
                    </w:rPr>
                    <w:t>PM</w:t>
                  </w:r>
                  <w:r>
                    <w:rPr>
                      <w:rFonts w:hint="default" w:ascii="Times New Roman" w:hAnsi="Times New Roman" w:eastAsia="宋体" w:cs="Times New Roman"/>
                      <w:color w:val="auto"/>
                      <w:sz w:val="20"/>
                      <w:szCs w:val="20"/>
                      <w:highlight w:val="none"/>
                      <w:vertAlign w:val="subscript"/>
                      <w:lang w:val="en-US" w:eastAsia="zh-CN"/>
                    </w:rPr>
                    <w:t>10</w:t>
                  </w:r>
                  <w:r>
                    <w:rPr>
                      <w:rFonts w:hint="default" w:ascii="Times New Roman" w:hAnsi="Times New Roman" w:eastAsia="宋体" w:cs="Times New Roman"/>
                      <w:color w:val="auto"/>
                      <w:sz w:val="20"/>
                      <w:szCs w:val="20"/>
                      <w:highlight w:val="none"/>
                    </w:rPr>
                    <w:t>、氮氧化物的治理提升改造，采用先进的收集及治理措施，实现全流程、全环节达标排放。</w:t>
                  </w:r>
                </w:p>
              </w:tc>
              <w:tc>
                <w:tcPr>
                  <w:tcW w:w="1326" w:type="pct"/>
                  <w:shd w:val="clear" w:color="auto" w:fill="auto"/>
                  <w:noWrap w:val="0"/>
                  <w:vAlign w:val="center"/>
                </w:tcPr>
                <w:p w14:paraId="588FCDB5">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rPr>
                    <w:t>本项目建设新增的</w:t>
                  </w:r>
                  <w:r>
                    <w:rPr>
                      <w:rFonts w:hint="default" w:ascii="Times New Roman" w:hAnsi="Times New Roman" w:eastAsia="宋体" w:cs="Times New Roman"/>
                      <w:color w:val="auto"/>
                      <w:sz w:val="20"/>
                      <w:szCs w:val="20"/>
                      <w:highlight w:val="none"/>
                      <w:lang w:val="en-US" w:eastAsia="zh-CN"/>
                    </w:rPr>
                    <w:t>污染物</w:t>
                  </w:r>
                  <w:r>
                    <w:rPr>
                      <w:rFonts w:hint="default" w:ascii="Times New Roman" w:hAnsi="Times New Roman" w:eastAsia="宋体" w:cs="Times New Roman"/>
                      <w:color w:val="auto"/>
                      <w:sz w:val="20"/>
                      <w:szCs w:val="20"/>
                      <w:highlight w:val="none"/>
                    </w:rPr>
                    <w:t>经合理处置后达标排放</w:t>
                  </w:r>
                  <w:r>
                    <w:rPr>
                      <w:rFonts w:hint="eastAsia" w:ascii="Times New Roman" w:hAnsi="Times New Roman" w:eastAsia="宋体" w:cs="Times New Roman"/>
                      <w:color w:val="auto"/>
                      <w:sz w:val="20"/>
                      <w:szCs w:val="20"/>
                      <w:highlight w:val="none"/>
                      <w:lang w:eastAsia="zh-CN"/>
                    </w:rPr>
                    <w:t>，</w:t>
                  </w:r>
                  <w:r>
                    <w:rPr>
                      <w:rFonts w:hint="eastAsia" w:ascii="Times New Roman" w:hAnsi="Times New Roman" w:eastAsia="宋体" w:cs="Times New Roman"/>
                      <w:color w:val="auto"/>
                      <w:sz w:val="20"/>
                      <w:szCs w:val="20"/>
                      <w:highlight w:val="none"/>
                      <w:lang w:val="en-US" w:eastAsia="zh-CN"/>
                    </w:rPr>
                    <w:t>并按要求实行总量控制</w:t>
                  </w:r>
                </w:p>
              </w:tc>
              <w:tc>
                <w:tcPr>
                  <w:tcW w:w="571" w:type="pct"/>
                  <w:noWrap w:val="0"/>
                  <w:vAlign w:val="center"/>
                </w:tcPr>
                <w:p w14:paraId="452E0E37">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符合</w:t>
                  </w:r>
                </w:p>
              </w:tc>
            </w:tr>
            <w:tr w14:paraId="3AA4479F">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0" w:type="auto"/>
                  <w:gridSpan w:val="2"/>
                  <w:shd w:val="clear" w:color="auto" w:fill="auto"/>
                  <w:vAlign w:val="center"/>
                </w:tcPr>
                <w:p w14:paraId="511E256A">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rPr>
                    <w:t>落实固体废物环境管理制度，强化企业一般固体废物和危险废物的贮存、转移、利用及处置等环节的管理，积极推进无废园区建设。</w:t>
                  </w:r>
                </w:p>
              </w:tc>
              <w:tc>
                <w:tcPr>
                  <w:tcW w:w="0" w:type="auto"/>
                  <w:shd w:val="clear" w:color="auto" w:fill="auto"/>
                  <w:vAlign w:val="center"/>
                </w:tcPr>
                <w:p w14:paraId="6A28835E">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rPr>
                    <w:t>本项目危废按要求进行贮存、转移及处置管理制度，并负责对危废相应活动的全程监管和环境安全保障</w:t>
                  </w:r>
                </w:p>
              </w:tc>
              <w:tc>
                <w:tcPr>
                  <w:tcW w:w="0" w:type="auto"/>
                  <w:vAlign w:val="center"/>
                </w:tcPr>
                <w:p w14:paraId="3B834E6F">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bl>
          <w:p w14:paraId="753B21DA">
            <w:pPr>
              <w:pStyle w:val="38"/>
              <w:bidi w:val="0"/>
              <w:rPr>
                <w:rFonts w:hint="default" w:ascii="Times New Roman" w:hAnsi="Times New Roman" w:cs="Times New Roman"/>
                <w:color w:val="auto"/>
                <w:highlight w:val="none"/>
              </w:rPr>
            </w:pPr>
            <w:r>
              <w:rPr>
                <w:rFonts w:hint="default"/>
                <w:color w:val="auto"/>
                <w:highlight w:val="none"/>
                <w:lang w:val="en-US" w:eastAsia="zh-CN"/>
              </w:rPr>
              <w:t>根据上表</w:t>
            </w:r>
            <w:r>
              <w:rPr>
                <w:rFonts w:hint="eastAsia"/>
                <w:color w:val="auto"/>
                <w:highlight w:val="none"/>
                <w:lang w:val="en-US" w:eastAsia="zh-CN"/>
              </w:rPr>
              <w:t>分析</w:t>
            </w:r>
            <w:r>
              <w:rPr>
                <w:rFonts w:hint="default"/>
                <w:color w:val="auto"/>
                <w:highlight w:val="none"/>
                <w:lang w:val="en-US" w:eastAsia="zh-CN"/>
              </w:rPr>
              <w:t>可知，本项目符合《淄博经开区南部创新创业园总体发展规划（2025-2035年）环境影响报告书》中的结论及审查意见要求</w:t>
            </w:r>
            <w:r>
              <w:rPr>
                <w:rFonts w:hint="eastAsia"/>
                <w:color w:val="auto"/>
                <w:highlight w:val="none"/>
                <w:lang w:val="en-US" w:eastAsia="zh-CN"/>
              </w:rPr>
              <w:t>。</w:t>
            </w:r>
          </w:p>
        </w:tc>
      </w:tr>
      <w:tr w14:paraId="301403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9" w:type="dxa"/>
            <w:vAlign w:val="center"/>
          </w:tcPr>
          <w:p w14:paraId="311769FD">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其他符合性分析</w:t>
            </w:r>
          </w:p>
        </w:tc>
        <w:tc>
          <w:tcPr>
            <w:tcW w:w="8693" w:type="dxa"/>
            <w:gridSpan w:val="4"/>
            <w:vAlign w:val="center"/>
          </w:tcPr>
          <w:p w14:paraId="2780D479">
            <w:pPr>
              <w:pStyle w:val="38"/>
              <w:ind w:firstLine="42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1、产业政策符合性</w:t>
            </w:r>
          </w:p>
          <w:p w14:paraId="5DF275F9">
            <w:pPr>
              <w:pStyle w:val="38"/>
              <w:rPr>
                <w:rFonts w:hint="default" w:ascii="Times New Roman" w:hAnsi="Times New Roman" w:cs="Times New Roman"/>
                <w:color w:val="auto"/>
                <w:highlight w:val="none"/>
              </w:rPr>
            </w:pPr>
            <w:r>
              <w:rPr>
                <w:rFonts w:hint="default" w:ascii="Times New Roman" w:hAnsi="Times New Roman" w:cs="Times New Roman"/>
                <w:color w:val="FF0000"/>
                <w:highlight w:val="none"/>
              </w:rPr>
              <w:t>本项目</w:t>
            </w:r>
            <w:r>
              <w:rPr>
                <w:rFonts w:hint="default" w:ascii="Times New Roman" w:hAnsi="Times New Roman" w:eastAsia="宋体" w:cs="Times New Roman"/>
                <w:color w:val="FF0000"/>
                <w:highlight w:val="none"/>
              </w:rPr>
              <w:t>为</w:t>
            </w:r>
            <w:r>
              <w:rPr>
                <w:rFonts w:hint="default" w:ascii="Times New Roman" w:hAnsi="Times New Roman" w:eastAsia="宋体" w:cs="Times New Roman"/>
                <w:color w:val="FF0000"/>
                <w:highlight w:val="none"/>
                <w:lang w:eastAsia="zh-CN"/>
              </w:rPr>
              <w:t>新建</w:t>
            </w:r>
            <w:r>
              <w:rPr>
                <w:rFonts w:hint="default" w:ascii="Times New Roman" w:hAnsi="Times New Roman" w:eastAsia="宋体" w:cs="Times New Roman"/>
                <w:color w:val="FF0000"/>
                <w:highlight w:val="none"/>
              </w:rPr>
              <w:t>项目，项目整体属于</w:t>
            </w:r>
            <w:r>
              <w:rPr>
                <w:rFonts w:hint="default" w:ascii="Times New Roman" w:hAnsi="Times New Roman" w:eastAsia="宋体" w:cs="Times New Roman"/>
                <w:color w:val="FF0000"/>
                <w:kern w:val="21"/>
                <w:highlight w:val="none"/>
                <w:lang w:val="en-US" w:eastAsia="zh-CN"/>
              </w:rPr>
              <w:t>C</w:t>
            </w:r>
            <w:r>
              <w:rPr>
                <w:rFonts w:hint="eastAsia" w:cs="Times New Roman"/>
                <w:color w:val="FF0000"/>
                <w:kern w:val="21"/>
                <w:highlight w:val="none"/>
                <w:lang w:val="en-US" w:eastAsia="zh-CN"/>
              </w:rPr>
              <w:t>2130</w:t>
            </w:r>
            <w:r>
              <w:rPr>
                <w:rFonts w:hint="default" w:ascii="Times New Roman" w:hAnsi="Times New Roman" w:eastAsia="宋体" w:cs="Times New Roman"/>
                <w:color w:val="FF0000"/>
                <w:kern w:val="21"/>
                <w:highlight w:val="none"/>
                <w:lang w:val="en-US" w:eastAsia="zh-CN"/>
              </w:rPr>
              <w:t xml:space="preserve"> </w:t>
            </w:r>
            <w:r>
              <w:rPr>
                <w:rFonts w:hint="eastAsia" w:cs="Times New Roman"/>
                <w:color w:val="FF0000"/>
                <w:kern w:val="21"/>
                <w:highlight w:val="none"/>
                <w:lang w:val="en-US" w:eastAsia="zh-CN"/>
              </w:rPr>
              <w:t>金属家具</w:t>
            </w:r>
            <w:r>
              <w:rPr>
                <w:rFonts w:hint="default" w:ascii="Times New Roman" w:hAnsi="Times New Roman" w:eastAsia="宋体" w:cs="Times New Roman"/>
                <w:color w:val="FF0000"/>
                <w:kern w:val="21"/>
                <w:highlight w:val="none"/>
                <w:lang w:val="en-US" w:eastAsia="zh-CN"/>
              </w:rPr>
              <w:t>制造</w:t>
            </w:r>
            <w:r>
              <w:rPr>
                <w:rFonts w:hint="default" w:ascii="Times New Roman" w:hAnsi="Times New Roman" w:eastAsia="宋体" w:cs="Times New Roman"/>
                <w:color w:val="FF0000"/>
                <w:highlight w:val="none"/>
                <w:lang w:val="en-US" w:eastAsia="zh-CN"/>
              </w:rPr>
              <w:t>国民经济行业类别</w:t>
            </w:r>
            <w:r>
              <w:rPr>
                <w:rFonts w:hint="default" w:ascii="Times New Roman" w:hAnsi="Times New Roman" w:eastAsia="宋体" w:cs="Times New Roman"/>
                <w:color w:val="FF0000"/>
                <w:highlight w:val="none"/>
              </w:rPr>
              <w:t>，</w:t>
            </w:r>
            <w:r>
              <w:rPr>
                <w:rFonts w:hint="eastAsia" w:cs="Times New Roman"/>
                <w:color w:val="FF0000"/>
                <w:highlight w:val="none"/>
                <w:lang w:eastAsia="zh-CN"/>
              </w:rPr>
              <w:t>项目利用理化板、方钢管、三聚氰胺板、热熔胶等原辅料生产实验室装备（钢木实验台）。</w:t>
            </w:r>
            <w:r>
              <w:rPr>
                <w:rFonts w:hint="default" w:ascii="Times New Roman" w:hAnsi="Times New Roman" w:eastAsia="宋体" w:cs="Times New Roman"/>
                <w:color w:val="FF0000"/>
                <w:highlight w:val="none"/>
              </w:rPr>
              <w:t>本项目设备</w:t>
            </w:r>
            <w:r>
              <w:rPr>
                <w:rFonts w:hint="default" w:ascii="Times New Roman" w:hAnsi="Times New Roman" w:eastAsia="宋体" w:cs="Times New Roman"/>
                <w:color w:val="FF0000"/>
                <w:highlight w:val="none"/>
                <w:lang w:eastAsia="zh-CN"/>
              </w:rPr>
              <w:t>、工艺</w:t>
            </w:r>
            <w:r>
              <w:rPr>
                <w:rFonts w:hint="default" w:ascii="Times New Roman" w:hAnsi="Times New Roman" w:eastAsia="宋体" w:cs="Times New Roman"/>
                <w:color w:val="FF0000"/>
                <w:highlight w:val="none"/>
              </w:rPr>
              <w:t>和产品不属于国家发展和改革委员会发布的《产业结构调整指导目录</w:t>
            </w:r>
            <w:r>
              <w:rPr>
                <w:rFonts w:hint="default" w:ascii="Times New Roman" w:hAnsi="Times New Roman" w:eastAsia="宋体" w:cs="Times New Roman"/>
                <w:color w:val="FF0000"/>
                <w:highlight w:val="none"/>
                <w:lang w:eastAsia="zh-CN"/>
              </w:rPr>
              <w:t>（2024年本）</w:t>
            </w:r>
            <w:r>
              <w:rPr>
                <w:rFonts w:hint="default" w:ascii="Times New Roman" w:hAnsi="Times New Roman" w:eastAsia="宋体" w:cs="Times New Roman"/>
                <w:color w:val="FF0000"/>
                <w:highlight w:val="none"/>
              </w:rPr>
              <w:t>》中的鼓励类、限制类和淘汰类，属于</w:t>
            </w:r>
            <w:r>
              <w:rPr>
                <w:rFonts w:hint="default" w:ascii="Times New Roman" w:hAnsi="Times New Roman" w:cs="Times New Roman"/>
                <w:color w:val="FF0000"/>
                <w:highlight w:val="none"/>
              </w:rPr>
              <w:t>允许建设的项目。</w:t>
            </w:r>
          </w:p>
          <w:p w14:paraId="39A4CC6A">
            <w:pPr>
              <w:pStyle w:val="38"/>
              <w:rPr>
                <w:rFonts w:hint="default" w:ascii="Times New Roman" w:hAnsi="Times New Roman" w:cs="Times New Roman"/>
                <w:color w:val="FF0000"/>
                <w:highlight w:val="none"/>
              </w:rPr>
            </w:pPr>
            <w:r>
              <w:rPr>
                <w:rFonts w:hint="eastAsia" w:cs="Times New Roman"/>
                <w:color w:val="FF0000"/>
                <w:highlight w:val="none"/>
                <w:lang w:eastAsia="zh-CN"/>
              </w:rPr>
              <w:t>本</w:t>
            </w:r>
            <w:r>
              <w:rPr>
                <w:rFonts w:hint="default" w:ascii="Times New Roman" w:hAnsi="Times New Roman" w:cs="Times New Roman"/>
                <w:color w:val="FF0000"/>
                <w:highlight w:val="none"/>
              </w:rPr>
              <w:t>项目已取得山东省建设项目备案证明，项目代码为</w:t>
            </w:r>
            <w:r>
              <w:rPr>
                <w:rFonts w:hint="eastAsia" w:cs="Times New Roman"/>
                <w:color w:val="FF0000"/>
                <w:highlight w:val="none"/>
                <w:lang w:eastAsia="zh-CN"/>
              </w:rPr>
              <w:t>2603-370393-04-01-587848</w:t>
            </w:r>
            <w:r>
              <w:rPr>
                <w:rFonts w:hint="default" w:ascii="Times New Roman" w:hAnsi="Times New Roman" w:cs="Times New Roman"/>
                <w:color w:val="FF0000"/>
                <w:highlight w:val="none"/>
              </w:rPr>
              <w:t>。项目建设符合国家产业政策。</w:t>
            </w:r>
          </w:p>
          <w:p w14:paraId="0A565C43">
            <w:pPr>
              <w:pStyle w:val="38"/>
              <w:ind w:firstLine="42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2、国土空间规划符合性</w:t>
            </w:r>
          </w:p>
          <w:p w14:paraId="0AA34994">
            <w:pPr>
              <w:pStyle w:val="3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本项目建设地点位于</w:t>
            </w:r>
            <w:r>
              <w:rPr>
                <w:rFonts w:hint="eastAsia" w:ascii="Times New Roman" w:hAnsi="Times New Roman" w:eastAsia="宋体" w:cs="Times New Roman"/>
                <w:color w:val="auto"/>
                <w:highlight w:val="none"/>
                <w:lang w:eastAsia="zh-CN"/>
              </w:rPr>
              <w:t>山东省淄博市淄博经济开发区傅家镇双杨管区天津路与梁牛路路口西150米路北院内东侧第二间车间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lang w:val="en-US" w:eastAsia="zh-CN"/>
              </w:rPr>
              <w:t>淄博市国土空间总体规划（2021-2035年）—国土空间控制线规划图</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项目位于城镇开发边界内，不在生态保护红线范围内</w:t>
            </w:r>
            <w:r>
              <w:rPr>
                <w:rFonts w:hint="default" w:ascii="Times New Roman" w:hAnsi="Times New Roman" w:eastAsia="宋体" w:cs="Times New Roman"/>
                <w:color w:val="auto"/>
                <w:highlight w:val="none"/>
                <w:lang w:val="en-US" w:eastAsia="zh-CN"/>
              </w:rPr>
              <w:t>，且不占用永久基本农田</w:t>
            </w:r>
            <w:r>
              <w:rPr>
                <w:rFonts w:hint="default"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eastAsia="zh-CN"/>
              </w:rPr>
              <w:t>项目用地属于工业用地。</w:t>
            </w:r>
            <w:r>
              <w:rPr>
                <w:rFonts w:hint="default" w:ascii="Times New Roman" w:hAnsi="Times New Roman" w:eastAsia="宋体" w:cs="Times New Roman"/>
                <w:color w:val="auto"/>
                <w:highlight w:val="none"/>
              </w:rPr>
              <w:t>符合《</w:t>
            </w:r>
            <w:r>
              <w:rPr>
                <w:rFonts w:hint="default" w:ascii="Times New Roman" w:hAnsi="Times New Roman" w:eastAsia="宋体" w:cs="Times New Roman"/>
                <w:color w:val="auto"/>
                <w:highlight w:val="none"/>
                <w:lang w:val="en-US" w:eastAsia="zh-CN"/>
              </w:rPr>
              <w:t>淄博市国土空间总体规划（2021-2035年）</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建设</w:t>
            </w:r>
            <w:r>
              <w:rPr>
                <w:rFonts w:hint="default" w:ascii="Times New Roman" w:hAnsi="Times New Roman" w:eastAsia="宋体" w:cs="Times New Roman"/>
                <w:color w:val="auto"/>
                <w:highlight w:val="none"/>
              </w:rPr>
              <w:t>要求。</w:t>
            </w:r>
          </w:p>
          <w:p w14:paraId="4B32FC26">
            <w:pPr>
              <w:pStyle w:val="38"/>
              <w:ind w:firstLine="422"/>
              <w:rPr>
                <w:rFonts w:hint="default" w:ascii="Times New Roman" w:hAnsi="Times New Roman" w:cs="Times New Roman"/>
                <w:color w:val="auto"/>
                <w:highlight w:val="none"/>
              </w:rPr>
            </w:pPr>
            <w:r>
              <w:rPr>
                <w:rFonts w:hint="default" w:ascii="Times New Roman" w:hAnsi="Times New Roman" w:cs="Times New Roman"/>
                <w:b/>
                <w:bCs/>
                <w:color w:val="auto"/>
                <w:highlight w:val="none"/>
              </w:rPr>
              <w:t>3、生态环境分区管控要求符合性</w:t>
            </w:r>
          </w:p>
          <w:p w14:paraId="0E70CA34">
            <w:pPr>
              <w:pStyle w:val="38"/>
              <w:bidi w:val="0"/>
              <w:rPr>
                <w:rFonts w:hint="default"/>
                <w:color w:val="auto"/>
                <w:highlight w:val="none"/>
                <w:lang w:val="en-US" w:eastAsia="zh-CN"/>
              </w:rPr>
            </w:pPr>
            <w:r>
              <w:rPr>
                <w:rFonts w:hint="default"/>
                <w:color w:val="auto"/>
                <w:highlight w:val="none"/>
                <w:lang w:val="en-US" w:eastAsia="zh-CN"/>
              </w:rPr>
              <w:t>本次环评对照《淄博市人民政府关于印发淄博市</w:t>
            </w:r>
            <w:r>
              <w:rPr>
                <w:rFonts w:hint="eastAsia"/>
                <w:color w:val="auto"/>
                <w:highlight w:val="none"/>
                <w:lang w:val="en-US" w:eastAsia="zh-CN"/>
              </w:rPr>
              <w:t>“</w:t>
            </w:r>
            <w:r>
              <w:rPr>
                <w:rFonts w:hint="default"/>
                <w:color w:val="auto"/>
                <w:highlight w:val="none"/>
                <w:lang w:val="en-US" w:eastAsia="zh-CN"/>
              </w:rPr>
              <w:t>三线一单</w:t>
            </w:r>
            <w:r>
              <w:rPr>
                <w:rFonts w:hint="eastAsia"/>
                <w:color w:val="auto"/>
                <w:highlight w:val="none"/>
                <w:lang w:val="en-US" w:eastAsia="zh-CN"/>
              </w:rPr>
              <w:t>”</w:t>
            </w:r>
            <w:r>
              <w:rPr>
                <w:rFonts w:hint="default"/>
                <w:color w:val="auto"/>
                <w:highlight w:val="none"/>
                <w:lang w:val="en-US" w:eastAsia="zh-CN"/>
              </w:rPr>
              <w:t>生态环境分区管控方案的通知》（淄政字〔2021〕49号）及</w:t>
            </w:r>
            <w:r>
              <w:rPr>
                <w:rFonts w:hint="default"/>
                <w:color w:val="auto"/>
                <w:highlight w:val="none"/>
                <w:lang w:val="zh-CN" w:eastAsia="zh-CN"/>
              </w:rPr>
              <w:t>《淄博市</w:t>
            </w:r>
            <w:r>
              <w:rPr>
                <w:rFonts w:hint="default"/>
                <w:color w:val="auto"/>
                <w:highlight w:val="none"/>
                <w:lang w:val="en-US" w:eastAsia="zh-CN"/>
              </w:rPr>
              <w:t>2023年生态环境分区管控成果动态更新项目生态环境准入清单</w:t>
            </w:r>
            <w:r>
              <w:rPr>
                <w:rFonts w:hint="default"/>
                <w:color w:val="auto"/>
                <w:highlight w:val="none"/>
                <w:lang w:val="zh-CN" w:eastAsia="zh-CN"/>
              </w:rPr>
              <w:t>》</w:t>
            </w:r>
            <w:r>
              <w:rPr>
                <w:rFonts w:hint="default"/>
                <w:color w:val="auto"/>
                <w:highlight w:val="none"/>
                <w:lang w:val="en-US" w:eastAsia="zh-CN"/>
              </w:rPr>
              <w:t>的通知（淄博市生态环境委员会办公室，2024年4月18日），</w:t>
            </w:r>
            <w:r>
              <w:rPr>
                <w:rFonts w:hint="default"/>
                <w:color w:val="auto"/>
                <w:highlight w:val="none"/>
              </w:rPr>
              <w:t>本项目位于</w:t>
            </w:r>
            <w:r>
              <w:rPr>
                <w:rFonts w:hint="default"/>
                <w:color w:val="auto"/>
                <w:highlight w:val="none"/>
                <w:lang w:eastAsia="zh-CN"/>
              </w:rPr>
              <w:t>淄博经开区南部创新创业园</w:t>
            </w:r>
            <w:r>
              <w:rPr>
                <w:rFonts w:hint="default"/>
                <w:color w:val="auto"/>
                <w:highlight w:val="none"/>
              </w:rPr>
              <w:t>，</w:t>
            </w:r>
            <w:r>
              <w:rPr>
                <w:rFonts w:hint="default"/>
                <w:color w:val="auto"/>
                <w:highlight w:val="none"/>
                <w:lang w:val="en-US" w:eastAsia="zh-CN"/>
              </w:rPr>
              <w:t>属于双杨镇管控单元，单元编码为ZH37030220003，</w:t>
            </w:r>
            <w:r>
              <w:rPr>
                <w:rFonts w:hint="default"/>
                <w:color w:val="auto"/>
                <w:highlight w:val="none"/>
              </w:rPr>
              <w:t>属于</w:t>
            </w:r>
            <w:r>
              <w:rPr>
                <w:rFonts w:hint="default"/>
                <w:color w:val="auto"/>
                <w:highlight w:val="none"/>
                <w:lang w:val="en-US" w:eastAsia="zh-CN"/>
              </w:rPr>
              <w:t>重点</w:t>
            </w:r>
            <w:r>
              <w:rPr>
                <w:rFonts w:hint="default"/>
                <w:color w:val="auto"/>
                <w:highlight w:val="none"/>
              </w:rPr>
              <w:t>管控单元</w:t>
            </w:r>
            <w:r>
              <w:rPr>
                <w:rFonts w:hint="default"/>
                <w:color w:val="auto"/>
                <w:highlight w:val="none"/>
                <w:lang w:val="en-US" w:eastAsia="zh-CN"/>
              </w:rPr>
              <w:t>，生态环境准入清单见下表。</w:t>
            </w:r>
          </w:p>
          <w:p w14:paraId="60017092">
            <w:pPr>
              <w:pStyle w:val="3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lang w:val="en-US" w:eastAsia="zh-CN"/>
              </w:rPr>
              <w:t xml:space="preserve"> 建设项目与</w:t>
            </w:r>
            <w:r>
              <w:rPr>
                <w:rFonts w:hint="eastAsia" w:ascii="Times New Roman" w:hAnsi="Times New Roman" w:cs="Times New Roman"/>
                <w:color w:val="auto"/>
                <w:highlight w:val="none"/>
                <w:lang w:val="en-US" w:eastAsia="zh-CN"/>
              </w:rPr>
              <w:t>双杨镇</w:t>
            </w:r>
            <w:r>
              <w:rPr>
                <w:rFonts w:hint="default" w:ascii="Times New Roman" w:hAnsi="Times New Roman" w:cs="Times New Roman"/>
                <w:color w:val="auto"/>
                <w:highlight w:val="none"/>
                <w:lang w:val="en-US" w:eastAsia="zh-CN"/>
              </w:rPr>
              <w:t>重点管控单元区符合性分析</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1"/>
              <w:gridCol w:w="4349"/>
              <w:gridCol w:w="2422"/>
              <w:gridCol w:w="962"/>
            </w:tblGrid>
            <w:tr w14:paraId="4075C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00" w:type="pct"/>
                  <w:gridSpan w:val="2"/>
                  <w:noWrap w:val="0"/>
                  <w:vAlign w:val="center"/>
                </w:tcPr>
                <w:p w14:paraId="48C03F71">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清单编制要求</w:t>
                  </w:r>
                </w:p>
              </w:tc>
              <w:tc>
                <w:tcPr>
                  <w:tcW w:w="1430" w:type="pct"/>
                  <w:noWrap w:val="0"/>
                  <w:vAlign w:val="center"/>
                </w:tcPr>
                <w:p w14:paraId="7BD5100D">
                  <w:pPr>
                    <w:pStyle w:val="41"/>
                    <w:rPr>
                      <w:rFonts w:hint="default" w:ascii="Times New Roman" w:hAnsi="Times New Roman" w:eastAsia="宋体" w:cs="Times New Roman"/>
                      <w:color w:val="FF0000"/>
                      <w:sz w:val="20"/>
                      <w:szCs w:val="20"/>
                      <w:highlight w:val="none"/>
                      <w:lang w:eastAsia="zh-CN"/>
                    </w:rPr>
                  </w:pPr>
                  <w:r>
                    <w:rPr>
                      <w:rFonts w:hint="default" w:ascii="Times New Roman" w:hAnsi="Times New Roman" w:eastAsia="宋体" w:cs="Times New Roman"/>
                      <w:color w:val="FF0000"/>
                      <w:sz w:val="20"/>
                      <w:szCs w:val="20"/>
                      <w:highlight w:val="none"/>
                      <w:lang w:eastAsia="zh-CN"/>
                    </w:rPr>
                    <w:t>拟建项目情况</w:t>
                  </w:r>
                </w:p>
              </w:tc>
              <w:tc>
                <w:tcPr>
                  <w:tcW w:w="568" w:type="pct"/>
                  <w:noWrap w:val="0"/>
                  <w:vAlign w:val="center"/>
                </w:tcPr>
                <w:p w14:paraId="173A25F3">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符合性</w:t>
                  </w:r>
                </w:p>
              </w:tc>
            </w:tr>
            <w:tr w14:paraId="64720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pct"/>
                  <w:vMerge w:val="restart"/>
                  <w:noWrap w:val="0"/>
                  <w:vAlign w:val="center"/>
                </w:tcPr>
                <w:p w14:paraId="4FFD70F4">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空间布局约束</w:t>
                  </w:r>
                </w:p>
              </w:tc>
              <w:tc>
                <w:tcPr>
                  <w:tcW w:w="2567" w:type="pct"/>
                  <w:noWrap w:val="0"/>
                  <w:vAlign w:val="center"/>
                </w:tcPr>
                <w:p w14:paraId="11342CD4">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1.禁止新建、扩建《产业结构调整指导目录》（现行）明确的淘汰类项目和引入《市场准入负面清单》（现行）禁止准入类事项；鼓励对列入《产业结构调整指导目录》的限制类、淘汰类工业项目进行淘汰和提升改造。</w:t>
                  </w:r>
                </w:p>
              </w:tc>
              <w:tc>
                <w:tcPr>
                  <w:tcW w:w="1430" w:type="pct"/>
                  <w:noWrap w:val="0"/>
                  <w:vAlign w:val="center"/>
                </w:tcPr>
                <w:p w14:paraId="44AD29C9">
                  <w:pPr>
                    <w:pStyle w:val="41"/>
                    <w:rPr>
                      <w:rFonts w:hint="default" w:ascii="Times New Roman" w:hAnsi="Times New Roman" w:eastAsia="宋体" w:cs="Times New Roman"/>
                      <w:color w:val="FF0000"/>
                      <w:sz w:val="20"/>
                      <w:szCs w:val="20"/>
                      <w:highlight w:val="none"/>
                      <w:lang w:val="en-US" w:eastAsia="zh-CN"/>
                    </w:rPr>
                  </w:pPr>
                  <w:r>
                    <w:rPr>
                      <w:rFonts w:hint="default" w:ascii="Times New Roman" w:hAnsi="Times New Roman" w:eastAsia="宋体" w:cs="Times New Roman"/>
                      <w:color w:val="FF0000"/>
                      <w:sz w:val="20"/>
                      <w:szCs w:val="20"/>
                      <w:highlight w:val="none"/>
                      <w:lang w:eastAsia="zh-CN"/>
                    </w:rPr>
                    <w:t>项目整体属于</w:t>
                  </w:r>
                  <w:r>
                    <w:rPr>
                      <w:rFonts w:hint="default" w:ascii="Times New Roman" w:hAnsi="Times New Roman" w:eastAsia="宋体" w:cs="Times New Roman"/>
                      <w:color w:val="FF0000"/>
                      <w:sz w:val="20"/>
                      <w:szCs w:val="20"/>
                      <w:highlight w:val="none"/>
                      <w:lang w:val="en-US" w:eastAsia="zh-CN"/>
                    </w:rPr>
                    <w:t>C</w:t>
                  </w:r>
                  <w:r>
                    <w:rPr>
                      <w:rFonts w:hint="eastAsia" w:ascii="Times New Roman" w:hAnsi="Times New Roman" w:eastAsia="宋体" w:cs="Times New Roman"/>
                      <w:color w:val="FF0000"/>
                      <w:sz w:val="20"/>
                      <w:szCs w:val="20"/>
                      <w:highlight w:val="none"/>
                      <w:lang w:val="en-US" w:eastAsia="zh-CN"/>
                    </w:rPr>
                    <w:t>2130</w:t>
                  </w:r>
                  <w:r>
                    <w:rPr>
                      <w:rFonts w:hint="default" w:ascii="Times New Roman" w:hAnsi="Times New Roman" w:eastAsia="宋体" w:cs="Times New Roman"/>
                      <w:color w:val="FF0000"/>
                      <w:sz w:val="20"/>
                      <w:szCs w:val="20"/>
                      <w:highlight w:val="none"/>
                      <w:lang w:val="en-US" w:eastAsia="zh-CN"/>
                    </w:rPr>
                    <w:t xml:space="preserve"> </w:t>
                  </w:r>
                  <w:r>
                    <w:rPr>
                      <w:rFonts w:hint="eastAsia" w:ascii="Times New Roman" w:hAnsi="Times New Roman" w:eastAsia="宋体" w:cs="Times New Roman"/>
                      <w:color w:val="FF0000"/>
                      <w:sz w:val="20"/>
                      <w:szCs w:val="20"/>
                      <w:highlight w:val="none"/>
                      <w:lang w:val="en-US" w:eastAsia="zh-CN"/>
                    </w:rPr>
                    <w:t>金属家具</w:t>
                  </w:r>
                  <w:r>
                    <w:rPr>
                      <w:rFonts w:hint="default" w:ascii="Times New Roman" w:hAnsi="Times New Roman" w:eastAsia="宋体" w:cs="Times New Roman"/>
                      <w:color w:val="FF0000"/>
                      <w:sz w:val="20"/>
                      <w:szCs w:val="20"/>
                      <w:highlight w:val="none"/>
                      <w:lang w:val="en-US" w:eastAsia="zh-CN"/>
                    </w:rPr>
                    <w:t>制造国民经济行业类别</w:t>
                  </w:r>
                  <w:r>
                    <w:rPr>
                      <w:rFonts w:hint="default" w:ascii="Times New Roman" w:hAnsi="Times New Roman" w:eastAsia="宋体" w:cs="Times New Roman"/>
                      <w:color w:val="FF0000"/>
                      <w:sz w:val="20"/>
                      <w:szCs w:val="20"/>
                      <w:highlight w:val="none"/>
                      <w:lang w:eastAsia="zh-CN"/>
                    </w:rPr>
                    <w:t>，本项目设备、工艺和产品不属于国家发展和改革委员会发布的《产业结构调整指导目录（2024年本）》中的鼓励类、限制类和淘汰类，属于允许建设的项目</w:t>
                  </w:r>
                  <w:r>
                    <w:rPr>
                      <w:rFonts w:hint="default" w:ascii="Times New Roman" w:hAnsi="Times New Roman" w:eastAsia="宋体" w:cs="Times New Roman"/>
                      <w:color w:val="FF0000"/>
                      <w:sz w:val="20"/>
                      <w:szCs w:val="20"/>
                      <w:highlight w:val="none"/>
                      <w:lang w:val="en-US" w:eastAsia="zh-CN"/>
                    </w:rPr>
                    <w:t>，符合国家产业政策要求</w:t>
                  </w:r>
                  <w:r>
                    <w:rPr>
                      <w:rFonts w:hint="eastAsia" w:ascii="Times New Roman" w:hAnsi="Times New Roman" w:cs="Times New Roman"/>
                      <w:color w:val="FF0000"/>
                      <w:sz w:val="20"/>
                      <w:szCs w:val="20"/>
                      <w:highlight w:val="none"/>
                      <w:lang w:val="en-US" w:eastAsia="zh-CN"/>
                    </w:rPr>
                    <w:t>。</w:t>
                  </w:r>
                </w:p>
              </w:tc>
              <w:tc>
                <w:tcPr>
                  <w:tcW w:w="568" w:type="pct"/>
                  <w:noWrap w:val="0"/>
                  <w:vAlign w:val="center"/>
                </w:tcPr>
                <w:p w14:paraId="1FCF566C">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符合</w:t>
                  </w:r>
                </w:p>
              </w:tc>
            </w:tr>
            <w:tr w14:paraId="30168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pct"/>
                  <w:vMerge w:val="continue"/>
                  <w:noWrap w:val="0"/>
                  <w:vAlign w:val="center"/>
                </w:tcPr>
                <w:p w14:paraId="72F88481">
                  <w:pPr>
                    <w:pStyle w:val="41"/>
                    <w:rPr>
                      <w:rFonts w:hint="default" w:ascii="Times New Roman" w:hAnsi="Times New Roman" w:eastAsia="宋体" w:cs="Times New Roman"/>
                      <w:color w:val="auto"/>
                      <w:sz w:val="20"/>
                      <w:szCs w:val="20"/>
                      <w:highlight w:val="none"/>
                      <w:lang w:eastAsia="zh-CN"/>
                    </w:rPr>
                  </w:pPr>
                </w:p>
              </w:tc>
              <w:tc>
                <w:tcPr>
                  <w:tcW w:w="2567" w:type="pct"/>
                  <w:noWrap w:val="0"/>
                  <w:vAlign w:val="center"/>
                </w:tcPr>
                <w:p w14:paraId="03C776A5">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2.按《土壤污染防治行动计划》的要求管理：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tc>
              <w:tc>
                <w:tcPr>
                  <w:tcW w:w="1430" w:type="pct"/>
                  <w:noWrap w:val="0"/>
                  <w:vAlign w:val="center"/>
                </w:tcPr>
                <w:p w14:paraId="3C68FE5C">
                  <w:pPr>
                    <w:pStyle w:val="41"/>
                    <w:rPr>
                      <w:rFonts w:hint="default" w:ascii="Times New Roman" w:hAnsi="Times New Roman" w:eastAsia="宋体" w:cs="Times New Roman"/>
                      <w:color w:val="FF0000"/>
                      <w:sz w:val="20"/>
                      <w:szCs w:val="20"/>
                      <w:highlight w:val="none"/>
                      <w:lang w:val="en-US" w:eastAsia="zh-CN"/>
                    </w:rPr>
                  </w:pPr>
                  <w:r>
                    <w:rPr>
                      <w:rFonts w:hint="default" w:ascii="Times New Roman" w:hAnsi="Times New Roman" w:eastAsia="宋体" w:cs="Times New Roman"/>
                      <w:color w:val="FF0000"/>
                      <w:sz w:val="20"/>
                      <w:szCs w:val="20"/>
                      <w:highlight w:val="none"/>
                      <w:lang w:eastAsia="zh-CN"/>
                    </w:rPr>
                    <w:t>本项目</w:t>
                  </w:r>
                  <w:r>
                    <w:rPr>
                      <w:rFonts w:hint="default" w:ascii="Times New Roman" w:hAnsi="Times New Roman" w:eastAsia="宋体" w:cs="Times New Roman"/>
                      <w:color w:val="FF0000"/>
                      <w:sz w:val="20"/>
                      <w:szCs w:val="20"/>
                      <w:highlight w:val="none"/>
                      <w:lang w:val="en-US" w:eastAsia="zh-CN"/>
                    </w:rPr>
                    <w:t>不涉及耕地和永久基本农田</w:t>
                  </w:r>
                  <w:r>
                    <w:rPr>
                      <w:rFonts w:hint="eastAsia" w:ascii="Times New Roman" w:hAnsi="Times New Roman" w:cs="Times New Roman"/>
                      <w:color w:val="FF0000"/>
                      <w:sz w:val="20"/>
                      <w:szCs w:val="20"/>
                      <w:highlight w:val="none"/>
                      <w:lang w:val="en-US" w:eastAsia="zh-CN"/>
                    </w:rPr>
                    <w:t>。</w:t>
                  </w:r>
                </w:p>
              </w:tc>
              <w:tc>
                <w:tcPr>
                  <w:tcW w:w="568" w:type="pct"/>
                  <w:noWrap w:val="0"/>
                  <w:vAlign w:val="center"/>
                </w:tcPr>
                <w:p w14:paraId="08CFEE87">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符合</w:t>
                  </w:r>
                </w:p>
              </w:tc>
            </w:tr>
            <w:tr w14:paraId="422CA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pct"/>
                  <w:vMerge w:val="continue"/>
                  <w:noWrap w:val="0"/>
                  <w:vAlign w:val="center"/>
                </w:tcPr>
                <w:p w14:paraId="5736BE86">
                  <w:pPr>
                    <w:pStyle w:val="41"/>
                    <w:rPr>
                      <w:rFonts w:hint="default" w:ascii="Times New Roman" w:hAnsi="Times New Roman" w:eastAsia="宋体" w:cs="Times New Roman"/>
                      <w:color w:val="auto"/>
                      <w:sz w:val="20"/>
                      <w:szCs w:val="20"/>
                      <w:highlight w:val="none"/>
                      <w:lang w:eastAsia="zh-CN"/>
                    </w:rPr>
                  </w:pPr>
                </w:p>
              </w:tc>
              <w:tc>
                <w:tcPr>
                  <w:tcW w:w="2567" w:type="pct"/>
                  <w:noWrap w:val="0"/>
                  <w:vAlign w:val="center"/>
                </w:tcPr>
                <w:p w14:paraId="79760B94">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3.污水处理设施不健全、未正常运行或污水管网未覆盖的地区，未配套污水处理设施的项目不得建设。</w:t>
                  </w:r>
                </w:p>
              </w:tc>
              <w:tc>
                <w:tcPr>
                  <w:tcW w:w="1430" w:type="pct"/>
                  <w:noWrap w:val="0"/>
                  <w:vAlign w:val="center"/>
                </w:tcPr>
                <w:p w14:paraId="13FC59AE">
                  <w:pPr>
                    <w:pStyle w:val="41"/>
                    <w:rPr>
                      <w:rFonts w:hint="default" w:ascii="Times New Roman" w:hAnsi="Times New Roman" w:eastAsia="宋体" w:cs="Times New Roman"/>
                      <w:color w:val="FF0000"/>
                      <w:sz w:val="20"/>
                      <w:szCs w:val="20"/>
                      <w:highlight w:val="none"/>
                      <w:lang w:val="en-US" w:eastAsia="zh-CN"/>
                    </w:rPr>
                  </w:pPr>
                  <w:r>
                    <w:rPr>
                      <w:rFonts w:hint="default" w:ascii="Times New Roman" w:hAnsi="Times New Roman" w:eastAsia="宋体" w:cs="Times New Roman"/>
                      <w:color w:val="FF0000"/>
                      <w:sz w:val="20"/>
                      <w:szCs w:val="20"/>
                      <w:highlight w:val="none"/>
                      <w:lang w:eastAsia="zh-CN"/>
                    </w:rPr>
                    <w:t>本项目</w:t>
                  </w:r>
                  <w:r>
                    <w:rPr>
                      <w:rFonts w:hint="eastAsia" w:ascii="Times New Roman" w:hAnsi="Times New Roman" w:eastAsia="宋体" w:cs="Times New Roman"/>
                      <w:color w:val="FF0000"/>
                      <w:sz w:val="20"/>
                      <w:szCs w:val="20"/>
                      <w:highlight w:val="none"/>
                      <w:lang w:eastAsia="zh-CN"/>
                    </w:rPr>
                    <w:t>生产过程中无废水外排；项目</w:t>
                  </w:r>
                  <w:r>
                    <w:rPr>
                      <w:rFonts w:hint="default" w:ascii="Times New Roman" w:hAnsi="Times New Roman" w:eastAsia="宋体" w:cs="Times New Roman"/>
                      <w:color w:val="FF0000"/>
                      <w:sz w:val="20"/>
                      <w:szCs w:val="20"/>
                      <w:highlight w:val="none"/>
                      <w:lang w:val="en-US" w:eastAsia="zh-CN"/>
                    </w:rPr>
                    <w:t>生活废水经</w:t>
                  </w:r>
                  <w:r>
                    <w:rPr>
                      <w:rFonts w:hint="eastAsia" w:ascii="Times New Roman" w:hAnsi="Times New Roman" w:eastAsia="宋体" w:cs="Times New Roman"/>
                      <w:color w:val="FF0000"/>
                      <w:sz w:val="20"/>
                      <w:szCs w:val="20"/>
                      <w:highlight w:val="none"/>
                      <w:lang w:val="en-US" w:eastAsia="zh-CN"/>
                    </w:rPr>
                    <w:t>化粪池暂存</w:t>
                  </w:r>
                  <w:r>
                    <w:rPr>
                      <w:rFonts w:hint="default" w:ascii="Times New Roman" w:hAnsi="Times New Roman" w:eastAsia="宋体" w:cs="Times New Roman"/>
                      <w:color w:val="FF0000"/>
                      <w:sz w:val="20"/>
                      <w:szCs w:val="20"/>
                      <w:highlight w:val="none"/>
                      <w:lang w:val="en-US" w:eastAsia="zh-CN"/>
                    </w:rPr>
                    <w:t>后，</w:t>
                  </w:r>
                  <w:r>
                    <w:rPr>
                      <w:rFonts w:hint="eastAsia" w:ascii="Times New Roman" w:hAnsi="Times New Roman" w:eastAsia="宋体" w:cs="Times New Roman"/>
                      <w:color w:val="FF0000"/>
                      <w:sz w:val="20"/>
                      <w:szCs w:val="20"/>
                      <w:highlight w:val="none"/>
                      <w:lang w:val="en-US" w:eastAsia="zh-CN"/>
                    </w:rPr>
                    <w:t>由环卫部门定期清运</w:t>
                  </w:r>
                  <w:r>
                    <w:rPr>
                      <w:rFonts w:hint="eastAsia" w:ascii="Times New Roman" w:hAnsi="Times New Roman" w:cs="Times New Roman"/>
                      <w:color w:val="FF0000"/>
                      <w:sz w:val="20"/>
                      <w:szCs w:val="20"/>
                      <w:highlight w:val="none"/>
                      <w:lang w:val="en-US" w:eastAsia="zh-CN"/>
                    </w:rPr>
                    <w:t>。</w:t>
                  </w:r>
                </w:p>
              </w:tc>
              <w:tc>
                <w:tcPr>
                  <w:tcW w:w="568" w:type="pct"/>
                  <w:noWrap w:val="0"/>
                  <w:vAlign w:val="center"/>
                </w:tcPr>
                <w:p w14:paraId="18689B48">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符合</w:t>
                  </w:r>
                </w:p>
              </w:tc>
            </w:tr>
            <w:tr w14:paraId="69220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pct"/>
                  <w:vMerge w:val="continue"/>
                  <w:noWrap w:val="0"/>
                  <w:vAlign w:val="center"/>
                </w:tcPr>
                <w:p w14:paraId="6834519B">
                  <w:pPr>
                    <w:pStyle w:val="41"/>
                    <w:rPr>
                      <w:rFonts w:hint="default" w:ascii="Times New Roman" w:hAnsi="Times New Roman" w:eastAsia="宋体" w:cs="Times New Roman"/>
                      <w:color w:val="auto"/>
                      <w:sz w:val="20"/>
                      <w:szCs w:val="20"/>
                      <w:highlight w:val="none"/>
                      <w:lang w:eastAsia="zh-CN"/>
                    </w:rPr>
                  </w:pPr>
                </w:p>
              </w:tc>
              <w:tc>
                <w:tcPr>
                  <w:tcW w:w="2567" w:type="pct"/>
                  <w:noWrap w:val="0"/>
                  <w:vAlign w:val="center"/>
                </w:tcPr>
                <w:p w14:paraId="0A029B0B">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4.新建有污染物排放的工业项目，除在安全生产等方面有特殊要求的以外，应当进入工业园区或工业聚集区。</w:t>
                  </w:r>
                </w:p>
              </w:tc>
              <w:tc>
                <w:tcPr>
                  <w:tcW w:w="1430" w:type="pct"/>
                  <w:noWrap w:val="0"/>
                  <w:vAlign w:val="center"/>
                </w:tcPr>
                <w:p w14:paraId="42A2D649">
                  <w:pPr>
                    <w:pStyle w:val="41"/>
                    <w:rPr>
                      <w:rFonts w:hint="default" w:ascii="Times New Roman" w:hAnsi="Times New Roman" w:eastAsia="宋体" w:cs="Times New Roman"/>
                      <w:color w:val="FF0000"/>
                      <w:sz w:val="20"/>
                      <w:szCs w:val="20"/>
                      <w:highlight w:val="none"/>
                      <w:lang w:val="en-US" w:eastAsia="zh-CN"/>
                    </w:rPr>
                  </w:pPr>
                  <w:r>
                    <w:rPr>
                      <w:rFonts w:hint="default" w:ascii="Times New Roman" w:hAnsi="Times New Roman" w:eastAsia="宋体" w:cs="Times New Roman"/>
                      <w:color w:val="FF0000"/>
                      <w:sz w:val="20"/>
                      <w:szCs w:val="20"/>
                      <w:highlight w:val="none"/>
                      <w:lang w:eastAsia="zh-CN"/>
                    </w:rPr>
                    <w:t>本项目</w:t>
                  </w:r>
                  <w:r>
                    <w:rPr>
                      <w:rFonts w:hint="default" w:ascii="Times New Roman" w:hAnsi="Times New Roman" w:eastAsia="宋体" w:cs="Times New Roman"/>
                      <w:color w:val="FF0000"/>
                      <w:sz w:val="20"/>
                      <w:szCs w:val="20"/>
                      <w:highlight w:val="none"/>
                      <w:lang w:val="en-US" w:eastAsia="zh-CN"/>
                    </w:rPr>
                    <w:t>位于淄博经开区南部创新创业园内</w:t>
                  </w:r>
                  <w:r>
                    <w:rPr>
                      <w:rFonts w:hint="eastAsia" w:ascii="Times New Roman" w:hAnsi="Times New Roman" w:eastAsia="宋体" w:cs="Times New Roman"/>
                      <w:color w:val="FF0000"/>
                      <w:sz w:val="20"/>
                      <w:szCs w:val="20"/>
                      <w:highlight w:val="none"/>
                      <w:lang w:val="en-US" w:eastAsia="zh-CN"/>
                    </w:rPr>
                    <w:t>，项目位于工业园区内</w:t>
                  </w:r>
                  <w:r>
                    <w:rPr>
                      <w:rFonts w:hint="eastAsia" w:ascii="Times New Roman" w:hAnsi="Times New Roman" w:cs="Times New Roman"/>
                      <w:color w:val="FF0000"/>
                      <w:sz w:val="20"/>
                      <w:szCs w:val="20"/>
                      <w:highlight w:val="none"/>
                      <w:lang w:val="en-US" w:eastAsia="zh-CN"/>
                    </w:rPr>
                    <w:t>。</w:t>
                  </w:r>
                </w:p>
              </w:tc>
              <w:tc>
                <w:tcPr>
                  <w:tcW w:w="568" w:type="pct"/>
                  <w:noWrap w:val="0"/>
                  <w:vAlign w:val="center"/>
                </w:tcPr>
                <w:p w14:paraId="6AA91A64">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符合</w:t>
                  </w:r>
                </w:p>
              </w:tc>
            </w:tr>
            <w:tr w14:paraId="4569B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432" w:type="pct"/>
                  <w:vMerge w:val="continue"/>
                  <w:noWrap w:val="0"/>
                  <w:vAlign w:val="center"/>
                </w:tcPr>
                <w:p w14:paraId="10F3AA57">
                  <w:pPr>
                    <w:pStyle w:val="41"/>
                    <w:rPr>
                      <w:rFonts w:hint="default" w:ascii="Times New Roman" w:hAnsi="Times New Roman" w:eastAsia="宋体" w:cs="Times New Roman"/>
                      <w:color w:val="auto"/>
                      <w:sz w:val="20"/>
                      <w:szCs w:val="20"/>
                      <w:highlight w:val="none"/>
                      <w:lang w:eastAsia="zh-CN"/>
                    </w:rPr>
                  </w:pPr>
                </w:p>
              </w:tc>
              <w:tc>
                <w:tcPr>
                  <w:tcW w:w="2567" w:type="pct"/>
                  <w:noWrap w:val="0"/>
                  <w:vAlign w:val="center"/>
                </w:tcPr>
                <w:p w14:paraId="36D0760D">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5.按照省市要求，严格控制</w:t>
                  </w:r>
                  <w:r>
                    <w:rPr>
                      <w:rFonts w:hint="eastAsia" w:ascii="Times New Roman" w:hAnsi="Times New Roman" w:eastAsia="宋体" w:cs="Times New Roman"/>
                      <w:color w:val="auto"/>
                      <w:sz w:val="20"/>
                      <w:szCs w:val="20"/>
                      <w:highlight w:val="none"/>
                      <w:lang w:val="en-US" w:eastAsia="zh-CN"/>
                    </w:rPr>
                    <w:t>“两高”</w:t>
                  </w:r>
                  <w:r>
                    <w:rPr>
                      <w:rFonts w:hint="default" w:ascii="Times New Roman" w:hAnsi="Times New Roman" w:eastAsia="宋体" w:cs="Times New Roman"/>
                      <w:color w:val="auto"/>
                      <w:sz w:val="20"/>
                      <w:szCs w:val="20"/>
                      <w:highlight w:val="none"/>
                      <w:lang w:eastAsia="zh-CN"/>
                    </w:rPr>
                    <w:t>项目，新建</w:t>
                  </w:r>
                  <w:r>
                    <w:rPr>
                      <w:rFonts w:hint="eastAsia" w:ascii="Times New Roman" w:hAnsi="Times New Roman" w:eastAsia="宋体" w:cs="Times New Roman"/>
                      <w:color w:val="auto"/>
                      <w:sz w:val="20"/>
                      <w:szCs w:val="20"/>
                      <w:highlight w:val="none"/>
                      <w:lang w:val="en-US" w:eastAsia="zh-CN"/>
                    </w:rPr>
                    <w:t>“两高”</w:t>
                  </w:r>
                  <w:r>
                    <w:rPr>
                      <w:rFonts w:hint="default" w:ascii="Times New Roman" w:hAnsi="Times New Roman" w:eastAsia="宋体" w:cs="Times New Roman"/>
                      <w:color w:val="auto"/>
                      <w:sz w:val="20"/>
                      <w:szCs w:val="20"/>
                      <w:highlight w:val="none"/>
                      <w:lang w:eastAsia="zh-CN"/>
                    </w:rPr>
                    <w:t>项目实行“五个减量替代”。</w:t>
                  </w:r>
                </w:p>
              </w:tc>
              <w:tc>
                <w:tcPr>
                  <w:tcW w:w="1430" w:type="pct"/>
                  <w:noWrap w:val="0"/>
                  <w:vAlign w:val="center"/>
                </w:tcPr>
                <w:p w14:paraId="5E658E4A">
                  <w:pPr>
                    <w:pStyle w:val="41"/>
                    <w:rPr>
                      <w:rFonts w:hint="default" w:ascii="Times New Roman" w:hAnsi="Times New Roman" w:eastAsia="宋体" w:cs="Times New Roman"/>
                      <w:color w:val="FF0000"/>
                      <w:sz w:val="20"/>
                      <w:szCs w:val="20"/>
                      <w:highlight w:val="none"/>
                      <w:lang w:val="en-US" w:eastAsia="zh-CN"/>
                    </w:rPr>
                  </w:pPr>
                  <w:r>
                    <w:rPr>
                      <w:rFonts w:hint="default" w:ascii="Times New Roman" w:hAnsi="Times New Roman" w:eastAsia="宋体" w:cs="Times New Roman"/>
                      <w:color w:val="FF0000"/>
                      <w:sz w:val="20"/>
                      <w:szCs w:val="20"/>
                      <w:highlight w:val="none"/>
                      <w:lang w:eastAsia="zh-CN"/>
                    </w:rPr>
                    <w:t>本项目</w:t>
                  </w:r>
                  <w:r>
                    <w:rPr>
                      <w:rFonts w:hint="default" w:ascii="Times New Roman" w:hAnsi="Times New Roman" w:eastAsia="宋体" w:cs="Times New Roman"/>
                      <w:color w:val="FF0000"/>
                      <w:sz w:val="20"/>
                      <w:szCs w:val="20"/>
                      <w:highlight w:val="none"/>
                      <w:lang w:val="en-US" w:eastAsia="zh-CN"/>
                    </w:rPr>
                    <w:t>不属于</w:t>
                  </w:r>
                  <w:r>
                    <w:rPr>
                      <w:rFonts w:hint="eastAsia" w:ascii="Times New Roman" w:hAnsi="Times New Roman" w:eastAsia="宋体" w:cs="Times New Roman"/>
                      <w:color w:val="FF0000"/>
                      <w:sz w:val="20"/>
                      <w:szCs w:val="20"/>
                      <w:highlight w:val="none"/>
                      <w:lang w:val="en-US" w:eastAsia="zh-CN"/>
                    </w:rPr>
                    <w:t>“两高”</w:t>
                  </w:r>
                  <w:r>
                    <w:rPr>
                      <w:rFonts w:hint="default" w:ascii="Times New Roman" w:hAnsi="Times New Roman" w:eastAsia="宋体" w:cs="Times New Roman"/>
                      <w:color w:val="FF0000"/>
                      <w:sz w:val="20"/>
                      <w:szCs w:val="20"/>
                      <w:highlight w:val="none"/>
                      <w:lang w:val="en-US" w:eastAsia="zh-CN"/>
                    </w:rPr>
                    <w:t>项目</w:t>
                  </w:r>
                  <w:r>
                    <w:rPr>
                      <w:rFonts w:hint="eastAsia" w:ascii="Times New Roman" w:hAnsi="Times New Roman" w:cs="Times New Roman"/>
                      <w:color w:val="FF0000"/>
                      <w:sz w:val="20"/>
                      <w:szCs w:val="20"/>
                      <w:highlight w:val="none"/>
                      <w:lang w:val="en-US" w:eastAsia="zh-CN"/>
                    </w:rPr>
                    <w:t>。</w:t>
                  </w:r>
                </w:p>
              </w:tc>
              <w:tc>
                <w:tcPr>
                  <w:tcW w:w="568" w:type="pct"/>
                  <w:noWrap w:val="0"/>
                  <w:vAlign w:val="center"/>
                </w:tcPr>
                <w:p w14:paraId="7A76F798">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符合</w:t>
                  </w:r>
                </w:p>
              </w:tc>
            </w:tr>
            <w:tr w14:paraId="4E64C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2" w:type="pct"/>
                  <w:vMerge w:val="restart"/>
                  <w:noWrap w:val="0"/>
                  <w:vAlign w:val="center"/>
                </w:tcPr>
                <w:p w14:paraId="34DD98FD">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污染物排放管控</w:t>
                  </w:r>
                </w:p>
              </w:tc>
              <w:tc>
                <w:tcPr>
                  <w:tcW w:w="2567" w:type="pct"/>
                  <w:noWrap w:val="0"/>
                  <w:vAlign w:val="center"/>
                </w:tcPr>
                <w:p w14:paraId="3E339DBF">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1.涉</w:t>
                  </w:r>
                  <w:r>
                    <w:rPr>
                      <w:rFonts w:hint="eastAsia" w:ascii="Times New Roman" w:hAnsi="Times New Roman" w:eastAsia="宋体" w:cs="Times New Roman"/>
                      <w:color w:val="auto"/>
                      <w:sz w:val="20"/>
                      <w:szCs w:val="20"/>
                      <w:highlight w:val="none"/>
                      <w:lang w:val="en-US" w:eastAsia="zh-CN"/>
                    </w:rPr>
                    <w:t>“两高”</w:t>
                  </w:r>
                  <w:r>
                    <w:rPr>
                      <w:rFonts w:hint="default" w:ascii="Times New Roman" w:hAnsi="Times New Roman" w:eastAsia="宋体" w:cs="Times New Roman"/>
                      <w:color w:val="auto"/>
                      <w:sz w:val="20"/>
                      <w:szCs w:val="20"/>
                      <w:highlight w:val="none"/>
                      <w:lang w:eastAsia="zh-CN"/>
                    </w:rPr>
                    <w:t>项目企业应当积极实施节能改造提升，提高能源使用效率，推进节能减排。</w:t>
                  </w:r>
                </w:p>
              </w:tc>
              <w:tc>
                <w:tcPr>
                  <w:tcW w:w="1430" w:type="pct"/>
                  <w:noWrap w:val="0"/>
                  <w:vAlign w:val="center"/>
                </w:tcPr>
                <w:p w14:paraId="7F52D0C5">
                  <w:pPr>
                    <w:pStyle w:val="41"/>
                    <w:rPr>
                      <w:rFonts w:hint="default" w:ascii="Times New Roman" w:hAnsi="Times New Roman" w:eastAsia="宋体" w:cs="Times New Roman"/>
                      <w:color w:val="FF0000"/>
                      <w:sz w:val="20"/>
                      <w:szCs w:val="20"/>
                      <w:highlight w:val="none"/>
                      <w:lang w:eastAsia="zh-CN"/>
                    </w:rPr>
                  </w:pPr>
                  <w:r>
                    <w:rPr>
                      <w:rFonts w:hint="default" w:ascii="Times New Roman" w:hAnsi="Times New Roman" w:eastAsia="宋体" w:cs="Times New Roman"/>
                      <w:color w:val="FF0000"/>
                      <w:sz w:val="20"/>
                      <w:szCs w:val="20"/>
                      <w:highlight w:val="none"/>
                      <w:lang w:eastAsia="zh-CN"/>
                    </w:rPr>
                    <w:t>本项目不</w:t>
                  </w:r>
                  <w:r>
                    <w:rPr>
                      <w:rFonts w:hint="eastAsia" w:ascii="Times New Roman" w:hAnsi="Times New Roman" w:cs="Times New Roman"/>
                      <w:color w:val="FF0000"/>
                      <w:sz w:val="20"/>
                      <w:szCs w:val="20"/>
                      <w:highlight w:val="none"/>
                      <w:lang w:eastAsia="zh-CN"/>
                    </w:rPr>
                    <w:t>属于</w:t>
                  </w:r>
                  <w:r>
                    <w:rPr>
                      <w:rFonts w:hint="eastAsia" w:ascii="Times New Roman" w:hAnsi="Times New Roman" w:eastAsia="宋体" w:cs="Times New Roman"/>
                      <w:color w:val="FF0000"/>
                      <w:sz w:val="20"/>
                      <w:szCs w:val="20"/>
                      <w:highlight w:val="none"/>
                      <w:lang w:val="en-US" w:eastAsia="zh-CN"/>
                    </w:rPr>
                    <w:t>“两高”</w:t>
                  </w:r>
                  <w:r>
                    <w:rPr>
                      <w:rFonts w:hint="default" w:ascii="Times New Roman" w:hAnsi="Times New Roman" w:eastAsia="宋体" w:cs="Times New Roman"/>
                      <w:color w:val="FF0000"/>
                      <w:sz w:val="20"/>
                      <w:szCs w:val="20"/>
                      <w:highlight w:val="none"/>
                      <w:lang w:eastAsia="zh-CN"/>
                    </w:rPr>
                    <w:t>项目</w:t>
                  </w:r>
                  <w:r>
                    <w:rPr>
                      <w:rFonts w:hint="eastAsia" w:ascii="Times New Roman" w:hAnsi="Times New Roman" w:cs="Times New Roman"/>
                      <w:color w:val="FF0000"/>
                      <w:sz w:val="20"/>
                      <w:szCs w:val="20"/>
                      <w:highlight w:val="none"/>
                      <w:lang w:eastAsia="zh-CN"/>
                    </w:rPr>
                    <w:t>。</w:t>
                  </w:r>
                </w:p>
              </w:tc>
              <w:tc>
                <w:tcPr>
                  <w:tcW w:w="568" w:type="pct"/>
                  <w:noWrap w:val="0"/>
                  <w:vAlign w:val="center"/>
                </w:tcPr>
                <w:p w14:paraId="3873B2A8">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符合</w:t>
                  </w:r>
                </w:p>
              </w:tc>
            </w:tr>
            <w:tr w14:paraId="4C9B9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pct"/>
                  <w:vMerge w:val="continue"/>
                  <w:noWrap w:val="0"/>
                  <w:vAlign w:val="center"/>
                </w:tcPr>
                <w:p w14:paraId="00744974">
                  <w:pPr>
                    <w:pStyle w:val="41"/>
                    <w:rPr>
                      <w:rFonts w:hint="default" w:ascii="Times New Roman" w:hAnsi="Times New Roman" w:eastAsia="宋体" w:cs="Times New Roman"/>
                      <w:color w:val="auto"/>
                      <w:sz w:val="20"/>
                      <w:szCs w:val="20"/>
                      <w:highlight w:val="none"/>
                      <w:lang w:eastAsia="zh-CN"/>
                    </w:rPr>
                  </w:pPr>
                </w:p>
              </w:tc>
              <w:tc>
                <w:tcPr>
                  <w:tcW w:w="2567" w:type="pct"/>
                  <w:noWrap w:val="0"/>
                  <w:vAlign w:val="center"/>
                </w:tcPr>
                <w:p w14:paraId="22DC447A">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2.落实主要污染物总量替代要求，按照山东省生态环境厅《关于印发山东省建设项目主要大气污染物排放总量替代指标核算及管理办法的通知》，实施动态管控替代。</w:t>
                  </w:r>
                </w:p>
              </w:tc>
              <w:tc>
                <w:tcPr>
                  <w:tcW w:w="1430" w:type="pct"/>
                  <w:noWrap w:val="0"/>
                  <w:vAlign w:val="center"/>
                </w:tcPr>
                <w:p w14:paraId="34760EDF">
                  <w:pPr>
                    <w:pStyle w:val="41"/>
                    <w:rPr>
                      <w:rFonts w:hint="default" w:ascii="Times New Roman" w:hAnsi="Times New Roman" w:eastAsia="宋体" w:cs="Times New Roman"/>
                      <w:color w:val="FF0000"/>
                      <w:sz w:val="20"/>
                      <w:szCs w:val="20"/>
                      <w:highlight w:val="none"/>
                      <w:lang w:eastAsia="zh-CN"/>
                    </w:rPr>
                  </w:pPr>
                  <w:r>
                    <w:rPr>
                      <w:rFonts w:hint="default" w:ascii="Times New Roman" w:hAnsi="Times New Roman" w:eastAsia="宋体" w:cs="Times New Roman"/>
                      <w:color w:val="FF0000"/>
                      <w:sz w:val="20"/>
                      <w:szCs w:val="20"/>
                      <w:highlight w:val="none"/>
                      <w:lang w:eastAsia="zh-CN"/>
                    </w:rPr>
                    <w:t>本项目严格落实主要污染物总量控制</w:t>
                  </w:r>
                  <w:r>
                    <w:rPr>
                      <w:rFonts w:hint="default" w:ascii="Times New Roman" w:hAnsi="Times New Roman" w:eastAsia="宋体" w:cs="Times New Roman"/>
                      <w:color w:val="FF0000"/>
                      <w:sz w:val="20"/>
                      <w:szCs w:val="20"/>
                      <w:highlight w:val="none"/>
                      <w:lang w:val="en-US" w:eastAsia="zh-CN"/>
                    </w:rPr>
                    <w:t>要求</w:t>
                  </w:r>
                  <w:r>
                    <w:rPr>
                      <w:rFonts w:hint="eastAsia" w:ascii="Times New Roman" w:hAnsi="Times New Roman" w:cs="Times New Roman"/>
                      <w:color w:val="FF0000"/>
                      <w:sz w:val="20"/>
                      <w:szCs w:val="20"/>
                      <w:highlight w:val="none"/>
                      <w:lang w:val="en-US" w:eastAsia="zh-CN"/>
                    </w:rPr>
                    <w:t>。</w:t>
                  </w:r>
                </w:p>
              </w:tc>
              <w:tc>
                <w:tcPr>
                  <w:tcW w:w="568" w:type="pct"/>
                  <w:noWrap w:val="0"/>
                  <w:vAlign w:val="center"/>
                </w:tcPr>
                <w:p w14:paraId="4DCC8221">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符合</w:t>
                  </w:r>
                </w:p>
              </w:tc>
            </w:tr>
            <w:tr w14:paraId="7AA0C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pct"/>
                  <w:vMerge w:val="continue"/>
                  <w:noWrap w:val="0"/>
                  <w:vAlign w:val="center"/>
                </w:tcPr>
                <w:p w14:paraId="2F0FA8B3">
                  <w:pPr>
                    <w:pStyle w:val="41"/>
                    <w:rPr>
                      <w:rFonts w:hint="default" w:ascii="Times New Roman" w:hAnsi="Times New Roman" w:eastAsia="宋体" w:cs="Times New Roman"/>
                      <w:color w:val="auto"/>
                      <w:sz w:val="20"/>
                      <w:szCs w:val="20"/>
                      <w:highlight w:val="none"/>
                      <w:lang w:eastAsia="zh-CN"/>
                    </w:rPr>
                  </w:pPr>
                </w:p>
              </w:tc>
              <w:tc>
                <w:tcPr>
                  <w:tcW w:w="2567" w:type="pct"/>
                  <w:noWrap w:val="0"/>
                  <w:vAlign w:val="center"/>
                </w:tcPr>
                <w:p w14:paraId="0D411FBB">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3.废水应当按照要求进行预处理，达到行业排放标准或是综合排放标准后方可排放。</w:t>
                  </w:r>
                </w:p>
              </w:tc>
              <w:tc>
                <w:tcPr>
                  <w:tcW w:w="1430" w:type="pct"/>
                  <w:vMerge w:val="restart"/>
                  <w:noWrap w:val="0"/>
                  <w:vAlign w:val="center"/>
                </w:tcPr>
                <w:p w14:paraId="27EC3481">
                  <w:pPr>
                    <w:pStyle w:val="41"/>
                    <w:rPr>
                      <w:rFonts w:hint="default" w:ascii="Times New Roman" w:hAnsi="Times New Roman" w:eastAsia="宋体" w:cs="Times New Roman"/>
                      <w:color w:val="FF0000"/>
                      <w:sz w:val="20"/>
                      <w:szCs w:val="20"/>
                      <w:highlight w:val="none"/>
                      <w:lang w:eastAsia="zh-CN"/>
                    </w:rPr>
                  </w:pPr>
                  <w:r>
                    <w:rPr>
                      <w:rFonts w:hint="default" w:ascii="Times New Roman" w:hAnsi="Times New Roman" w:eastAsia="宋体" w:cs="Times New Roman"/>
                      <w:color w:val="FF0000"/>
                      <w:sz w:val="20"/>
                      <w:szCs w:val="20"/>
                      <w:highlight w:val="none"/>
                      <w:lang w:eastAsia="zh-CN"/>
                    </w:rPr>
                    <w:t>本项目</w:t>
                  </w:r>
                  <w:r>
                    <w:rPr>
                      <w:rFonts w:hint="eastAsia" w:ascii="Times New Roman" w:hAnsi="Times New Roman" w:eastAsia="宋体" w:cs="Times New Roman"/>
                      <w:color w:val="FF0000"/>
                      <w:sz w:val="20"/>
                      <w:szCs w:val="20"/>
                      <w:highlight w:val="none"/>
                      <w:lang w:eastAsia="zh-CN"/>
                    </w:rPr>
                    <w:t>生产过程中无废水外排；项目</w:t>
                  </w:r>
                  <w:r>
                    <w:rPr>
                      <w:rFonts w:hint="default" w:ascii="Times New Roman" w:hAnsi="Times New Roman" w:eastAsia="宋体" w:cs="Times New Roman"/>
                      <w:color w:val="FF0000"/>
                      <w:sz w:val="20"/>
                      <w:szCs w:val="20"/>
                      <w:highlight w:val="none"/>
                      <w:lang w:val="en-US" w:eastAsia="zh-CN"/>
                    </w:rPr>
                    <w:t>生活废水经</w:t>
                  </w:r>
                  <w:r>
                    <w:rPr>
                      <w:rFonts w:hint="eastAsia" w:ascii="Times New Roman" w:hAnsi="Times New Roman" w:eastAsia="宋体" w:cs="Times New Roman"/>
                      <w:color w:val="FF0000"/>
                      <w:sz w:val="20"/>
                      <w:szCs w:val="20"/>
                      <w:highlight w:val="none"/>
                      <w:lang w:val="en-US" w:eastAsia="zh-CN"/>
                    </w:rPr>
                    <w:t>化粪池暂存</w:t>
                  </w:r>
                  <w:r>
                    <w:rPr>
                      <w:rFonts w:hint="default" w:ascii="Times New Roman" w:hAnsi="Times New Roman" w:eastAsia="宋体" w:cs="Times New Roman"/>
                      <w:color w:val="FF0000"/>
                      <w:sz w:val="20"/>
                      <w:szCs w:val="20"/>
                      <w:highlight w:val="none"/>
                      <w:lang w:val="en-US" w:eastAsia="zh-CN"/>
                    </w:rPr>
                    <w:t>后，</w:t>
                  </w:r>
                  <w:r>
                    <w:rPr>
                      <w:rFonts w:hint="eastAsia" w:ascii="Times New Roman" w:hAnsi="Times New Roman" w:eastAsia="宋体" w:cs="Times New Roman"/>
                      <w:color w:val="FF0000"/>
                      <w:sz w:val="20"/>
                      <w:szCs w:val="20"/>
                      <w:highlight w:val="none"/>
                      <w:lang w:val="en-US" w:eastAsia="zh-CN"/>
                    </w:rPr>
                    <w:t>由环卫部门定期清运</w:t>
                  </w:r>
                  <w:r>
                    <w:rPr>
                      <w:rFonts w:hint="eastAsia" w:ascii="Times New Roman" w:hAnsi="Times New Roman" w:cs="Times New Roman"/>
                      <w:color w:val="FF0000"/>
                      <w:sz w:val="20"/>
                      <w:szCs w:val="20"/>
                      <w:highlight w:val="none"/>
                      <w:lang w:val="en-US" w:eastAsia="zh-CN"/>
                    </w:rPr>
                    <w:t>。</w:t>
                  </w:r>
                </w:p>
              </w:tc>
              <w:tc>
                <w:tcPr>
                  <w:tcW w:w="568" w:type="pct"/>
                  <w:vMerge w:val="restart"/>
                  <w:noWrap w:val="0"/>
                  <w:vAlign w:val="center"/>
                </w:tcPr>
                <w:p w14:paraId="4DFEF1F6">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符合</w:t>
                  </w:r>
                </w:p>
              </w:tc>
            </w:tr>
            <w:tr w14:paraId="77970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pct"/>
                  <w:vMerge w:val="continue"/>
                  <w:noWrap w:val="0"/>
                  <w:vAlign w:val="center"/>
                </w:tcPr>
                <w:p w14:paraId="15769F06">
                  <w:pPr>
                    <w:pStyle w:val="41"/>
                    <w:rPr>
                      <w:rFonts w:hint="default" w:ascii="Times New Roman" w:hAnsi="Times New Roman" w:eastAsia="宋体" w:cs="Times New Roman"/>
                      <w:color w:val="auto"/>
                      <w:sz w:val="20"/>
                      <w:szCs w:val="20"/>
                      <w:highlight w:val="none"/>
                      <w:lang w:eastAsia="zh-CN"/>
                    </w:rPr>
                  </w:pPr>
                </w:p>
              </w:tc>
              <w:tc>
                <w:tcPr>
                  <w:tcW w:w="2567" w:type="pct"/>
                  <w:noWrap w:val="0"/>
                  <w:vAlign w:val="center"/>
                </w:tcPr>
                <w:p w14:paraId="615A3AAC">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4.禁止工业废水和生活污水未经处理直排环境；原则上除工业污水集中处理设施、城镇污水处理厂外不得新建入河排污口。</w:t>
                  </w:r>
                </w:p>
              </w:tc>
              <w:tc>
                <w:tcPr>
                  <w:tcW w:w="1430" w:type="pct"/>
                  <w:vMerge w:val="continue"/>
                  <w:noWrap w:val="0"/>
                  <w:vAlign w:val="center"/>
                </w:tcPr>
                <w:p w14:paraId="5091EF3B">
                  <w:pPr>
                    <w:pStyle w:val="41"/>
                    <w:rPr>
                      <w:rFonts w:hint="default" w:ascii="Times New Roman" w:hAnsi="Times New Roman" w:eastAsia="宋体" w:cs="Times New Roman"/>
                      <w:color w:val="FF0000"/>
                      <w:sz w:val="20"/>
                      <w:szCs w:val="20"/>
                      <w:highlight w:val="none"/>
                      <w:lang w:eastAsia="zh-CN"/>
                    </w:rPr>
                  </w:pPr>
                </w:p>
              </w:tc>
              <w:tc>
                <w:tcPr>
                  <w:tcW w:w="568" w:type="pct"/>
                  <w:vMerge w:val="continue"/>
                  <w:noWrap w:val="0"/>
                  <w:vAlign w:val="center"/>
                </w:tcPr>
                <w:p w14:paraId="558915BC">
                  <w:pPr>
                    <w:pStyle w:val="41"/>
                    <w:rPr>
                      <w:rFonts w:hint="default" w:ascii="Times New Roman" w:hAnsi="Times New Roman" w:eastAsia="宋体" w:cs="Times New Roman"/>
                      <w:color w:val="auto"/>
                      <w:sz w:val="20"/>
                      <w:szCs w:val="20"/>
                      <w:highlight w:val="none"/>
                      <w:lang w:eastAsia="zh-CN"/>
                    </w:rPr>
                  </w:pPr>
                </w:p>
              </w:tc>
            </w:tr>
            <w:tr w14:paraId="0B812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pct"/>
                  <w:vMerge w:val="continue"/>
                  <w:noWrap w:val="0"/>
                  <w:vAlign w:val="center"/>
                </w:tcPr>
                <w:p w14:paraId="4D362E94">
                  <w:pPr>
                    <w:pStyle w:val="41"/>
                    <w:rPr>
                      <w:rFonts w:hint="default" w:ascii="Times New Roman" w:hAnsi="Times New Roman" w:eastAsia="宋体" w:cs="Times New Roman"/>
                      <w:color w:val="auto"/>
                      <w:sz w:val="20"/>
                      <w:szCs w:val="20"/>
                      <w:highlight w:val="none"/>
                      <w:lang w:eastAsia="zh-CN"/>
                    </w:rPr>
                  </w:pPr>
                </w:p>
              </w:tc>
              <w:tc>
                <w:tcPr>
                  <w:tcW w:w="2567" w:type="pct"/>
                  <w:noWrap w:val="0"/>
                  <w:vAlign w:val="center"/>
                </w:tcPr>
                <w:p w14:paraId="5BA451CB">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5.包装印刷、表面涂装等涉VOCs排放的行业，严格按照淄博市行业环境管控要求，实施源头替代，建立健全治理设施，确保污染物稳定达标排放，做到持证排污。</w:t>
                  </w:r>
                </w:p>
              </w:tc>
              <w:tc>
                <w:tcPr>
                  <w:tcW w:w="1430" w:type="pct"/>
                  <w:noWrap w:val="0"/>
                  <w:vAlign w:val="center"/>
                </w:tcPr>
                <w:p w14:paraId="3D4AC715">
                  <w:pPr>
                    <w:pStyle w:val="41"/>
                    <w:rPr>
                      <w:rFonts w:hint="default" w:ascii="Times New Roman" w:hAnsi="Times New Roman" w:eastAsia="宋体" w:cs="Times New Roman"/>
                      <w:color w:val="FF0000"/>
                      <w:sz w:val="20"/>
                      <w:szCs w:val="20"/>
                      <w:highlight w:val="none"/>
                      <w:lang w:val="en-US" w:eastAsia="zh-CN"/>
                    </w:rPr>
                  </w:pPr>
                  <w:r>
                    <w:rPr>
                      <w:rFonts w:hint="default" w:ascii="Times New Roman" w:hAnsi="Times New Roman" w:eastAsia="宋体" w:cs="Times New Roman"/>
                      <w:color w:val="FF0000"/>
                      <w:sz w:val="20"/>
                      <w:szCs w:val="20"/>
                      <w:highlight w:val="none"/>
                      <w:lang w:eastAsia="zh-CN"/>
                    </w:rPr>
                    <w:t>本项目不</w:t>
                  </w:r>
                  <w:r>
                    <w:rPr>
                      <w:rFonts w:hint="default" w:ascii="Times New Roman" w:hAnsi="Times New Roman" w:eastAsia="宋体" w:cs="Times New Roman"/>
                      <w:color w:val="FF0000"/>
                      <w:sz w:val="20"/>
                      <w:szCs w:val="20"/>
                      <w:highlight w:val="none"/>
                      <w:lang w:val="en-US" w:eastAsia="zh-CN"/>
                    </w:rPr>
                    <w:t>涉及</w:t>
                  </w:r>
                  <w:r>
                    <w:rPr>
                      <w:rFonts w:hint="eastAsia" w:ascii="Times New Roman" w:hAnsi="Times New Roman" w:cs="Times New Roman"/>
                      <w:color w:val="FF0000"/>
                      <w:sz w:val="20"/>
                      <w:szCs w:val="20"/>
                      <w:highlight w:val="none"/>
                      <w:lang w:val="en-US" w:eastAsia="zh-CN"/>
                    </w:rPr>
                    <w:t>包装印刷工序，项目封边工序产生少量VOCs，已健全治理设施（采取二级活性炭吸附处理）并实施有组织排放，</w:t>
                  </w:r>
                  <w:r>
                    <w:rPr>
                      <w:rFonts w:hint="default" w:ascii="Times New Roman" w:hAnsi="Times New Roman" w:eastAsia="宋体" w:cs="Times New Roman"/>
                      <w:color w:val="FF0000"/>
                      <w:sz w:val="20"/>
                      <w:szCs w:val="20"/>
                      <w:highlight w:val="none"/>
                      <w:lang w:eastAsia="zh-CN"/>
                    </w:rPr>
                    <w:t>确保污染物稳定达标排放，</w:t>
                  </w:r>
                  <w:r>
                    <w:rPr>
                      <w:rFonts w:hint="eastAsia" w:ascii="Times New Roman" w:hAnsi="Times New Roman" w:eastAsia="宋体" w:cs="Times New Roman"/>
                      <w:color w:val="FF0000"/>
                      <w:sz w:val="20"/>
                      <w:szCs w:val="20"/>
                      <w:highlight w:val="none"/>
                      <w:lang w:eastAsia="zh-CN"/>
                    </w:rPr>
                    <w:t>并</w:t>
                  </w:r>
                  <w:r>
                    <w:rPr>
                      <w:rFonts w:hint="default" w:ascii="Times New Roman" w:hAnsi="Times New Roman" w:eastAsia="宋体" w:cs="Times New Roman"/>
                      <w:color w:val="FF0000"/>
                      <w:sz w:val="20"/>
                      <w:szCs w:val="20"/>
                      <w:highlight w:val="none"/>
                      <w:lang w:eastAsia="zh-CN"/>
                    </w:rPr>
                    <w:t>做到持证排污</w:t>
                  </w:r>
                  <w:r>
                    <w:rPr>
                      <w:rFonts w:hint="eastAsia" w:ascii="Times New Roman" w:hAnsi="Times New Roman" w:eastAsia="宋体" w:cs="Times New Roman"/>
                      <w:color w:val="FF0000"/>
                      <w:sz w:val="20"/>
                      <w:szCs w:val="20"/>
                      <w:highlight w:val="none"/>
                      <w:lang w:eastAsia="zh-CN"/>
                    </w:rPr>
                    <w:t>。</w:t>
                  </w:r>
                </w:p>
              </w:tc>
              <w:tc>
                <w:tcPr>
                  <w:tcW w:w="568" w:type="pct"/>
                  <w:noWrap w:val="0"/>
                  <w:vAlign w:val="center"/>
                </w:tcPr>
                <w:p w14:paraId="17A69BC9">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符合</w:t>
                  </w:r>
                </w:p>
              </w:tc>
            </w:tr>
            <w:tr w14:paraId="735D7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432" w:type="pct"/>
                  <w:vMerge w:val="continue"/>
                  <w:noWrap w:val="0"/>
                  <w:vAlign w:val="center"/>
                </w:tcPr>
                <w:p w14:paraId="6DA8052C">
                  <w:pPr>
                    <w:pStyle w:val="41"/>
                    <w:rPr>
                      <w:rFonts w:hint="default" w:ascii="Times New Roman" w:hAnsi="Times New Roman" w:eastAsia="宋体" w:cs="Times New Roman"/>
                      <w:color w:val="auto"/>
                      <w:sz w:val="20"/>
                      <w:szCs w:val="20"/>
                      <w:highlight w:val="none"/>
                      <w:lang w:eastAsia="zh-CN"/>
                    </w:rPr>
                  </w:pPr>
                </w:p>
              </w:tc>
              <w:tc>
                <w:tcPr>
                  <w:tcW w:w="2567" w:type="pct"/>
                  <w:noWrap w:val="0"/>
                  <w:vAlign w:val="center"/>
                </w:tcPr>
                <w:p w14:paraId="01BBFA13">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6.规模养殖场（小区）粪污处理设施装备配套率达到100%。通过管网截污、小型污水处理站和氧化塘、人工湿地等方式因地制宜处理处置农村生活污水，解决农村污水直排问题。</w:t>
                  </w:r>
                </w:p>
              </w:tc>
              <w:tc>
                <w:tcPr>
                  <w:tcW w:w="1430" w:type="pct"/>
                  <w:noWrap w:val="0"/>
                  <w:vAlign w:val="center"/>
                </w:tcPr>
                <w:p w14:paraId="11E593DE">
                  <w:pPr>
                    <w:pStyle w:val="41"/>
                    <w:rPr>
                      <w:rFonts w:hint="default" w:ascii="Times New Roman" w:hAnsi="Times New Roman" w:eastAsia="宋体" w:cs="Times New Roman"/>
                      <w:color w:val="FF0000"/>
                      <w:sz w:val="20"/>
                      <w:szCs w:val="20"/>
                      <w:highlight w:val="none"/>
                      <w:lang w:val="en-US" w:eastAsia="zh-CN"/>
                    </w:rPr>
                  </w:pPr>
                  <w:r>
                    <w:rPr>
                      <w:rFonts w:hint="default" w:ascii="Times New Roman" w:hAnsi="Times New Roman" w:eastAsia="宋体" w:cs="Times New Roman"/>
                      <w:color w:val="FF0000"/>
                      <w:sz w:val="20"/>
                      <w:szCs w:val="20"/>
                      <w:highlight w:val="none"/>
                      <w:lang w:eastAsia="zh-CN"/>
                    </w:rPr>
                    <w:t>本项目不</w:t>
                  </w:r>
                  <w:r>
                    <w:rPr>
                      <w:rFonts w:hint="default" w:ascii="Times New Roman" w:hAnsi="Times New Roman" w:eastAsia="宋体" w:cs="Times New Roman"/>
                      <w:color w:val="FF0000"/>
                      <w:sz w:val="20"/>
                      <w:szCs w:val="20"/>
                      <w:highlight w:val="none"/>
                      <w:lang w:val="en-US" w:eastAsia="zh-CN"/>
                    </w:rPr>
                    <w:t>涉及养殖</w:t>
                  </w:r>
                  <w:r>
                    <w:rPr>
                      <w:rFonts w:hint="eastAsia" w:ascii="Times New Roman" w:hAnsi="Times New Roman" w:cs="Times New Roman"/>
                      <w:color w:val="FF0000"/>
                      <w:sz w:val="20"/>
                      <w:szCs w:val="20"/>
                      <w:highlight w:val="none"/>
                      <w:lang w:val="en-US" w:eastAsia="zh-CN"/>
                    </w:rPr>
                    <w:t>。</w:t>
                  </w:r>
                </w:p>
              </w:tc>
              <w:tc>
                <w:tcPr>
                  <w:tcW w:w="568" w:type="pct"/>
                  <w:noWrap w:val="0"/>
                  <w:vAlign w:val="center"/>
                </w:tcPr>
                <w:p w14:paraId="4A8E09CD">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符合</w:t>
                  </w:r>
                </w:p>
              </w:tc>
            </w:tr>
            <w:tr w14:paraId="46D89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432" w:type="pct"/>
                  <w:vMerge w:val="continue"/>
                  <w:noWrap w:val="0"/>
                  <w:vAlign w:val="center"/>
                </w:tcPr>
                <w:p w14:paraId="52843C74">
                  <w:pPr>
                    <w:pStyle w:val="41"/>
                    <w:rPr>
                      <w:rFonts w:hint="default" w:ascii="Times New Roman" w:hAnsi="Times New Roman" w:eastAsia="宋体" w:cs="Times New Roman"/>
                      <w:color w:val="auto"/>
                      <w:sz w:val="20"/>
                      <w:szCs w:val="20"/>
                      <w:highlight w:val="none"/>
                      <w:lang w:eastAsia="zh-CN"/>
                    </w:rPr>
                  </w:pPr>
                </w:p>
              </w:tc>
              <w:tc>
                <w:tcPr>
                  <w:tcW w:w="2567" w:type="pct"/>
                  <w:noWrap w:val="0"/>
                  <w:vAlign w:val="center"/>
                </w:tcPr>
                <w:p w14:paraId="5DED54FB">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7.进一步加强对建设工程施工、建筑物拆除、交通运输、道路保洁、物料运输与堆存、采石取土、养护绿化等活动的扬尘管理。</w:t>
                  </w:r>
                </w:p>
              </w:tc>
              <w:tc>
                <w:tcPr>
                  <w:tcW w:w="1430" w:type="pct"/>
                  <w:noWrap w:val="0"/>
                  <w:vAlign w:val="center"/>
                </w:tcPr>
                <w:p w14:paraId="23CE200D">
                  <w:pPr>
                    <w:pStyle w:val="41"/>
                    <w:rPr>
                      <w:rFonts w:hint="default" w:ascii="Times New Roman" w:hAnsi="Times New Roman" w:eastAsia="宋体" w:cs="Times New Roman"/>
                      <w:color w:val="FF0000"/>
                      <w:sz w:val="20"/>
                      <w:szCs w:val="20"/>
                      <w:highlight w:val="none"/>
                      <w:lang w:val="en-US" w:eastAsia="zh-CN"/>
                    </w:rPr>
                  </w:pPr>
                  <w:r>
                    <w:rPr>
                      <w:rFonts w:hint="default" w:ascii="Times New Roman" w:hAnsi="Times New Roman" w:eastAsia="宋体" w:cs="Times New Roman"/>
                      <w:color w:val="FF0000"/>
                      <w:sz w:val="20"/>
                      <w:szCs w:val="20"/>
                      <w:highlight w:val="none"/>
                      <w:lang w:eastAsia="zh-CN"/>
                    </w:rPr>
                    <w:t>本项目</w:t>
                  </w:r>
                  <w:r>
                    <w:rPr>
                      <w:rFonts w:hint="default" w:ascii="Times New Roman" w:hAnsi="Times New Roman" w:eastAsia="宋体" w:cs="Times New Roman"/>
                      <w:color w:val="FF0000"/>
                      <w:sz w:val="20"/>
                      <w:szCs w:val="20"/>
                      <w:highlight w:val="none"/>
                      <w:lang w:val="en-US" w:eastAsia="zh-CN"/>
                    </w:rPr>
                    <w:t>不涉及所列工程</w:t>
                  </w:r>
                  <w:r>
                    <w:rPr>
                      <w:rFonts w:hint="eastAsia" w:ascii="Times New Roman" w:hAnsi="Times New Roman" w:cs="Times New Roman"/>
                      <w:color w:val="FF0000"/>
                      <w:sz w:val="20"/>
                      <w:szCs w:val="20"/>
                      <w:highlight w:val="none"/>
                      <w:lang w:val="en-US" w:eastAsia="zh-CN"/>
                    </w:rPr>
                    <w:t>。</w:t>
                  </w:r>
                </w:p>
              </w:tc>
              <w:tc>
                <w:tcPr>
                  <w:tcW w:w="568" w:type="pct"/>
                  <w:noWrap w:val="0"/>
                  <w:vAlign w:val="center"/>
                </w:tcPr>
                <w:p w14:paraId="185CB2FE">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符合</w:t>
                  </w:r>
                </w:p>
              </w:tc>
            </w:tr>
            <w:tr w14:paraId="20E17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pct"/>
                  <w:vMerge w:val="restart"/>
                  <w:noWrap w:val="0"/>
                  <w:vAlign w:val="center"/>
                </w:tcPr>
                <w:p w14:paraId="5A73764B">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环境风险防控</w:t>
                  </w:r>
                </w:p>
              </w:tc>
              <w:tc>
                <w:tcPr>
                  <w:tcW w:w="2567" w:type="pct"/>
                  <w:noWrap w:val="0"/>
                  <w:vAlign w:val="center"/>
                </w:tcPr>
                <w:p w14:paraId="74FC7E4A">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1.紧邻居住、科教、医院等环境敏感点的工业用地，禁止新建环境风险潜势等级高的建设项目；现有项目严格落实环评及批复环境风险防控要求。</w:t>
                  </w:r>
                </w:p>
              </w:tc>
              <w:tc>
                <w:tcPr>
                  <w:tcW w:w="1430" w:type="pct"/>
                  <w:noWrap w:val="0"/>
                  <w:vAlign w:val="center"/>
                </w:tcPr>
                <w:p w14:paraId="5A4E19CE">
                  <w:pPr>
                    <w:pStyle w:val="41"/>
                    <w:rPr>
                      <w:rFonts w:hint="default" w:ascii="Times New Roman" w:hAnsi="Times New Roman" w:eastAsia="宋体" w:cs="Times New Roman"/>
                      <w:color w:val="FF0000"/>
                      <w:sz w:val="20"/>
                      <w:szCs w:val="20"/>
                      <w:highlight w:val="none"/>
                      <w:lang w:eastAsia="zh-CN"/>
                    </w:rPr>
                  </w:pPr>
                  <w:r>
                    <w:rPr>
                      <w:rFonts w:hint="default" w:ascii="Times New Roman" w:hAnsi="Times New Roman" w:eastAsia="宋体" w:cs="Times New Roman"/>
                      <w:color w:val="FF0000"/>
                      <w:sz w:val="20"/>
                      <w:szCs w:val="20"/>
                      <w:highlight w:val="none"/>
                      <w:lang w:eastAsia="zh-CN"/>
                    </w:rPr>
                    <w:t>本项目</w:t>
                  </w:r>
                  <w:r>
                    <w:rPr>
                      <w:rFonts w:hint="default" w:ascii="Times New Roman" w:hAnsi="Times New Roman" w:eastAsia="宋体" w:cs="Times New Roman"/>
                      <w:color w:val="FF0000"/>
                      <w:sz w:val="20"/>
                      <w:szCs w:val="20"/>
                      <w:highlight w:val="none"/>
                      <w:lang w:val="en-US" w:eastAsia="zh-CN"/>
                    </w:rPr>
                    <w:t>为新建项目，周边500m范围内无环境敏感目标</w:t>
                  </w:r>
                  <w:r>
                    <w:rPr>
                      <w:rFonts w:hint="eastAsia" w:ascii="Times New Roman" w:hAnsi="Times New Roman" w:cs="Times New Roman"/>
                      <w:color w:val="FF0000"/>
                      <w:sz w:val="20"/>
                      <w:szCs w:val="20"/>
                      <w:highlight w:val="none"/>
                      <w:lang w:val="en-US" w:eastAsia="zh-CN"/>
                    </w:rPr>
                    <w:t>。</w:t>
                  </w:r>
                </w:p>
              </w:tc>
              <w:tc>
                <w:tcPr>
                  <w:tcW w:w="568" w:type="pct"/>
                  <w:noWrap w:val="0"/>
                  <w:vAlign w:val="center"/>
                </w:tcPr>
                <w:p w14:paraId="2960A95A">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符合</w:t>
                  </w:r>
                </w:p>
              </w:tc>
            </w:tr>
            <w:tr w14:paraId="155D5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pct"/>
                  <w:vMerge w:val="continue"/>
                  <w:noWrap w:val="0"/>
                  <w:vAlign w:val="center"/>
                </w:tcPr>
                <w:p w14:paraId="07501816">
                  <w:pPr>
                    <w:pStyle w:val="41"/>
                    <w:rPr>
                      <w:rFonts w:hint="default" w:ascii="Times New Roman" w:hAnsi="Times New Roman" w:eastAsia="宋体" w:cs="Times New Roman"/>
                      <w:color w:val="auto"/>
                      <w:sz w:val="20"/>
                      <w:szCs w:val="20"/>
                      <w:highlight w:val="none"/>
                      <w:lang w:eastAsia="zh-CN"/>
                    </w:rPr>
                  </w:pPr>
                </w:p>
              </w:tc>
              <w:tc>
                <w:tcPr>
                  <w:tcW w:w="2567" w:type="pct"/>
                  <w:noWrap w:val="0"/>
                  <w:vAlign w:val="center"/>
                </w:tcPr>
                <w:p w14:paraId="2198FEFD">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2.加强农田土壤、灌溉水的监测，对周边区域环境风险源进行评估。</w:t>
                  </w:r>
                </w:p>
              </w:tc>
              <w:tc>
                <w:tcPr>
                  <w:tcW w:w="1430" w:type="pct"/>
                  <w:noWrap w:val="0"/>
                  <w:vAlign w:val="center"/>
                </w:tcPr>
                <w:p w14:paraId="05D6FBC9">
                  <w:pPr>
                    <w:pStyle w:val="41"/>
                    <w:rPr>
                      <w:rFonts w:hint="default" w:ascii="Times New Roman" w:hAnsi="Times New Roman" w:eastAsia="宋体" w:cs="Times New Roman"/>
                      <w:color w:val="FF0000"/>
                      <w:sz w:val="20"/>
                      <w:szCs w:val="20"/>
                      <w:highlight w:val="none"/>
                      <w:lang w:val="en-US" w:eastAsia="zh-CN"/>
                    </w:rPr>
                  </w:pPr>
                  <w:r>
                    <w:rPr>
                      <w:rFonts w:hint="default" w:ascii="Times New Roman" w:hAnsi="Times New Roman" w:eastAsia="宋体" w:cs="Times New Roman"/>
                      <w:color w:val="FF0000"/>
                      <w:sz w:val="20"/>
                      <w:szCs w:val="20"/>
                      <w:highlight w:val="none"/>
                      <w:lang w:eastAsia="zh-CN"/>
                    </w:rPr>
                    <w:t>项目</w:t>
                  </w:r>
                  <w:r>
                    <w:rPr>
                      <w:rFonts w:hint="default" w:ascii="Times New Roman" w:hAnsi="Times New Roman" w:eastAsia="宋体" w:cs="Times New Roman"/>
                      <w:color w:val="FF0000"/>
                      <w:sz w:val="20"/>
                      <w:szCs w:val="20"/>
                      <w:highlight w:val="none"/>
                      <w:lang w:val="en-US" w:eastAsia="zh-CN"/>
                    </w:rPr>
                    <w:t>周边不涉及农田</w:t>
                  </w:r>
                  <w:r>
                    <w:rPr>
                      <w:rFonts w:hint="eastAsia" w:ascii="Times New Roman" w:hAnsi="Times New Roman" w:cs="Times New Roman"/>
                      <w:color w:val="FF0000"/>
                      <w:sz w:val="20"/>
                      <w:szCs w:val="20"/>
                      <w:highlight w:val="none"/>
                      <w:lang w:val="en-US" w:eastAsia="zh-CN"/>
                    </w:rPr>
                    <w:t>。</w:t>
                  </w:r>
                </w:p>
              </w:tc>
              <w:tc>
                <w:tcPr>
                  <w:tcW w:w="568" w:type="pct"/>
                  <w:noWrap w:val="0"/>
                  <w:vAlign w:val="center"/>
                </w:tcPr>
                <w:p w14:paraId="1CD573B1">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符合</w:t>
                  </w:r>
                </w:p>
              </w:tc>
            </w:tr>
            <w:tr w14:paraId="36C56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pct"/>
                  <w:vMerge w:val="continue"/>
                  <w:noWrap w:val="0"/>
                  <w:vAlign w:val="center"/>
                </w:tcPr>
                <w:p w14:paraId="0AAFBF29">
                  <w:pPr>
                    <w:pStyle w:val="41"/>
                    <w:rPr>
                      <w:rFonts w:hint="default" w:ascii="Times New Roman" w:hAnsi="Times New Roman" w:eastAsia="宋体" w:cs="Times New Roman"/>
                      <w:color w:val="auto"/>
                      <w:sz w:val="20"/>
                      <w:szCs w:val="20"/>
                      <w:highlight w:val="none"/>
                      <w:lang w:eastAsia="zh-CN"/>
                    </w:rPr>
                  </w:pPr>
                </w:p>
              </w:tc>
              <w:tc>
                <w:tcPr>
                  <w:tcW w:w="2567" w:type="pct"/>
                  <w:noWrap w:val="0"/>
                  <w:vAlign w:val="center"/>
                </w:tcPr>
                <w:p w14:paraId="11C1C98D">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3.企业事业单位根据法律法规和管理部门要求按照《企业事业单位突发环境事件应急预案备案管理办法（试行）》等要求，依法依规编制环境应急预案并定期开展演练。</w:t>
                  </w:r>
                </w:p>
              </w:tc>
              <w:tc>
                <w:tcPr>
                  <w:tcW w:w="1430" w:type="pct"/>
                  <w:noWrap w:val="0"/>
                  <w:vAlign w:val="center"/>
                </w:tcPr>
                <w:p w14:paraId="67EB255A">
                  <w:pPr>
                    <w:pStyle w:val="41"/>
                    <w:rPr>
                      <w:rFonts w:hint="default" w:ascii="Times New Roman" w:hAnsi="Times New Roman" w:eastAsia="宋体" w:cs="Times New Roman"/>
                      <w:color w:val="FF0000"/>
                      <w:sz w:val="20"/>
                      <w:szCs w:val="20"/>
                      <w:highlight w:val="none"/>
                      <w:lang w:eastAsia="zh-CN"/>
                    </w:rPr>
                  </w:pPr>
                  <w:r>
                    <w:rPr>
                      <w:rFonts w:hint="default" w:ascii="Times New Roman" w:hAnsi="Times New Roman" w:eastAsia="宋体" w:cs="Times New Roman"/>
                      <w:color w:val="FF0000"/>
                      <w:sz w:val="20"/>
                      <w:szCs w:val="20"/>
                      <w:highlight w:val="none"/>
                      <w:lang w:eastAsia="zh-CN"/>
                    </w:rPr>
                    <w:t>本项目正式投产前，将依法依规编制环境应急预案，正式运行后将定期开展演练</w:t>
                  </w:r>
                  <w:r>
                    <w:rPr>
                      <w:rFonts w:hint="eastAsia" w:ascii="Times New Roman" w:hAnsi="Times New Roman" w:cs="Times New Roman"/>
                      <w:color w:val="FF0000"/>
                      <w:sz w:val="20"/>
                      <w:szCs w:val="20"/>
                      <w:highlight w:val="none"/>
                      <w:lang w:eastAsia="zh-CN"/>
                    </w:rPr>
                    <w:t>。</w:t>
                  </w:r>
                </w:p>
              </w:tc>
              <w:tc>
                <w:tcPr>
                  <w:tcW w:w="568" w:type="pct"/>
                  <w:noWrap w:val="0"/>
                  <w:vAlign w:val="center"/>
                </w:tcPr>
                <w:p w14:paraId="4FD76CF9">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符合</w:t>
                  </w:r>
                </w:p>
              </w:tc>
            </w:tr>
            <w:tr w14:paraId="6D1BC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432" w:type="pct"/>
                  <w:vMerge w:val="continue"/>
                  <w:noWrap w:val="0"/>
                  <w:vAlign w:val="center"/>
                </w:tcPr>
                <w:p w14:paraId="2AFEE940">
                  <w:pPr>
                    <w:pStyle w:val="41"/>
                    <w:rPr>
                      <w:rFonts w:hint="default" w:ascii="Times New Roman" w:hAnsi="Times New Roman" w:eastAsia="宋体" w:cs="Times New Roman"/>
                      <w:color w:val="auto"/>
                      <w:sz w:val="20"/>
                      <w:szCs w:val="20"/>
                      <w:highlight w:val="none"/>
                      <w:lang w:eastAsia="zh-CN"/>
                    </w:rPr>
                  </w:pPr>
                </w:p>
              </w:tc>
              <w:tc>
                <w:tcPr>
                  <w:tcW w:w="2567" w:type="pct"/>
                  <w:noWrap w:val="0"/>
                  <w:vAlign w:val="center"/>
                </w:tcPr>
                <w:p w14:paraId="58D9DDF9">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4.建立各企业危险废物的贮存、申报、经营许可（无废城市建设豁免的除外）、转移及处置管理制度，并负责对危废相应活动的全程监管和环境安全保障。</w:t>
                  </w:r>
                </w:p>
              </w:tc>
              <w:tc>
                <w:tcPr>
                  <w:tcW w:w="1430" w:type="pct"/>
                  <w:noWrap w:val="0"/>
                  <w:vAlign w:val="center"/>
                </w:tcPr>
                <w:p w14:paraId="52E7DA02">
                  <w:pPr>
                    <w:pStyle w:val="41"/>
                    <w:rPr>
                      <w:rFonts w:hint="default" w:ascii="Times New Roman" w:hAnsi="Times New Roman" w:eastAsia="宋体" w:cs="Times New Roman"/>
                      <w:color w:val="FF0000"/>
                      <w:sz w:val="20"/>
                      <w:szCs w:val="20"/>
                      <w:highlight w:val="none"/>
                      <w:lang w:eastAsia="zh-CN"/>
                    </w:rPr>
                  </w:pPr>
                  <w:r>
                    <w:rPr>
                      <w:rFonts w:hint="default" w:ascii="Times New Roman" w:hAnsi="Times New Roman" w:eastAsia="宋体" w:cs="Times New Roman"/>
                      <w:color w:val="FF0000"/>
                      <w:sz w:val="20"/>
                      <w:szCs w:val="20"/>
                      <w:highlight w:val="none"/>
                      <w:lang w:eastAsia="zh-CN"/>
                    </w:rPr>
                    <w:t>本项目将</w:t>
                  </w:r>
                  <w:r>
                    <w:rPr>
                      <w:rFonts w:hint="default" w:ascii="Times New Roman" w:hAnsi="Times New Roman" w:eastAsia="宋体" w:cs="Times New Roman"/>
                      <w:color w:val="FF0000"/>
                      <w:sz w:val="20"/>
                      <w:szCs w:val="20"/>
                      <w:highlight w:val="none"/>
                      <w:lang w:val="en-US" w:eastAsia="zh-CN"/>
                    </w:rPr>
                    <w:t>按要求</w:t>
                  </w:r>
                  <w:r>
                    <w:rPr>
                      <w:rFonts w:hint="default" w:ascii="Times New Roman" w:hAnsi="Times New Roman" w:eastAsia="宋体" w:cs="Times New Roman"/>
                      <w:color w:val="FF0000"/>
                      <w:sz w:val="20"/>
                      <w:szCs w:val="20"/>
                      <w:highlight w:val="none"/>
                      <w:lang w:eastAsia="zh-CN"/>
                    </w:rPr>
                    <w:t>建立危险废物的贮存、申报、转移管理制度</w:t>
                  </w:r>
                  <w:r>
                    <w:rPr>
                      <w:rFonts w:hint="eastAsia" w:ascii="Times New Roman" w:hAnsi="Times New Roman" w:cs="Times New Roman"/>
                      <w:color w:val="FF0000"/>
                      <w:sz w:val="20"/>
                      <w:szCs w:val="20"/>
                      <w:highlight w:val="none"/>
                      <w:lang w:eastAsia="zh-CN"/>
                    </w:rPr>
                    <w:t>。</w:t>
                  </w:r>
                </w:p>
              </w:tc>
              <w:tc>
                <w:tcPr>
                  <w:tcW w:w="568" w:type="pct"/>
                  <w:noWrap w:val="0"/>
                  <w:vAlign w:val="center"/>
                </w:tcPr>
                <w:p w14:paraId="28714CCB">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符合</w:t>
                  </w:r>
                </w:p>
              </w:tc>
            </w:tr>
            <w:tr w14:paraId="546DA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432" w:type="pct"/>
                  <w:vMerge w:val="continue"/>
                  <w:noWrap w:val="0"/>
                  <w:vAlign w:val="center"/>
                </w:tcPr>
                <w:p w14:paraId="54E25EF2">
                  <w:pPr>
                    <w:pStyle w:val="41"/>
                    <w:rPr>
                      <w:rFonts w:hint="default" w:ascii="Times New Roman" w:hAnsi="Times New Roman" w:eastAsia="宋体" w:cs="Times New Roman"/>
                      <w:color w:val="auto"/>
                      <w:sz w:val="20"/>
                      <w:szCs w:val="20"/>
                      <w:highlight w:val="none"/>
                      <w:lang w:eastAsia="zh-CN"/>
                    </w:rPr>
                  </w:pPr>
                </w:p>
              </w:tc>
              <w:tc>
                <w:tcPr>
                  <w:tcW w:w="2567" w:type="pct"/>
                  <w:noWrap w:val="0"/>
                  <w:vAlign w:val="center"/>
                </w:tcPr>
                <w:p w14:paraId="18A664B4">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5.按照省市要求，做好清洁取暖改造工作。</w:t>
                  </w:r>
                </w:p>
              </w:tc>
              <w:tc>
                <w:tcPr>
                  <w:tcW w:w="1430" w:type="pct"/>
                  <w:noWrap w:val="0"/>
                  <w:vAlign w:val="center"/>
                </w:tcPr>
                <w:p w14:paraId="132D62E8">
                  <w:pPr>
                    <w:pStyle w:val="41"/>
                    <w:rPr>
                      <w:rFonts w:hint="default" w:ascii="Times New Roman" w:hAnsi="Times New Roman" w:eastAsia="宋体" w:cs="Times New Roman"/>
                      <w:color w:val="FF0000"/>
                      <w:sz w:val="20"/>
                      <w:szCs w:val="20"/>
                      <w:highlight w:val="none"/>
                      <w:lang w:val="en-US" w:eastAsia="zh-CN"/>
                    </w:rPr>
                  </w:pPr>
                  <w:r>
                    <w:rPr>
                      <w:rFonts w:hint="default" w:ascii="Times New Roman" w:hAnsi="Times New Roman" w:eastAsia="宋体" w:cs="Times New Roman"/>
                      <w:color w:val="FF0000"/>
                      <w:sz w:val="20"/>
                      <w:szCs w:val="20"/>
                      <w:highlight w:val="none"/>
                      <w:lang w:val="en-US" w:eastAsia="zh-CN"/>
                    </w:rPr>
                    <w:t>项目</w:t>
                  </w:r>
                  <w:r>
                    <w:rPr>
                      <w:rFonts w:hint="eastAsia" w:ascii="Times New Roman" w:hAnsi="Times New Roman" w:cs="Times New Roman"/>
                      <w:color w:val="FF0000"/>
                      <w:sz w:val="20"/>
                      <w:szCs w:val="20"/>
                      <w:highlight w:val="none"/>
                      <w:lang w:val="en-US" w:eastAsia="zh-CN"/>
                    </w:rPr>
                    <w:t>办公室</w:t>
                  </w:r>
                  <w:r>
                    <w:rPr>
                      <w:rFonts w:hint="default" w:ascii="Times New Roman" w:hAnsi="Times New Roman" w:eastAsia="宋体" w:cs="Times New Roman"/>
                      <w:color w:val="FF0000"/>
                      <w:sz w:val="20"/>
                      <w:szCs w:val="20"/>
                      <w:highlight w:val="none"/>
                      <w:lang w:val="en-US" w:eastAsia="zh-CN"/>
                    </w:rPr>
                    <w:t>采用空调取暖</w:t>
                  </w:r>
                  <w:r>
                    <w:rPr>
                      <w:rFonts w:hint="eastAsia" w:ascii="Times New Roman" w:hAnsi="Times New Roman" w:cs="Times New Roman"/>
                      <w:color w:val="FF0000"/>
                      <w:sz w:val="20"/>
                      <w:szCs w:val="20"/>
                      <w:highlight w:val="none"/>
                      <w:lang w:val="en-US" w:eastAsia="zh-CN"/>
                    </w:rPr>
                    <w:t>。</w:t>
                  </w:r>
                </w:p>
              </w:tc>
              <w:tc>
                <w:tcPr>
                  <w:tcW w:w="568" w:type="pct"/>
                  <w:noWrap w:val="0"/>
                  <w:vAlign w:val="center"/>
                </w:tcPr>
                <w:p w14:paraId="48C0B060">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符合</w:t>
                  </w:r>
                </w:p>
              </w:tc>
            </w:tr>
            <w:tr w14:paraId="1610F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pct"/>
                  <w:vMerge w:val="restart"/>
                  <w:noWrap w:val="0"/>
                  <w:vAlign w:val="center"/>
                </w:tcPr>
                <w:p w14:paraId="138C9DBB">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资源开发效率要求</w:t>
                  </w:r>
                </w:p>
              </w:tc>
              <w:tc>
                <w:tcPr>
                  <w:tcW w:w="2567" w:type="pct"/>
                  <w:noWrap w:val="0"/>
                  <w:vAlign w:val="center"/>
                </w:tcPr>
                <w:p w14:paraId="2460E435">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1.高污染燃料禁燃区内执行淄博市高污染燃料禁燃区划定文件的管控要求。</w:t>
                  </w:r>
                </w:p>
              </w:tc>
              <w:tc>
                <w:tcPr>
                  <w:tcW w:w="1430" w:type="pct"/>
                  <w:noWrap w:val="0"/>
                  <w:vAlign w:val="center"/>
                </w:tcPr>
                <w:p w14:paraId="769CF689">
                  <w:pPr>
                    <w:pStyle w:val="41"/>
                    <w:rPr>
                      <w:rFonts w:hint="default" w:ascii="Times New Roman" w:hAnsi="Times New Roman" w:eastAsia="宋体" w:cs="Times New Roman"/>
                      <w:color w:val="FF0000"/>
                      <w:sz w:val="20"/>
                      <w:szCs w:val="20"/>
                      <w:highlight w:val="none"/>
                      <w:lang w:val="en-US" w:eastAsia="zh-CN"/>
                    </w:rPr>
                  </w:pPr>
                  <w:r>
                    <w:rPr>
                      <w:rFonts w:hint="default" w:ascii="Times New Roman" w:hAnsi="Times New Roman" w:eastAsia="宋体" w:cs="Times New Roman"/>
                      <w:color w:val="FF0000"/>
                      <w:sz w:val="20"/>
                      <w:szCs w:val="20"/>
                      <w:highlight w:val="none"/>
                      <w:lang w:val="en-US" w:eastAsia="zh-CN"/>
                    </w:rPr>
                    <w:t>本项目不涉及高污染燃料使用</w:t>
                  </w:r>
                  <w:r>
                    <w:rPr>
                      <w:rFonts w:hint="eastAsia" w:ascii="Times New Roman" w:hAnsi="Times New Roman" w:cs="Times New Roman"/>
                      <w:color w:val="FF0000"/>
                      <w:sz w:val="20"/>
                      <w:szCs w:val="20"/>
                      <w:highlight w:val="none"/>
                      <w:lang w:val="en-US" w:eastAsia="zh-CN"/>
                    </w:rPr>
                    <w:t>。</w:t>
                  </w:r>
                </w:p>
              </w:tc>
              <w:tc>
                <w:tcPr>
                  <w:tcW w:w="568" w:type="pct"/>
                  <w:noWrap w:val="0"/>
                  <w:vAlign w:val="center"/>
                </w:tcPr>
                <w:p w14:paraId="1F65A29D">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符合</w:t>
                  </w:r>
                </w:p>
              </w:tc>
            </w:tr>
            <w:tr w14:paraId="12055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pct"/>
                  <w:vMerge w:val="continue"/>
                  <w:noWrap w:val="0"/>
                  <w:vAlign w:val="center"/>
                </w:tcPr>
                <w:p w14:paraId="52215E2C">
                  <w:pPr>
                    <w:pStyle w:val="41"/>
                    <w:rPr>
                      <w:rFonts w:hint="default" w:ascii="Times New Roman" w:hAnsi="Times New Roman" w:eastAsia="宋体" w:cs="Times New Roman"/>
                      <w:color w:val="auto"/>
                      <w:sz w:val="20"/>
                      <w:szCs w:val="20"/>
                      <w:highlight w:val="none"/>
                      <w:lang w:eastAsia="zh-CN"/>
                    </w:rPr>
                  </w:pPr>
                </w:p>
              </w:tc>
              <w:tc>
                <w:tcPr>
                  <w:tcW w:w="2567" w:type="pct"/>
                  <w:noWrap w:val="0"/>
                  <w:vAlign w:val="center"/>
                </w:tcPr>
                <w:p w14:paraId="026ADA04">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2.加强农业节水，提高水资源使用效率。</w:t>
                  </w:r>
                </w:p>
              </w:tc>
              <w:tc>
                <w:tcPr>
                  <w:tcW w:w="1430" w:type="pct"/>
                  <w:noWrap w:val="0"/>
                  <w:vAlign w:val="center"/>
                </w:tcPr>
                <w:p w14:paraId="3A8A3657">
                  <w:pPr>
                    <w:pStyle w:val="41"/>
                    <w:rPr>
                      <w:rFonts w:hint="default" w:ascii="Times New Roman" w:hAnsi="Times New Roman" w:eastAsia="宋体" w:cs="Times New Roman"/>
                      <w:color w:val="FF0000"/>
                      <w:sz w:val="20"/>
                      <w:szCs w:val="20"/>
                      <w:highlight w:val="none"/>
                      <w:lang w:val="en-US" w:eastAsia="zh-CN"/>
                    </w:rPr>
                  </w:pPr>
                  <w:r>
                    <w:rPr>
                      <w:rFonts w:hint="default" w:ascii="Times New Roman" w:hAnsi="Times New Roman" w:eastAsia="宋体" w:cs="Times New Roman"/>
                      <w:color w:val="FF0000"/>
                      <w:sz w:val="20"/>
                      <w:szCs w:val="20"/>
                      <w:highlight w:val="none"/>
                      <w:lang w:val="en-US" w:eastAsia="zh-CN"/>
                    </w:rPr>
                    <w:t>本项目不涉及农业</w:t>
                  </w:r>
                  <w:r>
                    <w:rPr>
                      <w:rFonts w:hint="eastAsia" w:ascii="Times New Roman" w:hAnsi="Times New Roman" w:cs="Times New Roman"/>
                      <w:color w:val="FF0000"/>
                      <w:sz w:val="20"/>
                      <w:szCs w:val="20"/>
                      <w:highlight w:val="none"/>
                      <w:lang w:val="en-US" w:eastAsia="zh-CN"/>
                    </w:rPr>
                    <w:t>。</w:t>
                  </w:r>
                </w:p>
              </w:tc>
              <w:tc>
                <w:tcPr>
                  <w:tcW w:w="568" w:type="pct"/>
                  <w:noWrap w:val="0"/>
                  <w:vAlign w:val="center"/>
                </w:tcPr>
                <w:p w14:paraId="0DBFEFB3">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符合</w:t>
                  </w:r>
                </w:p>
              </w:tc>
            </w:tr>
            <w:tr w14:paraId="62F7F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pct"/>
                  <w:vMerge w:val="continue"/>
                  <w:noWrap w:val="0"/>
                  <w:vAlign w:val="center"/>
                </w:tcPr>
                <w:p w14:paraId="15E18BD0">
                  <w:pPr>
                    <w:pStyle w:val="41"/>
                    <w:rPr>
                      <w:rFonts w:hint="default" w:ascii="Times New Roman" w:hAnsi="Times New Roman" w:eastAsia="宋体" w:cs="Times New Roman"/>
                      <w:color w:val="auto"/>
                      <w:sz w:val="20"/>
                      <w:szCs w:val="20"/>
                      <w:highlight w:val="none"/>
                      <w:lang w:eastAsia="zh-CN"/>
                    </w:rPr>
                  </w:pPr>
                </w:p>
              </w:tc>
              <w:tc>
                <w:tcPr>
                  <w:tcW w:w="2567" w:type="pct"/>
                  <w:noWrap w:val="0"/>
                  <w:vAlign w:val="center"/>
                </w:tcPr>
                <w:p w14:paraId="6F042B3C">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3.提升土地集约化水平。</w:t>
                  </w:r>
                </w:p>
              </w:tc>
              <w:tc>
                <w:tcPr>
                  <w:tcW w:w="1430" w:type="pct"/>
                  <w:noWrap w:val="0"/>
                  <w:vAlign w:val="center"/>
                </w:tcPr>
                <w:p w14:paraId="3701555F">
                  <w:pPr>
                    <w:pStyle w:val="41"/>
                    <w:rPr>
                      <w:rFonts w:hint="default" w:ascii="Times New Roman" w:hAnsi="Times New Roman" w:eastAsia="宋体" w:cs="Times New Roman"/>
                      <w:color w:val="FF0000"/>
                      <w:sz w:val="20"/>
                      <w:szCs w:val="20"/>
                      <w:highlight w:val="none"/>
                      <w:lang w:val="en-US" w:eastAsia="zh-CN"/>
                    </w:rPr>
                  </w:pPr>
                  <w:r>
                    <w:rPr>
                      <w:rFonts w:hint="default" w:ascii="Times New Roman" w:hAnsi="Times New Roman" w:eastAsia="宋体" w:cs="Times New Roman"/>
                      <w:color w:val="FF0000"/>
                      <w:sz w:val="20"/>
                      <w:szCs w:val="20"/>
                      <w:highlight w:val="none"/>
                      <w:lang w:val="en-US" w:eastAsia="zh-CN"/>
                    </w:rPr>
                    <w:t>本项目位于淄博经开区南部创新创业园</w:t>
                  </w:r>
                  <w:r>
                    <w:rPr>
                      <w:rFonts w:hint="eastAsia" w:ascii="Times New Roman" w:hAnsi="Times New Roman" w:eastAsia="宋体" w:cs="Times New Roman"/>
                      <w:color w:val="FF0000"/>
                      <w:sz w:val="20"/>
                      <w:szCs w:val="20"/>
                      <w:highlight w:val="none"/>
                      <w:lang w:val="en-US" w:eastAsia="zh-CN"/>
                    </w:rPr>
                    <w:t>现有车间内，项目合理布置空间并提升土地集约化水平</w:t>
                  </w:r>
                  <w:r>
                    <w:rPr>
                      <w:rFonts w:hint="eastAsia" w:ascii="Times New Roman" w:hAnsi="Times New Roman" w:cs="Times New Roman"/>
                      <w:color w:val="FF0000"/>
                      <w:sz w:val="20"/>
                      <w:szCs w:val="20"/>
                      <w:highlight w:val="none"/>
                      <w:lang w:val="en-US" w:eastAsia="zh-CN"/>
                    </w:rPr>
                    <w:t>。</w:t>
                  </w:r>
                </w:p>
              </w:tc>
              <w:tc>
                <w:tcPr>
                  <w:tcW w:w="568" w:type="pct"/>
                  <w:noWrap w:val="0"/>
                  <w:vAlign w:val="center"/>
                </w:tcPr>
                <w:p w14:paraId="265360BC">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符合</w:t>
                  </w:r>
                </w:p>
              </w:tc>
            </w:tr>
            <w:tr w14:paraId="033B1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pct"/>
                  <w:vMerge w:val="continue"/>
                  <w:noWrap w:val="0"/>
                  <w:vAlign w:val="center"/>
                </w:tcPr>
                <w:p w14:paraId="3F446A1D">
                  <w:pPr>
                    <w:pStyle w:val="41"/>
                    <w:rPr>
                      <w:rFonts w:hint="default" w:ascii="Times New Roman" w:hAnsi="Times New Roman" w:eastAsia="宋体" w:cs="Times New Roman"/>
                      <w:color w:val="auto"/>
                      <w:sz w:val="20"/>
                      <w:szCs w:val="20"/>
                      <w:highlight w:val="none"/>
                      <w:lang w:eastAsia="zh-CN"/>
                    </w:rPr>
                  </w:pPr>
                </w:p>
              </w:tc>
              <w:tc>
                <w:tcPr>
                  <w:tcW w:w="2567" w:type="pct"/>
                  <w:noWrap w:val="0"/>
                  <w:vAlign w:val="center"/>
                </w:tcPr>
                <w:p w14:paraId="3CF7204F">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4.调整能源利用结构，控制煤炭消费量，实现减量化，鼓励使用清洁能源、新能源和可再生能源。</w:t>
                  </w:r>
                </w:p>
              </w:tc>
              <w:tc>
                <w:tcPr>
                  <w:tcW w:w="1430" w:type="pct"/>
                  <w:noWrap w:val="0"/>
                  <w:vAlign w:val="center"/>
                </w:tcPr>
                <w:p w14:paraId="0E45E9EC">
                  <w:pPr>
                    <w:pStyle w:val="41"/>
                    <w:rPr>
                      <w:rFonts w:hint="default" w:ascii="Times New Roman" w:hAnsi="Times New Roman" w:eastAsia="宋体" w:cs="Times New Roman"/>
                      <w:color w:val="FF0000"/>
                      <w:sz w:val="20"/>
                      <w:szCs w:val="20"/>
                      <w:highlight w:val="none"/>
                      <w:lang w:eastAsia="zh-CN"/>
                    </w:rPr>
                  </w:pPr>
                  <w:r>
                    <w:rPr>
                      <w:rFonts w:hint="default" w:ascii="Times New Roman" w:hAnsi="Times New Roman" w:eastAsia="宋体" w:cs="Times New Roman"/>
                      <w:color w:val="FF0000"/>
                      <w:sz w:val="20"/>
                      <w:szCs w:val="20"/>
                      <w:highlight w:val="none"/>
                      <w:lang w:eastAsia="zh-CN"/>
                    </w:rPr>
                    <w:t>本项目不使用煤炭，使用的能源主要为电，属于清洁能源</w:t>
                  </w:r>
                  <w:r>
                    <w:rPr>
                      <w:rFonts w:hint="eastAsia" w:ascii="Times New Roman" w:hAnsi="Times New Roman" w:cs="Times New Roman"/>
                      <w:color w:val="FF0000"/>
                      <w:sz w:val="20"/>
                      <w:szCs w:val="20"/>
                      <w:highlight w:val="none"/>
                      <w:lang w:eastAsia="zh-CN"/>
                    </w:rPr>
                    <w:t>。</w:t>
                  </w:r>
                </w:p>
              </w:tc>
              <w:tc>
                <w:tcPr>
                  <w:tcW w:w="568" w:type="pct"/>
                  <w:noWrap w:val="0"/>
                  <w:vAlign w:val="center"/>
                </w:tcPr>
                <w:p w14:paraId="6F80AB6B">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符合</w:t>
                  </w:r>
                </w:p>
              </w:tc>
            </w:tr>
          </w:tbl>
          <w:p w14:paraId="51423A18">
            <w:pPr>
              <w:pStyle w:val="38"/>
              <w:bidi w:val="0"/>
              <w:rPr>
                <w:rFonts w:hint="default"/>
                <w:color w:val="auto"/>
                <w:highlight w:val="none"/>
                <w:lang w:val="en-US" w:eastAsia="zh-CN"/>
              </w:rPr>
            </w:pPr>
            <w:r>
              <w:rPr>
                <w:rFonts w:hint="default"/>
                <w:color w:val="auto"/>
                <w:highlight w:val="none"/>
              </w:rPr>
              <w:t>由上表可知，本项目符合</w:t>
            </w:r>
            <w:r>
              <w:rPr>
                <w:rFonts w:hint="default"/>
                <w:color w:val="auto"/>
                <w:highlight w:val="none"/>
                <w:lang w:val="en-US" w:eastAsia="zh-CN"/>
              </w:rPr>
              <w:t>双杨镇管控单元</w:t>
            </w:r>
            <w:r>
              <w:rPr>
                <w:rFonts w:hint="default"/>
                <w:color w:val="auto"/>
                <w:highlight w:val="none"/>
              </w:rPr>
              <w:t>准入清单要求。</w:t>
            </w:r>
          </w:p>
          <w:p w14:paraId="540873BB">
            <w:pPr>
              <w:pStyle w:val="38"/>
              <w:ind w:firstLine="42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4、环保政策符合性</w:t>
            </w:r>
          </w:p>
          <w:p w14:paraId="634CAB44">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t>（1）与《山东省环境保护条例》符合性分析</w:t>
            </w:r>
          </w:p>
          <w:p w14:paraId="552CA9E8">
            <w:pPr>
              <w:pStyle w:val="39"/>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 xml:space="preserve"> 项目与《山东省环境保护条例》符合性分析</w:t>
            </w:r>
          </w:p>
          <w:tbl>
            <w:tblPr>
              <w:tblStyle w:val="29"/>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98"/>
              <w:gridCol w:w="4910"/>
              <w:gridCol w:w="2173"/>
              <w:gridCol w:w="786"/>
            </w:tblGrid>
            <w:tr w14:paraId="49F906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2" w:hRule="atLeast"/>
                <w:jc w:val="center"/>
              </w:trPr>
              <w:tc>
                <w:tcPr>
                  <w:tcW w:w="353" w:type="pct"/>
                  <w:vAlign w:val="center"/>
                </w:tcPr>
                <w:p w14:paraId="2D7F01D9">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序号</w:t>
                  </w:r>
                </w:p>
              </w:tc>
              <w:tc>
                <w:tcPr>
                  <w:tcW w:w="2899" w:type="pct"/>
                  <w:vAlign w:val="center"/>
                </w:tcPr>
                <w:p w14:paraId="7C76B021">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文件要求</w:t>
                  </w:r>
                </w:p>
              </w:tc>
              <w:tc>
                <w:tcPr>
                  <w:tcW w:w="1283" w:type="pct"/>
                  <w:vAlign w:val="center"/>
                </w:tcPr>
                <w:p w14:paraId="704FDB12">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本项目情况</w:t>
                  </w:r>
                </w:p>
              </w:tc>
              <w:tc>
                <w:tcPr>
                  <w:tcW w:w="464" w:type="pct"/>
                  <w:vAlign w:val="center"/>
                </w:tcPr>
                <w:p w14:paraId="42942FC2">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符合性</w:t>
                  </w:r>
                </w:p>
              </w:tc>
            </w:tr>
            <w:tr w14:paraId="04A65B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53" w:type="pct"/>
                  <w:vAlign w:val="center"/>
                </w:tcPr>
                <w:p w14:paraId="71870B2A">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第十五条</w:t>
                  </w:r>
                </w:p>
              </w:tc>
              <w:tc>
                <w:tcPr>
                  <w:tcW w:w="2899" w:type="pct"/>
                  <w:vAlign w:val="center"/>
                </w:tcPr>
                <w:p w14:paraId="64C42D89">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rPr>
                    <w:t>禁止建设不符合国家和省产业政策的小型造纸、制革、印染、染料、炼焦、炼硫、炼砷、炼汞、炼油、电镀、农药、石棉、水泥、玻璃、钢铁、火电以及其他严重污染环境的生产项目。已经建设的，由所在地的县级以上人民政府责令拆除或者关闭</w:t>
                  </w:r>
                  <w:r>
                    <w:rPr>
                      <w:rFonts w:hint="default" w:ascii="Times New Roman" w:hAnsi="Times New Roman" w:eastAsia="宋体" w:cs="Times New Roman"/>
                      <w:color w:val="auto"/>
                      <w:sz w:val="20"/>
                      <w:szCs w:val="20"/>
                      <w:highlight w:val="none"/>
                      <w:lang w:eastAsia="zh-CN"/>
                    </w:rPr>
                    <w:t>。</w:t>
                  </w:r>
                </w:p>
              </w:tc>
              <w:tc>
                <w:tcPr>
                  <w:tcW w:w="1283" w:type="pct"/>
                  <w:vAlign w:val="center"/>
                </w:tcPr>
                <w:p w14:paraId="5513D488">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rPr>
                    <w:t>本项目符合《产业结构调整指导目录》要求；不属于文件所列行业</w:t>
                  </w:r>
                  <w:r>
                    <w:rPr>
                      <w:rFonts w:hint="default" w:ascii="Times New Roman" w:hAnsi="Times New Roman" w:eastAsia="宋体" w:cs="Times New Roman"/>
                      <w:color w:val="auto"/>
                      <w:sz w:val="20"/>
                      <w:szCs w:val="20"/>
                      <w:highlight w:val="none"/>
                      <w:lang w:eastAsia="zh-CN"/>
                    </w:rPr>
                    <w:t>。</w:t>
                  </w:r>
                </w:p>
              </w:tc>
              <w:tc>
                <w:tcPr>
                  <w:tcW w:w="464" w:type="pct"/>
                  <w:vAlign w:val="center"/>
                </w:tcPr>
                <w:p w14:paraId="74CD5798">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r w14:paraId="0B8202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53" w:type="pct"/>
                  <w:vAlign w:val="center"/>
                </w:tcPr>
                <w:p w14:paraId="7D1226E0">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第十六条</w:t>
                  </w:r>
                </w:p>
              </w:tc>
              <w:tc>
                <w:tcPr>
                  <w:tcW w:w="2899" w:type="pct"/>
                  <w:vAlign w:val="center"/>
                </w:tcPr>
                <w:p w14:paraId="3C6A619A">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rPr>
                    <w:t>实行重点污染物排放总量控制制度。省人民政府根据环境容量和污染防治的需要，确定削减和控制重点污染物的种类和排放总量，将重点污染物排放总量控制指标逐级分解、落实到设区的市、县（市、区）人民政府</w:t>
                  </w:r>
                  <w:r>
                    <w:rPr>
                      <w:rFonts w:hint="default" w:ascii="Times New Roman" w:hAnsi="Times New Roman" w:eastAsia="宋体" w:cs="Times New Roman"/>
                      <w:color w:val="auto"/>
                      <w:sz w:val="20"/>
                      <w:szCs w:val="20"/>
                      <w:highlight w:val="none"/>
                      <w:lang w:eastAsia="zh-CN"/>
                    </w:rPr>
                    <w:t>。</w:t>
                  </w:r>
                </w:p>
              </w:tc>
              <w:tc>
                <w:tcPr>
                  <w:tcW w:w="1283" w:type="pct"/>
                  <w:vAlign w:val="center"/>
                </w:tcPr>
                <w:p w14:paraId="582F1F18">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rPr>
                    <w:t>本项目将严格落实主要污染物总量替代要求</w:t>
                  </w:r>
                  <w:r>
                    <w:rPr>
                      <w:rFonts w:hint="default" w:ascii="Times New Roman" w:hAnsi="Times New Roman" w:eastAsia="宋体" w:cs="Times New Roman"/>
                      <w:color w:val="auto"/>
                      <w:sz w:val="20"/>
                      <w:szCs w:val="20"/>
                      <w:highlight w:val="none"/>
                      <w:lang w:eastAsia="zh-CN"/>
                    </w:rPr>
                    <w:t>。</w:t>
                  </w:r>
                </w:p>
              </w:tc>
              <w:tc>
                <w:tcPr>
                  <w:tcW w:w="464" w:type="pct"/>
                  <w:vAlign w:val="center"/>
                </w:tcPr>
                <w:p w14:paraId="22C8C6DE">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r w14:paraId="7BF556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53" w:type="pct"/>
                  <w:vAlign w:val="center"/>
                </w:tcPr>
                <w:p w14:paraId="15B039E6">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第十七条</w:t>
                  </w:r>
                </w:p>
              </w:tc>
              <w:tc>
                <w:tcPr>
                  <w:tcW w:w="2899" w:type="pct"/>
                  <w:vAlign w:val="center"/>
                </w:tcPr>
                <w:p w14:paraId="24A9DE3C">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rPr>
                    <w:t>实行排污许可管理制度。纳入排污许可管理目录的排污单位，应当依法申请领取排污许可证。未取得排污许可证的，不得排放污染物</w:t>
                  </w:r>
                  <w:r>
                    <w:rPr>
                      <w:rFonts w:hint="default" w:ascii="Times New Roman" w:hAnsi="Times New Roman" w:eastAsia="宋体" w:cs="Times New Roman"/>
                      <w:color w:val="auto"/>
                      <w:sz w:val="20"/>
                      <w:szCs w:val="20"/>
                      <w:highlight w:val="none"/>
                      <w:lang w:eastAsia="zh-CN"/>
                    </w:rPr>
                    <w:t>。</w:t>
                  </w:r>
                </w:p>
              </w:tc>
              <w:tc>
                <w:tcPr>
                  <w:tcW w:w="1283" w:type="pct"/>
                  <w:vAlign w:val="center"/>
                </w:tcPr>
                <w:p w14:paraId="23BF67AF">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rPr>
                    <w:t>本项目需在排污前申请排污许可</w:t>
                  </w:r>
                  <w:r>
                    <w:rPr>
                      <w:rFonts w:hint="default" w:ascii="Times New Roman" w:hAnsi="Times New Roman" w:eastAsia="宋体" w:cs="Times New Roman"/>
                      <w:color w:val="auto"/>
                      <w:sz w:val="20"/>
                      <w:szCs w:val="20"/>
                      <w:highlight w:val="none"/>
                      <w:lang w:eastAsia="zh-CN"/>
                    </w:rPr>
                    <w:t>。</w:t>
                  </w:r>
                </w:p>
              </w:tc>
              <w:tc>
                <w:tcPr>
                  <w:tcW w:w="464" w:type="pct"/>
                  <w:vAlign w:val="center"/>
                </w:tcPr>
                <w:p w14:paraId="00F96DC9">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r w14:paraId="632E6D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53" w:type="pct"/>
                  <w:vAlign w:val="center"/>
                </w:tcPr>
                <w:p w14:paraId="0E133C61">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第十八条</w:t>
                  </w:r>
                </w:p>
              </w:tc>
              <w:tc>
                <w:tcPr>
                  <w:tcW w:w="2899" w:type="pct"/>
                  <w:vAlign w:val="center"/>
                </w:tcPr>
                <w:p w14:paraId="13000246">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rPr>
                    <w:t>新建、改建、扩建建设项目，应当依法进行环境影响评价。建设项目可能对相邻地区造成重大环境影响的，生态环境主管部门在审批其环境影响评价文件时，应当征求相邻地区同级生态环境主管部门的意见；意见不一致的，由共同的上一级人民政府生态环境主管部门作出处理</w:t>
                  </w:r>
                  <w:r>
                    <w:rPr>
                      <w:rFonts w:hint="default" w:ascii="Times New Roman" w:hAnsi="Times New Roman" w:eastAsia="宋体" w:cs="Times New Roman"/>
                      <w:color w:val="auto"/>
                      <w:sz w:val="20"/>
                      <w:szCs w:val="20"/>
                      <w:highlight w:val="none"/>
                      <w:lang w:eastAsia="zh-CN"/>
                    </w:rPr>
                    <w:t>。</w:t>
                  </w:r>
                </w:p>
              </w:tc>
              <w:tc>
                <w:tcPr>
                  <w:tcW w:w="1283" w:type="pct"/>
                  <w:vAlign w:val="center"/>
                </w:tcPr>
                <w:p w14:paraId="0263F147">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rPr>
                    <w:t>本项目依法进行环境影响评价</w:t>
                  </w:r>
                  <w:r>
                    <w:rPr>
                      <w:rFonts w:hint="default" w:ascii="Times New Roman" w:hAnsi="Times New Roman" w:eastAsia="宋体" w:cs="Times New Roman"/>
                      <w:color w:val="auto"/>
                      <w:sz w:val="20"/>
                      <w:szCs w:val="20"/>
                      <w:highlight w:val="none"/>
                      <w:lang w:eastAsia="zh-CN"/>
                    </w:rPr>
                    <w:t>。</w:t>
                  </w:r>
                </w:p>
              </w:tc>
              <w:tc>
                <w:tcPr>
                  <w:tcW w:w="464" w:type="pct"/>
                  <w:vAlign w:val="center"/>
                </w:tcPr>
                <w:p w14:paraId="4F2BECF6">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r w14:paraId="5CB6BB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53" w:type="pct"/>
                  <w:vAlign w:val="center"/>
                </w:tcPr>
                <w:p w14:paraId="0734CA60">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第四十三条</w:t>
                  </w:r>
                </w:p>
              </w:tc>
              <w:tc>
                <w:tcPr>
                  <w:tcW w:w="2899" w:type="pct"/>
                  <w:vAlign w:val="center"/>
                </w:tcPr>
                <w:p w14:paraId="0F4468C5">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rPr>
                    <w:t>县级以上人民政府应当根据产业结构调整和产业布局优化的要求，引导工业企业入驻工业园区；新建有污染物排放的工业项目，除在安全生产等方面有特殊要求的以外，应当进入工业园区或者工业集聚区</w:t>
                  </w:r>
                  <w:r>
                    <w:rPr>
                      <w:rFonts w:hint="default" w:ascii="Times New Roman" w:hAnsi="Times New Roman" w:eastAsia="宋体" w:cs="Times New Roman"/>
                      <w:color w:val="auto"/>
                      <w:sz w:val="20"/>
                      <w:szCs w:val="20"/>
                      <w:highlight w:val="none"/>
                      <w:lang w:eastAsia="zh-CN"/>
                    </w:rPr>
                    <w:t>。</w:t>
                  </w:r>
                </w:p>
              </w:tc>
              <w:tc>
                <w:tcPr>
                  <w:tcW w:w="1283" w:type="pct"/>
                  <w:vAlign w:val="center"/>
                </w:tcPr>
                <w:p w14:paraId="4E740144">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本项目</w:t>
                  </w:r>
                  <w:r>
                    <w:rPr>
                      <w:rFonts w:hint="eastAsia" w:ascii="Times New Roman" w:hAnsi="Times New Roman" w:eastAsia="宋体" w:cs="Times New Roman"/>
                      <w:color w:val="auto"/>
                      <w:sz w:val="20"/>
                      <w:szCs w:val="20"/>
                      <w:highlight w:val="none"/>
                      <w:lang w:val="en-US" w:eastAsia="zh-CN"/>
                    </w:rPr>
                    <w:t>位于</w:t>
                  </w:r>
                  <w:r>
                    <w:rPr>
                      <w:rFonts w:hint="default" w:ascii="Times New Roman" w:hAnsi="Times New Roman" w:eastAsia="宋体" w:cs="Times New Roman"/>
                      <w:color w:val="auto"/>
                      <w:sz w:val="20"/>
                      <w:szCs w:val="20"/>
                      <w:highlight w:val="none"/>
                      <w:lang w:val="en-US" w:eastAsia="zh-CN"/>
                    </w:rPr>
                    <w:t>淄博经开区南部创新创业园</w:t>
                  </w:r>
                  <w:r>
                    <w:rPr>
                      <w:rFonts w:hint="eastAsia" w:ascii="Times New Roman" w:hAnsi="Times New Roman" w:eastAsia="宋体" w:cs="Times New Roman"/>
                      <w:color w:val="auto"/>
                      <w:sz w:val="20"/>
                      <w:szCs w:val="20"/>
                      <w:highlight w:val="none"/>
                      <w:lang w:val="en-US" w:eastAsia="zh-CN"/>
                    </w:rPr>
                    <w:t>规划</w:t>
                  </w:r>
                  <w:r>
                    <w:rPr>
                      <w:rFonts w:hint="default" w:ascii="Times New Roman" w:hAnsi="Times New Roman" w:eastAsia="宋体" w:cs="Times New Roman"/>
                      <w:color w:val="auto"/>
                      <w:sz w:val="20"/>
                      <w:szCs w:val="20"/>
                      <w:highlight w:val="none"/>
                      <w:lang w:val="en-US" w:eastAsia="zh-CN"/>
                    </w:rPr>
                    <w:t>范围</w:t>
                  </w:r>
                  <w:r>
                    <w:rPr>
                      <w:rFonts w:hint="eastAsia" w:ascii="Times New Roman" w:hAnsi="Times New Roman" w:eastAsia="宋体" w:cs="Times New Roman"/>
                      <w:color w:val="auto"/>
                      <w:sz w:val="20"/>
                      <w:szCs w:val="20"/>
                      <w:highlight w:val="none"/>
                      <w:lang w:val="en-US" w:eastAsia="zh-CN"/>
                    </w:rPr>
                    <w:t>内</w:t>
                  </w:r>
                  <w:r>
                    <w:rPr>
                      <w:rFonts w:hint="default" w:ascii="Times New Roman" w:hAnsi="Times New Roman" w:eastAsia="宋体" w:cs="Times New Roman"/>
                      <w:color w:val="auto"/>
                      <w:sz w:val="20"/>
                      <w:szCs w:val="20"/>
                      <w:highlight w:val="none"/>
                      <w:lang w:val="en-US" w:eastAsia="zh-CN"/>
                    </w:rPr>
                    <w:t>。</w:t>
                  </w:r>
                </w:p>
              </w:tc>
              <w:tc>
                <w:tcPr>
                  <w:tcW w:w="464" w:type="pct"/>
                  <w:vAlign w:val="center"/>
                </w:tcPr>
                <w:p w14:paraId="53617447">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bl>
          <w:p w14:paraId="6937C96C">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t>根据上表分析，项目符合《山东省环境保护条例》相关要求。</w:t>
            </w:r>
          </w:p>
          <w:p w14:paraId="2234F3E8">
            <w:pPr>
              <w:pStyle w:val="38"/>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）与《</w:t>
            </w:r>
            <w:r>
              <w:rPr>
                <w:rFonts w:hint="default" w:ascii="Times New Roman" w:hAnsi="Times New Roman" w:eastAsia="宋体" w:cs="Times New Roman"/>
                <w:color w:val="auto"/>
                <w:highlight w:val="none"/>
                <w:lang w:val="en-US" w:eastAsia="zh-CN"/>
              </w:rPr>
              <w:t>关于严格项目审批工作坚决防止新上</w:t>
            </w:r>
            <w:r>
              <w:rPr>
                <w:rFonts w:hint="eastAsia"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散乱污</w:t>
            </w:r>
            <w:r>
              <w:rPr>
                <w:rFonts w:hint="eastAsia"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项目的通知</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鲁环字〔2021〕58号</w:t>
            </w:r>
            <w:r>
              <w:rPr>
                <w:rFonts w:hint="default" w:ascii="Times New Roman" w:hAnsi="Times New Roman" w:eastAsia="宋体" w:cs="Times New Roman"/>
                <w:color w:val="auto"/>
                <w:highlight w:val="none"/>
                <w:lang w:eastAsia="zh-CN"/>
              </w:rPr>
              <w:t>）符合性分析</w:t>
            </w:r>
          </w:p>
          <w:p w14:paraId="4417A2DE">
            <w:pPr>
              <w:pStyle w:val="3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表6 与（鲁环字〔2021〕58号）符合性分析</w:t>
            </w:r>
          </w:p>
          <w:tbl>
            <w:tblPr>
              <w:tblStyle w:val="29"/>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6"/>
              <w:gridCol w:w="4831"/>
              <w:gridCol w:w="2581"/>
              <w:gridCol w:w="737"/>
            </w:tblGrid>
            <w:tr w14:paraId="072C7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1" w:type="pct"/>
                  <w:tcBorders>
                    <w:tl2br w:val="nil"/>
                    <w:tr2bl w:val="nil"/>
                  </w:tcBorders>
                  <w:noWrap w:val="0"/>
                  <w:tcMar>
                    <w:top w:w="0" w:type="dxa"/>
                    <w:left w:w="28" w:type="dxa"/>
                    <w:bottom w:w="0" w:type="dxa"/>
                    <w:right w:w="28" w:type="dxa"/>
                  </w:tcMar>
                  <w:vAlign w:val="center"/>
                </w:tcPr>
                <w:p w14:paraId="62AD7ACD">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序号</w:t>
                  </w:r>
                </w:p>
              </w:tc>
              <w:tc>
                <w:tcPr>
                  <w:tcW w:w="2856" w:type="pct"/>
                  <w:tcBorders>
                    <w:tl2br w:val="nil"/>
                    <w:tr2bl w:val="nil"/>
                  </w:tcBorders>
                  <w:noWrap w:val="0"/>
                  <w:tcMar>
                    <w:top w:w="0" w:type="dxa"/>
                    <w:left w:w="28" w:type="dxa"/>
                    <w:bottom w:w="0" w:type="dxa"/>
                    <w:right w:w="28" w:type="dxa"/>
                  </w:tcMar>
                  <w:vAlign w:val="center"/>
                </w:tcPr>
                <w:p w14:paraId="3C738D78">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规定</w:t>
                  </w:r>
                </w:p>
              </w:tc>
              <w:tc>
                <w:tcPr>
                  <w:tcW w:w="1526" w:type="pct"/>
                  <w:tcBorders>
                    <w:tl2br w:val="nil"/>
                    <w:tr2bl w:val="nil"/>
                  </w:tcBorders>
                  <w:noWrap w:val="0"/>
                  <w:tcMar>
                    <w:top w:w="0" w:type="dxa"/>
                    <w:left w:w="28" w:type="dxa"/>
                    <w:bottom w:w="0" w:type="dxa"/>
                    <w:right w:w="28" w:type="dxa"/>
                  </w:tcMar>
                  <w:vAlign w:val="center"/>
                </w:tcPr>
                <w:p w14:paraId="3A3FC1BB">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本项目情况</w:t>
                  </w:r>
                </w:p>
              </w:tc>
              <w:tc>
                <w:tcPr>
                  <w:tcW w:w="435" w:type="pct"/>
                  <w:tcBorders>
                    <w:tl2br w:val="nil"/>
                    <w:tr2bl w:val="nil"/>
                  </w:tcBorders>
                  <w:noWrap w:val="0"/>
                  <w:tcMar>
                    <w:top w:w="0" w:type="dxa"/>
                    <w:left w:w="28" w:type="dxa"/>
                    <w:bottom w:w="0" w:type="dxa"/>
                    <w:right w:w="28" w:type="dxa"/>
                  </w:tcMar>
                  <w:vAlign w:val="center"/>
                </w:tcPr>
                <w:p w14:paraId="56B9788B">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符合情况</w:t>
                  </w:r>
                </w:p>
              </w:tc>
            </w:tr>
            <w:tr w14:paraId="74B18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1" w:type="pct"/>
                  <w:tcBorders>
                    <w:tl2br w:val="nil"/>
                    <w:tr2bl w:val="nil"/>
                  </w:tcBorders>
                  <w:noWrap w:val="0"/>
                  <w:tcMar>
                    <w:top w:w="0" w:type="dxa"/>
                    <w:left w:w="28" w:type="dxa"/>
                    <w:bottom w:w="0" w:type="dxa"/>
                    <w:right w:w="28" w:type="dxa"/>
                  </w:tcMar>
                  <w:vAlign w:val="center"/>
                </w:tcPr>
                <w:p w14:paraId="6363313C">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1</w:t>
                  </w:r>
                </w:p>
              </w:tc>
              <w:tc>
                <w:tcPr>
                  <w:tcW w:w="2856" w:type="pct"/>
                  <w:tcBorders>
                    <w:tl2br w:val="nil"/>
                    <w:tr2bl w:val="nil"/>
                  </w:tcBorders>
                  <w:noWrap w:val="0"/>
                  <w:tcMar>
                    <w:top w:w="0" w:type="dxa"/>
                    <w:left w:w="28" w:type="dxa"/>
                    <w:bottom w:w="0" w:type="dxa"/>
                    <w:right w:w="28" w:type="dxa"/>
                  </w:tcMar>
                  <w:vAlign w:val="center"/>
                </w:tcPr>
                <w:p w14:paraId="76EFFBFC">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认真贯彻执行产业政策。新上项目必须符合国家产业政策要求，禁止采用国家公布的淘汰工艺和落后设备，不得引进耗能高、污染大、生产粗放、不符合国家产业政策的项目。各级立项部门在为企业办理手续时，要认真对照《产业结构调整指导目录（2019年本）》（如有更新，以更新后文件为准），对鼓励类项目，按照有关规定审批、核准或备案；对限制类项目，禁止新建，现有生产能力允许在一定期限内改造升级；对淘汰类项目，市场主体不得进入，行政机关不予审批。</w:t>
                  </w:r>
                </w:p>
              </w:tc>
              <w:tc>
                <w:tcPr>
                  <w:tcW w:w="1526" w:type="pct"/>
                  <w:tcBorders>
                    <w:tl2br w:val="nil"/>
                    <w:tr2bl w:val="nil"/>
                  </w:tcBorders>
                  <w:noWrap w:val="0"/>
                  <w:tcMar>
                    <w:top w:w="0" w:type="dxa"/>
                    <w:left w:w="28" w:type="dxa"/>
                    <w:bottom w:w="0" w:type="dxa"/>
                    <w:right w:w="28" w:type="dxa"/>
                  </w:tcMar>
                  <w:vAlign w:val="center"/>
                </w:tcPr>
                <w:p w14:paraId="5D052112">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本项目不属于国家发展和改革委员会发布的《产业结构调整指导目录（2024年本）》中“鼓励类”、“限制类”、“淘汰类”，属于允许建设项目，项目符合国家产业政策，已完成立项，项目代码为：</w:t>
                  </w:r>
                  <w:r>
                    <w:rPr>
                      <w:rFonts w:hint="eastAsia" w:ascii="Times New Roman" w:hAnsi="Times New Roman" w:cs="Times New Roman"/>
                      <w:color w:val="auto"/>
                      <w:sz w:val="20"/>
                      <w:szCs w:val="20"/>
                      <w:highlight w:val="none"/>
                      <w:lang w:val="en-US" w:eastAsia="zh-CN"/>
                    </w:rPr>
                    <w:t>2603-370393-04-01-587848</w:t>
                  </w:r>
                  <w:r>
                    <w:rPr>
                      <w:rFonts w:hint="default" w:ascii="Times New Roman" w:hAnsi="Times New Roman" w:eastAsia="宋体" w:cs="Times New Roman"/>
                      <w:color w:val="auto"/>
                      <w:sz w:val="20"/>
                      <w:szCs w:val="20"/>
                      <w:highlight w:val="none"/>
                      <w:lang w:val="en-US" w:eastAsia="zh-CN"/>
                    </w:rPr>
                    <w:t>。</w:t>
                  </w:r>
                </w:p>
              </w:tc>
              <w:tc>
                <w:tcPr>
                  <w:tcW w:w="435" w:type="pct"/>
                  <w:tcBorders>
                    <w:tl2br w:val="nil"/>
                    <w:tr2bl w:val="nil"/>
                  </w:tcBorders>
                  <w:noWrap w:val="0"/>
                  <w:tcMar>
                    <w:top w:w="0" w:type="dxa"/>
                    <w:left w:w="28" w:type="dxa"/>
                    <w:bottom w:w="0" w:type="dxa"/>
                    <w:right w:w="28" w:type="dxa"/>
                  </w:tcMar>
                  <w:vAlign w:val="center"/>
                </w:tcPr>
                <w:p w14:paraId="1ED99128">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r w14:paraId="3FCCF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1" w:type="pct"/>
                  <w:tcBorders>
                    <w:tl2br w:val="nil"/>
                    <w:tr2bl w:val="nil"/>
                  </w:tcBorders>
                  <w:noWrap w:val="0"/>
                  <w:tcMar>
                    <w:top w:w="0" w:type="dxa"/>
                    <w:left w:w="28" w:type="dxa"/>
                    <w:bottom w:w="0" w:type="dxa"/>
                    <w:right w:w="28" w:type="dxa"/>
                  </w:tcMar>
                  <w:vAlign w:val="center"/>
                </w:tcPr>
                <w:p w14:paraId="0ED44905">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2</w:t>
                  </w:r>
                </w:p>
              </w:tc>
              <w:tc>
                <w:tcPr>
                  <w:tcW w:w="2856" w:type="pct"/>
                  <w:tcBorders>
                    <w:tl2br w:val="nil"/>
                    <w:tr2bl w:val="nil"/>
                  </w:tcBorders>
                  <w:noWrap w:val="0"/>
                  <w:tcMar>
                    <w:top w:w="0" w:type="dxa"/>
                    <w:left w:w="28" w:type="dxa"/>
                    <w:bottom w:w="0" w:type="dxa"/>
                    <w:right w:w="28" w:type="dxa"/>
                  </w:tcMar>
                  <w:vAlign w:val="center"/>
                </w:tcPr>
                <w:p w14:paraId="7F8F95B2">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强化规划刚性约束。新上项目必须符合国土空间规划、产业发展规划等要求，积极引导产业园区外“散乱污”整治搬迁改造企业进入产业园区或工业集聚区，并鼓励租赁标准厂房。按照“布局集中、用地集约、产业集聚、空间优化”的原则，高标准制定产业发展规划，明确主导产业、布局和产业发展方向，引导企业规范化、规模化、集约化发展。</w:t>
                  </w:r>
                </w:p>
              </w:tc>
              <w:tc>
                <w:tcPr>
                  <w:tcW w:w="1526" w:type="pct"/>
                  <w:tcBorders>
                    <w:tl2br w:val="nil"/>
                    <w:tr2bl w:val="nil"/>
                  </w:tcBorders>
                  <w:noWrap w:val="0"/>
                  <w:tcMar>
                    <w:top w:w="0" w:type="dxa"/>
                    <w:left w:w="28" w:type="dxa"/>
                    <w:bottom w:w="0" w:type="dxa"/>
                    <w:right w:w="28" w:type="dxa"/>
                  </w:tcMar>
                  <w:vAlign w:val="center"/>
                </w:tcPr>
                <w:p w14:paraId="30E936F5">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本项目</w:t>
                  </w:r>
                  <w:r>
                    <w:rPr>
                      <w:rFonts w:hint="eastAsia" w:ascii="Times New Roman" w:hAnsi="Times New Roman" w:eastAsia="宋体" w:cs="Times New Roman"/>
                      <w:color w:val="auto"/>
                      <w:sz w:val="20"/>
                      <w:szCs w:val="20"/>
                      <w:highlight w:val="none"/>
                      <w:lang w:val="en-US" w:eastAsia="zh-CN"/>
                    </w:rPr>
                    <w:t>位于</w:t>
                  </w:r>
                  <w:r>
                    <w:rPr>
                      <w:rFonts w:hint="default" w:ascii="Times New Roman" w:hAnsi="Times New Roman" w:eastAsia="宋体" w:cs="Times New Roman"/>
                      <w:color w:val="auto"/>
                      <w:sz w:val="20"/>
                      <w:szCs w:val="20"/>
                      <w:highlight w:val="none"/>
                      <w:lang w:val="en-US" w:eastAsia="zh-CN"/>
                    </w:rPr>
                    <w:t>淄博经开区南部创新创业园</w:t>
                  </w:r>
                  <w:r>
                    <w:rPr>
                      <w:rFonts w:hint="eastAsia" w:ascii="Times New Roman" w:hAnsi="Times New Roman" w:eastAsia="宋体" w:cs="Times New Roman"/>
                      <w:color w:val="auto"/>
                      <w:sz w:val="20"/>
                      <w:szCs w:val="20"/>
                      <w:highlight w:val="none"/>
                      <w:lang w:val="en-US" w:eastAsia="zh-CN"/>
                    </w:rPr>
                    <w:t>规划</w:t>
                  </w:r>
                  <w:r>
                    <w:rPr>
                      <w:rFonts w:hint="default" w:ascii="Times New Roman" w:hAnsi="Times New Roman" w:eastAsia="宋体" w:cs="Times New Roman"/>
                      <w:color w:val="auto"/>
                      <w:sz w:val="20"/>
                      <w:szCs w:val="20"/>
                      <w:highlight w:val="none"/>
                      <w:lang w:val="en-US" w:eastAsia="zh-CN"/>
                    </w:rPr>
                    <w:t>范围</w:t>
                  </w:r>
                  <w:r>
                    <w:rPr>
                      <w:rFonts w:hint="eastAsia" w:ascii="Times New Roman" w:hAnsi="Times New Roman" w:eastAsia="宋体" w:cs="Times New Roman"/>
                      <w:color w:val="auto"/>
                      <w:sz w:val="20"/>
                      <w:szCs w:val="20"/>
                      <w:highlight w:val="none"/>
                      <w:lang w:val="en-US" w:eastAsia="zh-CN"/>
                    </w:rPr>
                    <w:t>内</w:t>
                  </w:r>
                  <w:r>
                    <w:rPr>
                      <w:rFonts w:hint="default" w:ascii="Times New Roman" w:hAnsi="Times New Roman" w:eastAsia="宋体" w:cs="Times New Roman"/>
                      <w:color w:val="auto"/>
                      <w:sz w:val="20"/>
                      <w:szCs w:val="20"/>
                      <w:highlight w:val="none"/>
                      <w:lang w:val="en-US" w:eastAsia="zh-CN"/>
                    </w:rPr>
                    <w:t>，</w:t>
                  </w:r>
                  <w:r>
                    <w:rPr>
                      <w:rFonts w:hint="eastAsia" w:ascii="Times New Roman" w:hAnsi="Times New Roman" w:eastAsia="宋体" w:cs="Times New Roman"/>
                      <w:color w:val="auto"/>
                      <w:sz w:val="20"/>
                      <w:szCs w:val="20"/>
                      <w:highlight w:val="none"/>
                      <w:lang w:val="en-US" w:eastAsia="zh-CN"/>
                    </w:rPr>
                    <w:t>项目不属于园区空间管制中禁建区范围，符合园区规划要求</w:t>
                  </w:r>
                  <w:r>
                    <w:rPr>
                      <w:rFonts w:hint="default" w:ascii="Times New Roman" w:hAnsi="Times New Roman" w:eastAsia="宋体" w:cs="Times New Roman"/>
                      <w:color w:val="auto"/>
                      <w:sz w:val="20"/>
                      <w:szCs w:val="20"/>
                      <w:highlight w:val="none"/>
                      <w:lang w:val="en-US" w:eastAsia="zh-CN"/>
                    </w:rPr>
                    <w:t>。</w:t>
                  </w:r>
                </w:p>
              </w:tc>
              <w:tc>
                <w:tcPr>
                  <w:tcW w:w="435" w:type="pct"/>
                  <w:tcBorders>
                    <w:tl2br w:val="nil"/>
                    <w:tr2bl w:val="nil"/>
                  </w:tcBorders>
                  <w:noWrap w:val="0"/>
                  <w:tcMar>
                    <w:top w:w="0" w:type="dxa"/>
                    <w:left w:w="28" w:type="dxa"/>
                    <w:bottom w:w="0" w:type="dxa"/>
                    <w:right w:w="28" w:type="dxa"/>
                  </w:tcMar>
                  <w:vAlign w:val="center"/>
                </w:tcPr>
                <w:p w14:paraId="29439CD4">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符合</w:t>
                  </w:r>
                </w:p>
              </w:tc>
            </w:tr>
            <w:tr w14:paraId="3C890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1" w:type="pct"/>
                  <w:tcBorders>
                    <w:tl2br w:val="nil"/>
                    <w:tr2bl w:val="nil"/>
                  </w:tcBorders>
                  <w:noWrap w:val="0"/>
                  <w:tcMar>
                    <w:top w:w="0" w:type="dxa"/>
                    <w:left w:w="28" w:type="dxa"/>
                    <w:bottom w:w="0" w:type="dxa"/>
                    <w:right w:w="28" w:type="dxa"/>
                  </w:tcMar>
                  <w:vAlign w:val="center"/>
                </w:tcPr>
                <w:p w14:paraId="634AE9E0">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3</w:t>
                  </w:r>
                </w:p>
              </w:tc>
              <w:tc>
                <w:tcPr>
                  <w:tcW w:w="2856" w:type="pct"/>
                  <w:tcBorders>
                    <w:tl2br w:val="nil"/>
                    <w:tr2bl w:val="nil"/>
                  </w:tcBorders>
                  <w:noWrap w:val="0"/>
                  <w:tcMar>
                    <w:top w:w="0" w:type="dxa"/>
                    <w:left w:w="28" w:type="dxa"/>
                    <w:bottom w:w="0" w:type="dxa"/>
                    <w:right w:w="28" w:type="dxa"/>
                  </w:tcMar>
                  <w:vAlign w:val="center"/>
                </w:tcPr>
                <w:p w14:paraId="49DE583D">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科学把好项目选址关。新建有污染物排放的工业项目，除在安全生产等方面有特殊要求的以外，应当进入工业园区或工业集聚区。各市要本着节约利用土地的原则，充分考虑项目周边环境、资金投入、推进速度等关键要素，合理选址，科学布局，切实做到符合用地政策，确保规划建设的项目有利于长远发展。</w:t>
                  </w:r>
                </w:p>
              </w:tc>
              <w:tc>
                <w:tcPr>
                  <w:tcW w:w="1526" w:type="pct"/>
                  <w:tcBorders>
                    <w:tl2br w:val="nil"/>
                    <w:tr2bl w:val="nil"/>
                  </w:tcBorders>
                  <w:noWrap w:val="0"/>
                  <w:tcMar>
                    <w:top w:w="0" w:type="dxa"/>
                    <w:left w:w="28" w:type="dxa"/>
                    <w:bottom w:w="0" w:type="dxa"/>
                    <w:right w:w="28" w:type="dxa"/>
                  </w:tcMar>
                  <w:vAlign w:val="center"/>
                </w:tcPr>
                <w:p w14:paraId="2D6E6E7D">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本项目位于</w:t>
                  </w:r>
                  <w:r>
                    <w:rPr>
                      <w:rFonts w:hint="eastAsia" w:ascii="Times New Roman" w:hAnsi="Times New Roman" w:cs="Times New Roman"/>
                      <w:color w:val="auto"/>
                      <w:sz w:val="20"/>
                      <w:szCs w:val="20"/>
                      <w:highlight w:val="none"/>
                      <w:lang w:val="en-US" w:eastAsia="zh-CN"/>
                    </w:rPr>
                    <w:t>山东省淄博市淄博经济开发区傅家镇双杨管区天津路与梁牛路路口西150米路北院内东侧第二间车间</w:t>
                  </w:r>
                  <w:r>
                    <w:rPr>
                      <w:rFonts w:hint="default" w:ascii="Times New Roman" w:hAnsi="Times New Roman" w:eastAsia="宋体" w:cs="Times New Roman"/>
                      <w:color w:val="auto"/>
                      <w:sz w:val="20"/>
                      <w:szCs w:val="20"/>
                      <w:highlight w:val="none"/>
                      <w:lang w:val="en-US" w:eastAsia="zh-CN"/>
                    </w:rPr>
                    <w:t>，位于淄博经开区南部创新创业园</w:t>
                  </w:r>
                  <w:r>
                    <w:rPr>
                      <w:rFonts w:hint="eastAsia" w:ascii="Times New Roman" w:hAnsi="Times New Roman" w:eastAsia="宋体" w:cs="Times New Roman"/>
                      <w:color w:val="auto"/>
                      <w:sz w:val="20"/>
                      <w:szCs w:val="20"/>
                      <w:highlight w:val="none"/>
                      <w:lang w:val="en-US" w:eastAsia="zh-CN"/>
                    </w:rPr>
                    <w:t>规划</w:t>
                  </w:r>
                  <w:r>
                    <w:rPr>
                      <w:rFonts w:hint="default" w:ascii="Times New Roman" w:hAnsi="Times New Roman" w:eastAsia="宋体" w:cs="Times New Roman"/>
                      <w:color w:val="auto"/>
                      <w:sz w:val="20"/>
                      <w:szCs w:val="20"/>
                      <w:highlight w:val="none"/>
                      <w:lang w:val="en-US" w:eastAsia="zh-CN"/>
                    </w:rPr>
                    <w:t>范围</w:t>
                  </w:r>
                  <w:r>
                    <w:rPr>
                      <w:rFonts w:hint="eastAsia" w:ascii="Times New Roman" w:hAnsi="Times New Roman" w:eastAsia="宋体" w:cs="Times New Roman"/>
                      <w:color w:val="auto"/>
                      <w:sz w:val="20"/>
                      <w:szCs w:val="20"/>
                      <w:highlight w:val="none"/>
                      <w:lang w:val="en-US" w:eastAsia="zh-CN"/>
                    </w:rPr>
                    <w:t>内</w:t>
                  </w:r>
                  <w:r>
                    <w:rPr>
                      <w:rFonts w:hint="default" w:ascii="Times New Roman" w:hAnsi="Times New Roman" w:eastAsia="宋体" w:cs="Times New Roman"/>
                      <w:color w:val="auto"/>
                      <w:sz w:val="20"/>
                      <w:szCs w:val="20"/>
                      <w:highlight w:val="none"/>
                      <w:lang w:val="en-US" w:eastAsia="zh-CN"/>
                    </w:rPr>
                    <w:t>，依据园区规划，项目用地为工业用地。</w:t>
                  </w:r>
                </w:p>
              </w:tc>
              <w:tc>
                <w:tcPr>
                  <w:tcW w:w="435" w:type="pct"/>
                  <w:tcBorders>
                    <w:tl2br w:val="nil"/>
                    <w:tr2bl w:val="nil"/>
                  </w:tcBorders>
                  <w:noWrap w:val="0"/>
                  <w:tcMar>
                    <w:top w:w="0" w:type="dxa"/>
                    <w:left w:w="28" w:type="dxa"/>
                    <w:bottom w:w="0" w:type="dxa"/>
                    <w:right w:w="28" w:type="dxa"/>
                  </w:tcMar>
                  <w:vAlign w:val="center"/>
                </w:tcPr>
                <w:p w14:paraId="21E3E2A7">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符合</w:t>
                  </w:r>
                </w:p>
              </w:tc>
            </w:tr>
            <w:tr w14:paraId="48C04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1" w:type="pct"/>
                  <w:tcBorders>
                    <w:tl2br w:val="nil"/>
                    <w:tr2bl w:val="nil"/>
                  </w:tcBorders>
                  <w:noWrap w:val="0"/>
                  <w:tcMar>
                    <w:top w:w="0" w:type="dxa"/>
                    <w:left w:w="28" w:type="dxa"/>
                    <w:bottom w:w="0" w:type="dxa"/>
                    <w:right w:w="28" w:type="dxa"/>
                  </w:tcMar>
                  <w:vAlign w:val="center"/>
                </w:tcPr>
                <w:p w14:paraId="4A55C858">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4</w:t>
                  </w:r>
                </w:p>
              </w:tc>
              <w:tc>
                <w:tcPr>
                  <w:tcW w:w="2856" w:type="pct"/>
                  <w:tcBorders>
                    <w:tl2br w:val="nil"/>
                    <w:tr2bl w:val="nil"/>
                  </w:tcBorders>
                  <w:noWrap w:val="0"/>
                  <w:tcMar>
                    <w:top w:w="0" w:type="dxa"/>
                    <w:left w:w="28" w:type="dxa"/>
                    <w:bottom w:w="0" w:type="dxa"/>
                    <w:right w:w="28" w:type="dxa"/>
                  </w:tcMar>
                  <w:vAlign w:val="center"/>
                </w:tcPr>
                <w:p w14:paraId="7F0809F7">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严把项目环评审批关。新上项目必须严格执行环评审批“三挂钩”机制和“五个不批”要求，落实“三线一单”生态环境分区管控要求。强化替代约束，涉及主要污染物排放的，必须落实区域污染物排放替代，确保增产减污；涉及煤炭消耗的，必须落实煤炭消费减量替代，否则各级环评审批部门一律不予审批通过。</w:t>
                  </w:r>
                </w:p>
              </w:tc>
              <w:tc>
                <w:tcPr>
                  <w:tcW w:w="1526" w:type="pct"/>
                  <w:tcBorders>
                    <w:tl2br w:val="nil"/>
                    <w:tr2bl w:val="nil"/>
                  </w:tcBorders>
                  <w:noWrap w:val="0"/>
                  <w:tcMar>
                    <w:top w:w="0" w:type="dxa"/>
                    <w:left w:w="28" w:type="dxa"/>
                    <w:bottom w:w="0" w:type="dxa"/>
                    <w:right w:w="28" w:type="dxa"/>
                  </w:tcMar>
                  <w:vAlign w:val="center"/>
                </w:tcPr>
                <w:p w14:paraId="083CC9FF">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项目符合“三线一单”要求，不涉及煤炭消耗。</w:t>
                  </w:r>
                </w:p>
              </w:tc>
              <w:tc>
                <w:tcPr>
                  <w:tcW w:w="435" w:type="pct"/>
                  <w:tcBorders>
                    <w:tl2br w:val="nil"/>
                    <w:tr2bl w:val="nil"/>
                  </w:tcBorders>
                  <w:noWrap w:val="0"/>
                  <w:tcMar>
                    <w:top w:w="0" w:type="dxa"/>
                    <w:left w:w="28" w:type="dxa"/>
                    <w:bottom w:w="0" w:type="dxa"/>
                    <w:right w:w="28" w:type="dxa"/>
                  </w:tcMar>
                  <w:vAlign w:val="center"/>
                </w:tcPr>
                <w:p w14:paraId="2C532962">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符合</w:t>
                  </w:r>
                </w:p>
              </w:tc>
            </w:tr>
          </w:tbl>
          <w:p w14:paraId="13C8FCEA">
            <w:pPr>
              <w:pStyle w:val="38"/>
              <w:bidi w:val="0"/>
              <w:rPr>
                <w:rFonts w:hint="default"/>
                <w:color w:val="auto"/>
                <w:highlight w:val="none"/>
                <w:lang w:eastAsia="zh-CN"/>
              </w:rPr>
            </w:pPr>
            <w:r>
              <w:rPr>
                <w:rFonts w:hint="default"/>
                <w:color w:val="auto"/>
                <w:highlight w:val="none"/>
                <w:lang w:eastAsia="zh-CN"/>
              </w:rPr>
              <w:t>综上，</w:t>
            </w:r>
            <w:r>
              <w:rPr>
                <w:rFonts w:hint="default"/>
                <w:color w:val="auto"/>
                <w:highlight w:val="none"/>
                <w:lang w:val="en-US" w:eastAsia="zh-CN"/>
              </w:rPr>
              <w:t>本</w:t>
            </w:r>
            <w:r>
              <w:rPr>
                <w:rFonts w:hint="default"/>
                <w:color w:val="auto"/>
                <w:highlight w:val="none"/>
                <w:lang w:eastAsia="zh-CN"/>
              </w:rPr>
              <w:t>项目建设符合《</w:t>
            </w:r>
            <w:r>
              <w:rPr>
                <w:rFonts w:hint="default"/>
                <w:color w:val="auto"/>
                <w:highlight w:val="none"/>
                <w:lang w:val="en-US" w:eastAsia="zh-CN"/>
              </w:rPr>
              <w:t>关于严格项目审批工作坚决防止新上</w:t>
            </w:r>
            <w:r>
              <w:rPr>
                <w:rFonts w:hint="eastAsia"/>
                <w:color w:val="auto"/>
                <w:highlight w:val="none"/>
                <w:lang w:val="en-US" w:eastAsia="zh-CN"/>
              </w:rPr>
              <w:t>“</w:t>
            </w:r>
            <w:r>
              <w:rPr>
                <w:rFonts w:hint="default"/>
                <w:color w:val="auto"/>
                <w:highlight w:val="none"/>
                <w:lang w:val="en-US" w:eastAsia="zh-CN"/>
              </w:rPr>
              <w:t>散乱污</w:t>
            </w:r>
            <w:r>
              <w:rPr>
                <w:rFonts w:hint="eastAsia"/>
                <w:color w:val="auto"/>
                <w:highlight w:val="none"/>
                <w:lang w:val="en-US" w:eastAsia="zh-CN"/>
              </w:rPr>
              <w:t>”</w:t>
            </w:r>
            <w:r>
              <w:rPr>
                <w:rFonts w:hint="default"/>
                <w:color w:val="auto"/>
                <w:highlight w:val="none"/>
                <w:lang w:val="en-US" w:eastAsia="zh-CN"/>
              </w:rPr>
              <w:t>项目的通知</w:t>
            </w:r>
            <w:r>
              <w:rPr>
                <w:rFonts w:hint="default"/>
                <w:color w:val="auto"/>
                <w:highlight w:val="none"/>
                <w:lang w:eastAsia="zh-CN"/>
              </w:rPr>
              <w:t>》（</w:t>
            </w:r>
            <w:r>
              <w:rPr>
                <w:rFonts w:hint="default"/>
                <w:color w:val="auto"/>
                <w:highlight w:val="none"/>
                <w:lang w:val="en-US" w:eastAsia="zh-CN"/>
              </w:rPr>
              <w:t>鲁环字〔2021〕58号</w:t>
            </w:r>
            <w:r>
              <w:rPr>
                <w:rFonts w:hint="default"/>
                <w:color w:val="auto"/>
                <w:highlight w:val="none"/>
                <w:lang w:eastAsia="zh-CN"/>
              </w:rPr>
              <w:t>）要求。</w:t>
            </w:r>
          </w:p>
          <w:p w14:paraId="302CD638">
            <w:pPr>
              <w:pStyle w:val="38"/>
              <w:bidi w:val="0"/>
              <w:rPr>
                <w:color w:val="auto"/>
                <w:highlight w:val="none"/>
              </w:rPr>
            </w:pPr>
            <w:r>
              <w:rPr>
                <w:color w:val="auto"/>
                <w:highlight w:val="none"/>
              </w:rPr>
              <w:t>（</w:t>
            </w:r>
            <w:r>
              <w:rPr>
                <w:rFonts w:hint="eastAsia"/>
                <w:color w:val="auto"/>
                <w:highlight w:val="none"/>
                <w:lang w:val="en-US" w:eastAsia="zh-CN"/>
              </w:rPr>
              <w:t>3</w:t>
            </w:r>
            <w:r>
              <w:rPr>
                <w:color w:val="auto"/>
                <w:highlight w:val="none"/>
              </w:rPr>
              <w:t xml:space="preserve">）与《挥发性有机物无组织排放控制标准》（GB37822-2019）符合性分析 </w:t>
            </w:r>
          </w:p>
          <w:p w14:paraId="00758E7C">
            <w:pPr>
              <w:pStyle w:val="38"/>
              <w:bidi w:val="0"/>
              <w:jc w:val="center"/>
              <w:rPr>
                <w:rFonts w:hint="default" w:ascii="Times New Roman" w:hAnsi="Times New Roman" w:eastAsia="黑体" w:cs="Times New Roman"/>
                <w:color w:val="auto"/>
                <w:kern w:val="2"/>
                <w:sz w:val="21"/>
                <w:szCs w:val="24"/>
                <w:highlight w:val="none"/>
                <w:lang w:val="en-US" w:eastAsia="zh-CN" w:bidi="ar-SA"/>
              </w:rPr>
            </w:pPr>
            <w:r>
              <w:rPr>
                <w:rFonts w:hint="default" w:ascii="Times New Roman" w:hAnsi="Times New Roman" w:eastAsia="黑体" w:cs="Times New Roman"/>
                <w:color w:val="auto"/>
                <w:kern w:val="2"/>
                <w:sz w:val="21"/>
                <w:szCs w:val="24"/>
                <w:highlight w:val="none"/>
                <w:lang w:val="en-US" w:eastAsia="zh-CN" w:bidi="ar-SA"/>
              </w:rPr>
              <w:t>表</w:t>
            </w:r>
            <w:r>
              <w:rPr>
                <w:rFonts w:hint="eastAsia" w:ascii="Times New Roman" w:hAnsi="Times New Roman" w:eastAsia="黑体" w:cs="Times New Roman"/>
                <w:color w:val="auto"/>
                <w:kern w:val="2"/>
                <w:sz w:val="21"/>
                <w:szCs w:val="24"/>
                <w:highlight w:val="none"/>
                <w:lang w:val="en-US" w:eastAsia="zh-CN" w:bidi="ar-SA"/>
              </w:rPr>
              <w:t>7</w:t>
            </w:r>
            <w:r>
              <w:rPr>
                <w:rFonts w:hint="default" w:ascii="Times New Roman" w:hAnsi="Times New Roman" w:eastAsia="黑体" w:cs="Times New Roman"/>
                <w:color w:val="auto"/>
                <w:kern w:val="2"/>
                <w:sz w:val="21"/>
                <w:szCs w:val="24"/>
                <w:highlight w:val="none"/>
                <w:lang w:val="en-US" w:eastAsia="zh-CN" w:bidi="ar-SA"/>
              </w:rPr>
              <w:t xml:space="preserve"> 项目与</w:t>
            </w:r>
            <w:r>
              <w:rPr>
                <w:rFonts w:hint="eastAsia" w:ascii="Times New Roman" w:hAnsi="Times New Roman" w:eastAsia="黑体" w:cs="Times New Roman"/>
                <w:color w:val="auto"/>
                <w:kern w:val="2"/>
                <w:sz w:val="21"/>
                <w:szCs w:val="24"/>
                <w:highlight w:val="none"/>
                <w:lang w:val="en-US" w:eastAsia="zh-CN" w:bidi="ar-SA"/>
              </w:rPr>
              <w:t>《挥发性有机物无组织排放控制标准》</w:t>
            </w:r>
            <w:r>
              <w:rPr>
                <w:rFonts w:hint="default" w:ascii="Times New Roman" w:hAnsi="Times New Roman" w:eastAsia="黑体" w:cs="Times New Roman"/>
                <w:color w:val="auto"/>
                <w:kern w:val="2"/>
                <w:sz w:val="21"/>
                <w:szCs w:val="24"/>
                <w:highlight w:val="none"/>
                <w:lang w:val="en-US" w:eastAsia="zh-CN" w:bidi="ar-SA"/>
              </w:rPr>
              <w:t>符合性分析</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71"/>
              <w:gridCol w:w="2233"/>
              <w:gridCol w:w="860"/>
            </w:tblGrid>
            <w:tr w14:paraId="0E818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72" w:type="pct"/>
                  <w:noWrap w:val="0"/>
                  <w:vAlign w:val="center"/>
                </w:tcPr>
                <w:p w14:paraId="4661FCD9">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文件要求</w:t>
                  </w:r>
                </w:p>
              </w:tc>
              <w:tc>
                <w:tcPr>
                  <w:tcW w:w="1319" w:type="pct"/>
                  <w:noWrap w:val="0"/>
                  <w:vAlign w:val="center"/>
                </w:tcPr>
                <w:p w14:paraId="01EFAEB1">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本项目情况</w:t>
                  </w:r>
                </w:p>
              </w:tc>
              <w:tc>
                <w:tcPr>
                  <w:tcW w:w="508" w:type="pct"/>
                  <w:noWrap w:val="0"/>
                  <w:vAlign w:val="center"/>
                </w:tcPr>
                <w:p w14:paraId="5FA16963">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符合</w:t>
                  </w:r>
                  <w:r>
                    <w:rPr>
                      <w:rFonts w:hint="eastAsia" w:ascii="Times New Roman" w:hAnsi="Times New Roman" w:eastAsia="宋体" w:cs="Times New Roman"/>
                      <w:color w:val="auto"/>
                      <w:sz w:val="20"/>
                      <w:szCs w:val="20"/>
                      <w:highlight w:val="none"/>
                      <w:lang w:val="en-US" w:eastAsia="zh-CN"/>
                    </w:rPr>
                    <w:t>性</w:t>
                  </w:r>
                </w:p>
              </w:tc>
            </w:tr>
            <w:tr w14:paraId="5A1A4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72" w:type="pct"/>
                  <w:shd w:val="clear" w:color="auto" w:fill="auto"/>
                  <w:noWrap w:val="0"/>
                  <w:vAlign w:val="center"/>
                </w:tcPr>
                <w:p w14:paraId="4D38BEEB">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VOCs 物料应储存于密闭的容器、包装袋、储罐、储库、料仓中</w:t>
                  </w:r>
                </w:p>
              </w:tc>
              <w:tc>
                <w:tcPr>
                  <w:tcW w:w="1319" w:type="pct"/>
                  <w:shd w:val="clear" w:color="auto" w:fill="auto"/>
                  <w:noWrap w:val="0"/>
                  <w:vAlign w:val="center"/>
                </w:tcPr>
                <w:p w14:paraId="2F9038A6">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本项目原料中的</w:t>
                  </w:r>
                  <w:r>
                    <w:rPr>
                      <w:rFonts w:hint="eastAsia" w:ascii="Times New Roman" w:hAnsi="Times New Roman" w:eastAsia="宋体" w:cs="Times New Roman"/>
                      <w:color w:val="auto"/>
                      <w:sz w:val="20"/>
                      <w:szCs w:val="20"/>
                      <w:highlight w:val="none"/>
                      <w:lang w:val="en-US" w:eastAsia="zh-CN"/>
                    </w:rPr>
                    <w:t>封边胶</w:t>
                  </w:r>
                  <w:r>
                    <w:rPr>
                      <w:rFonts w:hint="default" w:ascii="Times New Roman" w:hAnsi="Times New Roman" w:eastAsia="宋体" w:cs="Times New Roman"/>
                      <w:color w:val="auto"/>
                      <w:sz w:val="20"/>
                      <w:szCs w:val="20"/>
                      <w:highlight w:val="none"/>
                      <w:lang w:val="en-US" w:eastAsia="zh-CN"/>
                    </w:rPr>
                    <w:t>，采用密封</w:t>
                  </w:r>
                  <w:r>
                    <w:rPr>
                      <w:rFonts w:hint="eastAsia" w:ascii="Times New Roman" w:hAnsi="Times New Roman" w:eastAsia="宋体" w:cs="Times New Roman"/>
                      <w:color w:val="auto"/>
                      <w:sz w:val="20"/>
                      <w:szCs w:val="20"/>
                      <w:highlight w:val="none"/>
                      <w:lang w:val="en-US" w:eastAsia="zh-CN"/>
                    </w:rPr>
                    <w:t>袋</w:t>
                  </w:r>
                  <w:r>
                    <w:rPr>
                      <w:rFonts w:hint="default" w:ascii="Times New Roman" w:hAnsi="Times New Roman" w:eastAsia="宋体" w:cs="Times New Roman"/>
                      <w:color w:val="auto"/>
                      <w:sz w:val="20"/>
                      <w:szCs w:val="20"/>
                      <w:highlight w:val="none"/>
                      <w:lang w:val="en-US" w:eastAsia="zh-CN"/>
                    </w:rPr>
                    <w:t>存储</w:t>
                  </w:r>
                </w:p>
              </w:tc>
              <w:tc>
                <w:tcPr>
                  <w:tcW w:w="508" w:type="pct"/>
                  <w:shd w:val="clear" w:color="auto" w:fill="auto"/>
                  <w:noWrap w:val="0"/>
                  <w:vAlign w:val="center"/>
                </w:tcPr>
                <w:p w14:paraId="1460525A">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符合</w:t>
                  </w:r>
                </w:p>
              </w:tc>
            </w:tr>
            <w:tr w14:paraId="7DD3F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72" w:type="pct"/>
                  <w:shd w:val="clear" w:color="auto" w:fill="auto"/>
                  <w:noWrap w:val="0"/>
                  <w:vAlign w:val="center"/>
                </w:tcPr>
                <w:p w14:paraId="1911BA0C">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盛装 VOCs 物料的容器或包装袋应存放于室内，或存放于设置有雨棚、遮阳和防渗设施的专用场地。盛装 VOCs物料的容器或包装袋在非取用状态时应加盖、封口，保持密闭</w:t>
                  </w:r>
                </w:p>
              </w:tc>
              <w:tc>
                <w:tcPr>
                  <w:tcW w:w="1319" w:type="pct"/>
                  <w:shd w:val="clear" w:color="auto" w:fill="auto"/>
                  <w:noWrap w:val="0"/>
                  <w:vAlign w:val="center"/>
                </w:tcPr>
                <w:p w14:paraId="173F7076">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封边胶</w:t>
                  </w:r>
                  <w:r>
                    <w:rPr>
                      <w:rFonts w:hint="default" w:ascii="Times New Roman" w:hAnsi="Times New Roman" w:eastAsia="宋体" w:cs="Times New Roman"/>
                      <w:color w:val="auto"/>
                      <w:sz w:val="20"/>
                      <w:szCs w:val="20"/>
                      <w:highlight w:val="none"/>
                      <w:lang w:val="en-US" w:eastAsia="zh-CN"/>
                    </w:rPr>
                    <w:t>采用密封</w:t>
                  </w:r>
                  <w:r>
                    <w:rPr>
                      <w:rFonts w:hint="eastAsia" w:ascii="Times New Roman" w:hAnsi="Times New Roman" w:eastAsia="宋体" w:cs="Times New Roman"/>
                      <w:color w:val="auto"/>
                      <w:sz w:val="20"/>
                      <w:szCs w:val="20"/>
                      <w:highlight w:val="none"/>
                      <w:lang w:val="en-US" w:eastAsia="zh-CN"/>
                    </w:rPr>
                    <w:t>袋</w:t>
                  </w:r>
                  <w:r>
                    <w:rPr>
                      <w:rFonts w:hint="default" w:ascii="Times New Roman" w:hAnsi="Times New Roman" w:eastAsia="宋体" w:cs="Times New Roman"/>
                      <w:color w:val="auto"/>
                      <w:sz w:val="20"/>
                      <w:szCs w:val="20"/>
                      <w:highlight w:val="none"/>
                      <w:lang w:val="en-US" w:eastAsia="zh-CN"/>
                    </w:rPr>
                    <w:t>包装，存放于仓库内</w:t>
                  </w:r>
                </w:p>
              </w:tc>
              <w:tc>
                <w:tcPr>
                  <w:tcW w:w="508" w:type="pct"/>
                  <w:shd w:val="clear" w:color="auto" w:fill="auto"/>
                  <w:noWrap w:val="0"/>
                  <w:vAlign w:val="center"/>
                </w:tcPr>
                <w:p w14:paraId="75BED4DA">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符合</w:t>
                  </w:r>
                </w:p>
              </w:tc>
            </w:tr>
            <w:tr w14:paraId="4DAA9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72" w:type="pct"/>
                  <w:shd w:val="clear" w:color="auto" w:fill="auto"/>
                  <w:noWrap w:val="0"/>
                  <w:vAlign w:val="center"/>
                </w:tcPr>
                <w:p w14:paraId="3A375CA9">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7.1.1a 液态 VOCs 物料应采用密闭管道输送方式或采用高位槽（罐）、桶泵等给料方式密闭投加。无法密闭投加的，应在密闭空间内操作，或进行局部气体收集，废气应排至 VOCs 废气收集处理系统</w:t>
                  </w:r>
                </w:p>
              </w:tc>
              <w:tc>
                <w:tcPr>
                  <w:tcW w:w="1319" w:type="pct"/>
                  <w:shd w:val="clear" w:color="auto" w:fill="auto"/>
                  <w:noWrap w:val="0"/>
                  <w:vAlign w:val="center"/>
                </w:tcPr>
                <w:p w14:paraId="21828127">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本项目</w:t>
                  </w:r>
                  <w:r>
                    <w:rPr>
                      <w:rFonts w:hint="eastAsia" w:ascii="Times New Roman" w:hAnsi="Times New Roman" w:eastAsia="宋体" w:cs="Times New Roman"/>
                      <w:color w:val="auto"/>
                      <w:sz w:val="20"/>
                      <w:szCs w:val="20"/>
                      <w:highlight w:val="none"/>
                      <w:lang w:val="en-US" w:eastAsia="zh-CN"/>
                    </w:rPr>
                    <w:t>封边</w:t>
                  </w:r>
                  <w:r>
                    <w:rPr>
                      <w:rFonts w:hint="default" w:ascii="Times New Roman" w:hAnsi="Times New Roman" w:eastAsia="宋体" w:cs="Times New Roman"/>
                      <w:color w:val="auto"/>
                      <w:sz w:val="20"/>
                      <w:szCs w:val="20"/>
                      <w:highlight w:val="none"/>
                      <w:lang w:val="en-US" w:eastAsia="zh-CN"/>
                    </w:rPr>
                    <w:t>工序产生的</w:t>
                  </w:r>
                  <w:r>
                    <w:rPr>
                      <w:rFonts w:hint="eastAsia" w:ascii="Times New Roman" w:hAnsi="Times New Roman" w:eastAsia="宋体" w:cs="Times New Roman"/>
                      <w:color w:val="auto"/>
                      <w:sz w:val="20"/>
                      <w:szCs w:val="20"/>
                      <w:highlight w:val="none"/>
                      <w:lang w:val="en-US" w:eastAsia="zh-CN"/>
                    </w:rPr>
                    <w:t>封边</w:t>
                  </w:r>
                  <w:r>
                    <w:rPr>
                      <w:rFonts w:hint="default" w:ascii="Times New Roman" w:hAnsi="Times New Roman" w:eastAsia="宋体" w:cs="Times New Roman"/>
                      <w:color w:val="auto"/>
                      <w:sz w:val="20"/>
                      <w:szCs w:val="20"/>
                      <w:highlight w:val="none"/>
                      <w:lang w:val="en-US" w:eastAsia="zh-CN"/>
                    </w:rPr>
                    <w:t>废气经</w:t>
                  </w:r>
                  <w:r>
                    <w:rPr>
                      <w:rFonts w:hint="eastAsia" w:ascii="Times New Roman" w:hAnsi="Times New Roman" w:eastAsia="宋体" w:cs="Times New Roman"/>
                      <w:color w:val="auto"/>
                      <w:sz w:val="20"/>
                      <w:szCs w:val="20"/>
                      <w:highlight w:val="none"/>
                      <w:lang w:val="en-US" w:eastAsia="zh-CN"/>
                    </w:rPr>
                    <w:t>集气罩收集后经</w:t>
                  </w:r>
                  <w:r>
                    <w:rPr>
                      <w:rFonts w:hint="eastAsia" w:ascii="Times New Roman" w:hAnsi="Times New Roman" w:cs="Times New Roman"/>
                      <w:color w:val="auto"/>
                      <w:sz w:val="20"/>
                      <w:szCs w:val="20"/>
                      <w:highlight w:val="none"/>
                      <w:lang w:val="en-US" w:eastAsia="zh-CN"/>
                    </w:rPr>
                    <w:t>二级</w:t>
                  </w:r>
                  <w:r>
                    <w:rPr>
                      <w:rFonts w:hint="eastAsia" w:ascii="Times New Roman" w:hAnsi="Times New Roman" w:eastAsia="宋体" w:cs="Times New Roman"/>
                      <w:color w:val="auto"/>
                      <w:sz w:val="20"/>
                      <w:szCs w:val="20"/>
                      <w:highlight w:val="none"/>
                      <w:lang w:val="en-US" w:eastAsia="zh-CN"/>
                    </w:rPr>
                    <w:t>活性炭</w:t>
                  </w:r>
                  <w:r>
                    <w:rPr>
                      <w:rFonts w:hint="default" w:ascii="Times New Roman" w:hAnsi="Times New Roman" w:eastAsia="宋体" w:cs="Times New Roman"/>
                      <w:color w:val="auto"/>
                      <w:sz w:val="20"/>
                      <w:szCs w:val="20"/>
                      <w:highlight w:val="none"/>
                      <w:lang w:val="en-US" w:eastAsia="zh-CN"/>
                    </w:rPr>
                    <w:t>吸附处理</w:t>
                  </w:r>
                  <w:r>
                    <w:rPr>
                      <w:rFonts w:hint="eastAsia" w:ascii="Times New Roman" w:hAnsi="Times New Roman" w:eastAsia="宋体" w:cs="Times New Roman"/>
                      <w:color w:val="auto"/>
                      <w:sz w:val="20"/>
                      <w:szCs w:val="20"/>
                      <w:highlight w:val="none"/>
                      <w:lang w:val="en-US" w:eastAsia="zh-CN"/>
                    </w:rPr>
                    <w:t>后有组织排放</w:t>
                  </w:r>
                </w:p>
              </w:tc>
              <w:tc>
                <w:tcPr>
                  <w:tcW w:w="508" w:type="pct"/>
                  <w:shd w:val="clear" w:color="auto" w:fill="auto"/>
                  <w:noWrap w:val="0"/>
                  <w:vAlign w:val="center"/>
                </w:tcPr>
                <w:p w14:paraId="7E68BE68">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符合</w:t>
                  </w:r>
                </w:p>
              </w:tc>
            </w:tr>
            <w:tr w14:paraId="6AFC5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72" w:type="pct"/>
                  <w:shd w:val="clear" w:color="auto" w:fill="auto"/>
                  <w:noWrap w:val="0"/>
                  <w:vAlign w:val="center"/>
                </w:tcPr>
                <w:p w14:paraId="61F8EA76">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10.1.2VOCs 废气收集处理系统应与生产工艺设备同步运行。VOCs 废气收集处理系统发生故障或检修时，对应的生产工艺设备应停止运行，待检修完毕后同步投入使用；生产工艺设备不能停止运行或不能及时停止运行的，应设置废气应急处理设施或采取其他替代措施</w:t>
                  </w:r>
                </w:p>
              </w:tc>
              <w:tc>
                <w:tcPr>
                  <w:tcW w:w="1319" w:type="pct"/>
                  <w:shd w:val="clear" w:color="auto" w:fill="auto"/>
                  <w:noWrap w:val="0"/>
                  <w:vAlign w:val="center"/>
                </w:tcPr>
                <w:p w14:paraId="57A84FFF">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项目</w:t>
                  </w:r>
                  <w:r>
                    <w:rPr>
                      <w:rFonts w:hint="default" w:ascii="Times New Roman" w:hAnsi="Times New Roman" w:eastAsia="宋体" w:cs="Times New Roman"/>
                      <w:color w:val="auto"/>
                      <w:sz w:val="20"/>
                      <w:szCs w:val="20"/>
                      <w:highlight w:val="none"/>
                      <w:lang w:val="en-US" w:eastAsia="zh-CN"/>
                    </w:rPr>
                    <w:t>VOCs废气收集处理系统与</w:t>
                  </w:r>
                  <w:r>
                    <w:rPr>
                      <w:rFonts w:hint="eastAsia" w:ascii="Times New Roman" w:hAnsi="Times New Roman" w:eastAsia="宋体" w:cs="Times New Roman"/>
                      <w:color w:val="auto"/>
                      <w:sz w:val="20"/>
                      <w:szCs w:val="20"/>
                      <w:highlight w:val="none"/>
                      <w:lang w:val="en-US" w:eastAsia="zh-CN"/>
                    </w:rPr>
                    <w:t>相关产污</w:t>
                  </w:r>
                  <w:r>
                    <w:rPr>
                      <w:rFonts w:hint="default" w:ascii="Times New Roman" w:hAnsi="Times New Roman" w:eastAsia="宋体" w:cs="Times New Roman"/>
                      <w:color w:val="auto"/>
                      <w:sz w:val="20"/>
                      <w:szCs w:val="20"/>
                      <w:highlight w:val="none"/>
                      <w:lang w:val="en-US" w:eastAsia="zh-CN"/>
                    </w:rPr>
                    <w:t>生产工艺设备同步运行</w:t>
                  </w:r>
                </w:p>
              </w:tc>
              <w:tc>
                <w:tcPr>
                  <w:tcW w:w="508" w:type="pct"/>
                  <w:shd w:val="clear" w:color="auto" w:fill="auto"/>
                  <w:noWrap w:val="0"/>
                  <w:vAlign w:val="center"/>
                </w:tcPr>
                <w:p w14:paraId="3C8800EB">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符合</w:t>
                  </w:r>
                </w:p>
              </w:tc>
            </w:tr>
            <w:tr w14:paraId="16872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72" w:type="pct"/>
                  <w:shd w:val="clear" w:color="auto" w:fill="auto"/>
                  <w:noWrap w:val="0"/>
                  <w:vAlign w:val="center"/>
                </w:tcPr>
                <w:p w14:paraId="72BAF728">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10.3.1VOCs 废气收集处理系统污染物排放应符合 GB 16297 或相关行业排放标准的规定</w:t>
                  </w:r>
                </w:p>
              </w:tc>
              <w:tc>
                <w:tcPr>
                  <w:tcW w:w="1319" w:type="pct"/>
                  <w:shd w:val="clear" w:color="auto" w:fill="auto"/>
                  <w:noWrap w:val="0"/>
                  <w:vAlign w:val="center"/>
                </w:tcPr>
                <w:p w14:paraId="18AD1991">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本项目VOCs排放浓度满足排放标准要求</w:t>
                  </w:r>
                </w:p>
              </w:tc>
              <w:tc>
                <w:tcPr>
                  <w:tcW w:w="508" w:type="pct"/>
                  <w:shd w:val="clear" w:color="auto" w:fill="auto"/>
                  <w:noWrap w:val="0"/>
                  <w:vAlign w:val="center"/>
                </w:tcPr>
                <w:p w14:paraId="516B3CCF">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符合</w:t>
                  </w:r>
                </w:p>
              </w:tc>
            </w:tr>
            <w:tr w14:paraId="0FCEA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72" w:type="pct"/>
                  <w:shd w:val="clear" w:color="auto" w:fill="auto"/>
                  <w:noWrap w:val="0"/>
                  <w:vAlign w:val="center"/>
                </w:tcPr>
                <w:p w14:paraId="2797D641">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10.3.2 收集的废气中 NMHC 初始排放速率≥3kg/h 时，应配置 VOCs 处理设施，处理效率不应低于 80%；对于重点地区，收集的废气中 NMHC 初始排放速率≥2kg/h 时，应配置 VOCs 处理设施，处理效率不应低于 80%；采用的原辅材料符合国家有关低 VOCs 含量产品规定的除外</w:t>
                  </w:r>
                </w:p>
              </w:tc>
              <w:tc>
                <w:tcPr>
                  <w:tcW w:w="1319" w:type="pct"/>
                  <w:shd w:val="clear" w:color="auto" w:fill="auto"/>
                  <w:noWrap w:val="0"/>
                  <w:vAlign w:val="center"/>
                </w:tcPr>
                <w:p w14:paraId="35B8C483">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本项目</w:t>
                  </w:r>
                  <w:r>
                    <w:rPr>
                      <w:rFonts w:hint="eastAsia" w:ascii="Times New Roman" w:hAnsi="Times New Roman" w:eastAsia="宋体" w:cs="Times New Roman"/>
                      <w:color w:val="auto"/>
                      <w:sz w:val="20"/>
                      <w:szCs w:val="20"/>
                      <w:highlight w:val="none"/>
                      <w:lang w:val="en-US" w:eastAsia="zh-CN"/>
                    </w:rPr>
                    <w:t>VOCs</w:t>
                  </w:r>
                  <w:r>
                    <w:rPr>
                      <w:rFonts w:hint="default" w:ascii="Times New Roman" w:hAnsi="Times New Roman" w:eastAsia="宋体" w:cs="Times New Roman"/>
                      <w:color w:val="auto"/>
                      <w:sz w:val="20"/>
                      <w:szCs w:val="20"/>
                      <w:highlight w:val="none"/>
                      <w:lang w:val="en-US" w:eastAsia="zh-CN"/>
                    </w:rPr>
                    <w:t>采用</w:t>
                  </w:r>
                  <w:r>
                    <w:rPr>
                      <w:rFonts w:hint="eastAsia" w:ascii="Times New Roman" w:hAnsi="Times New Roman" w:cs="Times New Roman"/>
                      <w:color w:val="auto"/>
                      <w:sz w:val="20"/>
                      <w:szCs w:val="20"/>
                      <w:highlight w:val="none"/>
                      <w:lang w:val="en-US" w:eastAsia="zh-CN"/>
                    </w:rPr>
                    <w:t>二级</w:t>
                  </w:r>
                  <w:r>
                    <w:rPr>
                      <w:rFonts w:hint="eastAsia" w:ascii="Times New Roman" w:hAnsi="Times New Roman" w:eastAsia="宋体" w:cs="Times New Roman"/>
                      <w:color w:val="auto"/>
                      <w:sz w:val="20"/>
                      <w:szCs w:val="20"/>
                      <w:highlight w:val="none"/>
                      <w:lang w:val="en-US" w:eastAsia="zh-CN"/>
                    </w:rPr>
                    <w:t>活性炭</w:t>
                  </w:r>
                  <w:r>
                    <w:rPr>
                      <w:rFonts w:hint="default" w:ascii="Times New Roman" w:hAnsi="Times New Roman" w:eastAsia="宋体" w:cs="Times New Roman"/>
                      <w:color w:val="auto"/>
                      <w:sz w:val="20"/>
                      <w:szCs w:val="20"/>
                      <w:highlight w:val="none"/>
                      <w:lang w:val="en-US" w:eastAsia="zh-CN"/>
                    </w:rPr>
                    <w:t>吸附装置处理废气，处理效率不低于80%</w:t>
                  </w:r>
                </w:p>
              </w:tc>
              <w:tc>
                <w:tcPr>
                  <w:tcW w:w="508" w:type="pct"/>
                  <w:shd w:val="clear" w:color="auto" w:fill="auto"/>
                  <w:noWrap w:val="0"/>
                  <w:vAlign w:val="center"/>
                </w:tcPr>
                <w:p w14:paraId="03990042">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符合</w:t>
                  </w:r>
                </w:p>
              </w:tc>
            </w:tr>
            <w:tr w14:paraId="10E3D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72" w:type="pct"/>
                  <w:shd w:val="clear" w:color="auto" w:fill="auto"/>
                  <w:noWrap w:val="0"/>
                  <w:vAlign w:val="center"/>
                </w:tcPr>
                <w:p w14:paraId="6DD6F2DB">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10.3.4 排气筒高度不低于 15m（因安全考虑或有特殊工艺要求的除外），具体高度以及周围建筑物的相对高度关系应根据环境影响评价文件确定</w:t>
                  </w:r>
                </w:p>
              </w:tc>
              <w:tc>
                <w:tcPr>
                  <w:tcW w:w="1319" w:type="pct"/>
                  <w:shd w:val="clear" w:color="auto" w:fill="auto"/>
                  <w:noWrap w:val="0"/>
                  <w:vAlign w:val="center"/>
                </w:tcPr>
                <w:p w14:paraId="09FEB84D">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本项目排气筒高度为15米</w:t>
                  </w:r>
                </w:p>
              </w:tc>
              <w:tc>
                <w:tcPr>
                  <w:tcW w:w="508" w:type="pct"/>
                  <w:shd w:val="clear" w:color="auto" w:fill="auto"/>
                  <w:noWrap w:val="0"/>
                  <w:vAlign w:val="center"/>
                </w:tcPr>
                <w:p w14:paraId="5A5471FB">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符合</w:t>
                  </w:r>
                </w:p>
              </w:tc>
            </w:tr>
          </w:tbl>
          <w:p w14:paraId="543C3AE9">
            <w:pPr>
              <w:pStyle w:val="38"/>
              <w:bidi w:val="0"/>
              <w:rPr>
                <w:rFonts w:hint="default"/>
                <w:color w:val="auto"/>
                <w:highlight w:val="none"/>
                <w:lang w:val="en-US" w:eastAsia="zh-CN"/>
              </w:rPr>
            </w:pPr>
            <w:r>
              <w:rPr>
                <w:color w:val="auto"/>
                <w:highlight w:val="none"/>
              </w:rPr>
              <w:t>由上表，项目建设符合《挥发性有机物无组织排放控制标准》（GB37822-2019）相关要求。</w:t>
            </w:r>
          </w:p>
          <w:p w14:paraId="4FD84B49">
            <w:pPr>
              <w:pStyle w:val="3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）与《山东省工业企业无组织排放分行业管控指导意见》（鲁环发[2020]30号）</w:t>
            </w:r>
            <w:r>
              <w:rPr>
                <w:rFonts w:hint="default" w:ascii="Times New Roman" w:hAnsi="Times New Roman" w:cs="Times New Roman"/>
                <w:color w:val="auto"/>
                <w:highlight w:val="none"/>
                <w:lang w:eastAsia="zh-CN"/>
              </w:rPr>
              <w:t>符合性分析</w:t>
            </w:r>
          </w:p>
          <w:p w14:paraId="3DDC1C6E">
            <w:pPr>
              <w:pStyle w:val="3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w:t>
            </w:r>
            <w:r>
              <w:rPr>
                <w:rFonts w:hint="eastAsia" w:ascii="Times New Roman" w:hAnsi="Times New Roman" w:cs="Times New Roman"/>
                <w:color w:val="auto"/>
                <w:highlight w:val="none"/>
                <w:lang w:val="en-US" w:eastAsia="zh-CN"/>
              </w:rPr>
              <w:t>8</w:t>
            </w:r>
            <w:r>
              <w:rPr>
                <w:rFonts w:hint="default" w:ascii="Times New Roman" w:hAnsi="Times New Roman" w:cs="Times New Roman"/>
                <w:color w:val="auto"/>
                <w:highlight w:val="none"/>
                <w:lang w:val="en-US" w:eastAsia="zh-CN"/>
              </w:rPr>
              <w:t xml:space="preserve"> 与鲁环发[2020]30号符合性分析</w:t>
            </w:r>
          </w:p>
          <w:tbl>
            <w:tblPr>
              <w:tblStyle w:val="29"/>
              <w:tblW w:w="4982"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108" w:type="dxa"/>
                <w:bottom w:w="0" w:type="dxa"/>
                <w:right w:w="108" w:type="dxa"/>
              </w:tblCellMar>
            </w:tblPr>
            <w:tblGrid>
              <w:gridCol w:w="1066"/>
              <w:gridCol w:w="4543"/>
              <w:gridCol w:w="1920"/>
              <w:gridCol w:w="913"/>
            </w:tblGrid>
            <w:tr w14:paraId="3017A2A3">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21" w:type="pct"/>
                  <w:gridSpan w:val="2"/>
                  <w:noWrap w:val="0"/>
                  <w:tcMar>
                    <w:top w:w="0" w:type="dxa"/>
                    <w:left w:w="28" w:type="dxa"/>
                    <w:bottom w:w="0" w:type="dxa"/>
                    <w:right w:w="28" w:type="dxa"/>
                  </w:tcMar>
                  <w:vAlign w:val="center"/>
                </w:tcPr>
                <w:p w14:paraId="24C4C3CD">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内容</w:t>
                  </w:r>
                </w:p>
              </w:tc>
              <w:tc>
                <w:tcPr>
                  <w:tcW w:w="1137" w:type="pct"/>
                  <w:noWrap w:val="0"/>
                  <w:tcMar>
                    <w:top w:w="0" w:type="dxa"/>
                    <w:left w:w="28" w:type="dxa"/>
                    <w:bottom w:w="0" w:type="dxa"/>
                    <w:right w:w="28" w:type="dxa"/>
                  </w:tcMar>
                  <w:vAlign w:val="center"/>
                </w:tcPr>
                <w:p w14:paraId="03E30FAD">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本项目情况</w:t>
                  </w:r>
                </w:p>
              </w:tc>
              <w:tc>
                <w:tcPr>
                  <w:tcW w:w="540" w:type="pct"/>
                  <w:noWrap w:val="0"/>
                  <w:tcMar>
                    <w:top w:w="0" w:type="dxa"/>
                    <w:left w:w="28" w:type="dxa"/>
                    <w:bottom w:w="0" w:type="dxa"/>
                    <w:right w:w="28" w:type="dxa"/>
                  </w:tcMar>
                  <w:vAlign w:val="center"/>
                </w:tcPr>
                <w:p w14:paraId="16AB558C">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符合性分析</w:t>
                  </w:r>
                </w:p>
              </w:tc>
            </w:tr>
            <w:tr w14:paraId="526C71ED">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pct"/>
                  <w:noWrap w:val="0"/>
                  <w:tcMar>
                    <w:top w:w="0" w:type="dxa"/>
                    <w:left w:w="28" w:type="dxa"/>
                    <w:bottom w:w="0" w:type="dxa"/>
                    <w:right w:w="28" w:type="dxa"/>
                  </w:tcMar>
                  <w:vAlign w:val="center"/>
                </w:tcPr>
                <w:p w14:paraId="272A218E">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加强物料运输、装卸环节管控</w:t>
                  </w:r>
                </w:p>
              </w:tc>
              <w:tc>
                <w:tcPr>
                  <w:tcW w:w="2690" w:type="pct"/>
                  <w:noWrap w:val="0"/>
                  <w:tcMar>
                    <w:top w:w="0" w:type="dxa"/>
                    <w:left w:w="28" w:type="dxa"/>
                    <w:bottom w:w="0" w:type="dxa"/>
                    <w:right w:w="28" w:type="dxa"/>
                  </w:tcMar>
                  <w:vAlign w:val="center"/>
                </w:tcPr>
                <w:p w14:paraId="6B96BE08">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闲置裸露空地及时绿化或硬化，厂区道路定期洒水清扫。</w:t>
                  </w:r>
                </w:p>
              </w:tc>
              <w:tc>
                <w:tcPr>
                  <w:tcW w:w="1137" w:type="pct"/>
                  <w:noWrap w:val="0"/>
                  <w:tcMar>
                    <w:top w:w="0" w:type="dxa"/>
                    <w:left w:w="28" w:type="dxa"/>
                    <w:bottom w:w="0" w:type="dxa"/>
                    <w:right w:w="28" w:type="dxa"/>
                  </w:tcMar>
                  <w:vAlign w:val="center"/>
                </w:tcPr>
                <w:p w14:paraId="62866C0F">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厂区内均为硬化路面</w:t>
                  </w:r>
                  <w:r>
                    <w:rPr>
                      <w:rFonts w:hint="default" w:ascii="Times New Roman" w:hAnsi="Times New Roman" w:eastAsia="宋体" w:cs="Times New Roman"/>
                      <w:color w:val="auto"/>
                      <w:sz w:val="20"/>
                      <w:szCs w:val="20"/>
                      <w:highlight w:val="none"/>
                      <w:lang w:eastAsia="zh-CN"/>
                    </w:rPr>
                    <w:t>或绿化</w:t>
                  </w:r>
                  <w:r>
                    <w:rPr>
                      <w:rFonts w:hint="default" w:ascii="Times New Roman" w:hAnsi="Times New Roman" w:eastAsia="宋体" w:cs="Times New Roman"/>
                      <w:color w:val="auto"/>
                      <w:sz w:val="20"/>
                      <w:szCs w:val="20"/>
                      <w:highlight w:val="none"/>
                    </w:rPr>
                    <w:t>，不定时洒水降尘。</w:t>
                  </w:r>
                </w:p>
              </w:tc>
              <w:tc>
                <w:tcPr>
                  <w:tcW w:w="540" w:type="pct"/>
                  <w:noWrap w:val="0"/>
                  <w:tcMar>
                    <w:top w:w="0" w:type="dxa"/>
                    <w:left w:w="28" w:type="dxa"/>
                    <w:bottom w:w="0" w:type="dxa"/>
                    <w:right w:w="28" w:type="dxa"/>
                  </w:tcMar>
                  <w:vAlign w:val="center"/>
                </w:tcPr>
                <w:p w14:paraId="7D2A7CA6">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r w14:paraId="33580FBD">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1246" w:hRule="atLeast"/>
                <w:jc w:val="center"/>
              </w:trPr>
              <w:tc>
                <w:tcPr>
                  <w:tcW w:w="631" w:type="pct"/>
                  <w:noWrap w:val="0"/>
                  <w:tcMar>
                    <w:top w:w="0" w:type="dxa"/>
                    <w:left w:w="28" w:type="dxa"/>
                    <w:bottom w:w="0" w:type="dxa"/>
                    <w:right w:w="28" w:type="dxa"/>
                  </w:tcMar>
                  <w:vAlign w:val="center"/>
                </w:tcPr>
                <w:p w14:paraId="6E7A62E4">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加强物料储存、输送环节管控</w:t>
                  </w:r>
                </w:p>
              </w:tc>
              <w:tc>
                <w:tcPr>
                  <w:tcW w:w="2690" w:type="pct"/>
                  <w:noWrap w:val="0"/>
                  <w:tcMar>
                    <w:top w:w="0" w:type="dxa"/>
                    <w:left w:w="28" w:type="dxa"/>
                    <w:bottom w:w="0" w:type="dxa"/>
                    <w:right w:w="28" w:type="dxa"/>
                  </w:tcMar>
                  <w:vAlign w:val="center"/>
                </w:tcPr>
                <w:p w14:paraId="3EFF996F">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含挥发性有机物（</w:t>
                  </w:r>
                  <w:r>
                    <w:rPr>
                      <w:rFonts w:hint="default" w:ascii="Times New Roman" w:hAnsi="Times New Roman" w:cs="Times New Roman"/>
                      <w:color w:val="auto"/>
                      <w:sz w:val="20"/>
                      <w:szCs w:val="20"/>
                      <w:highlight w:val="none"/>
                      <w:lang w:eastAsia="zh-CN"/>
                    </w:rPr>
                    <w:t>VOCs</w:t>
                  </w:r>
                  <w:r>
                    <w:rPr>
                      <w:rFonts w:hint="default" w:ascii="Times New Roman" w:hAnsi="Times New Roman" w:eastAsia="宋体" w:cs="Times New Roman"/>
                      <w:color w:val="auto"/>
                      <w:sz w:val="20"/>
                      <w:szCs w:val="20"/>
                      <w:highlight w:val="none"/>
                    </w:rPr>
                    <w:t>）物料储存于密闭容器、包装袋，高效密封储罐，封闭式储库、料仓等；封闭式储库、料仓设置</w:t>
                  </w:r>
                  <w:r>
                    <w:rPr>
                      <w:rFonts w:hint="default" w:ascii="Times New Roman" w:hAnsi="Times New Roman" w:cs="Times New Roman"/>
                      <w:color w:val="auto"/>
                      <w:sz w:val="20"/>
                      <w:szCs w:val="20"/>
                      <w:highlight w:val="none"/>
                      <w:lang w:eastAsia="zh-CN"/>
                    </w:rPr>
                    <w:t>VOCs</w:t>
                  </w:r>
                  <w:r>
                    <w:rPr>
                      <w:rFonts w:hint="default" w:ascii="Times New Roman" w:hAnsi="Times New Roman" w:eastAsia="宋体" w:cs="Times New Roman"/>
                      <w:color w:val="auto"/>
                      <w:sz w:val="20"/>
                      <w:szCs w:val="20"/>
                      <w:highlight w:val="none"/>
                    </w:rPr>
                    <w:t>有效收集治理设施。含</w:t>
                  </w:r>
                  <w:r>
                    <w:rPr>
                      <w:rFonts w:hint="default" w:ascii="Times New Roman" w:hAnsi="Times New Roman" w:cs="Times New Roman"/>
                      <w:color w:val="auto"/>
                      <w:sz w:val="20"/>
                      <w:szCs w:val="20"/>
                      <w:highlight w:val="none"/>
                      <w:lang w:eastAsia="zh-CN"/>
                    </w:rPr>
                    <w:t>VOCs</w:t>
                  </w:r>
                  <w:r>
                    <w:rPr>
                      <w:rFonts w:hint="default" w:ascii="Times New Roman" w:hAnsi="Times New Roman" w:eastAsia="宋体" w:cs="Times New Roman"/>
                      <w:color w:val="auto"/>
                      <w:sz w:val="20"/>
                      <w:szCs w:val="20"/>
                      <w:highlight w:val="none"/>
                    </w:rPr>
                    <w:t>物料输送，采用密闭管道或密闭容器、罐车等。</w:t>
                  </w:r>
                </w:p>
              </w:tc>
              <w:tc>
                <w:tcPr>
                  <w:tcW w:w="1137" w:type="pct"/>
                  <w:noWrap w:val="0"/>
                  <w:tcMar>
                    <w:top w:w="0" w:type="dxa"/>
                    <w:left w:w="28" w:type="dxa"/>
                    <w:bottom w:w="0" w:type="dxa"/>
                    <w:right w:w="28" w:type="dxa"/>
                  </w:tcMar>
                  <w:vAlign w:val="center"/>
                </w:tcPr>
                <w:p w14:paraId="791325A4">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本项目涉VOCs物料为</w:t>
                  </w:r>
                  <w:r>
                    <w:rPr>
                      <w:rFonts w:hint="eastAsia" w:ascii="Times New Roman" w:hAnsi="Times New Roman" w:cs="Times New Roman"/>
                      <w:color w:val="auto"/>
                      <w:sz w:val="20"/>
                      <w:szCs w:val="20"/>
                      <w:highlight w:val="none"/>
                      <w:lang w:eastAsia="zh-CN"/>
                    </w:rPr>
                    <w:t>封边胶</w:t>
                  </w:r>
                  <w:r>
                    <w:rPr>
                      <w:rFonts w:hint="default" w:ascii="Times New Roman" w:hAnsi="Times New Roman" w:eastAsia="宋体" w:cs="Times New Roman"/>
                      <w:color w:val="auto"/>
                      <w:sz w:val="20"/>
                      <w:szCs w:val="20"/>
                      <w:highlight w:val="none"/>
                    </w:rPr>
                    <w:t>，采用</w:t>
                  </w:r>
                  <w:r>
                    <w:rPr>
                      <w:rFonts w:hint="eastAsia" w:ascii="Times New Roman" w:hAnsi="Times New Roman" w:cs="Times New Roman"/>
                      <w:color w:val="auto"/>
                      <w:sz w:val="20"/>
                      <w:szCs w:val="20"/>
                      <w:highlight w:val="none"/>
                      <w:lang w:eastAsia="zh-CN"/>
                    </w:rPr>
                    <w:t>密闭袋</w:t>
                  </w:r>
                  <w:r>
                    <w:rPr>
                      <w:rFonts w:hint="default" w:ascii="Times New Roman" w:hAnsi="Times New Roman" w:eastAsia="宋体" w:cs="Times New Roman"/>
                      <w:color w:val="auto"/>
                      <w:sz w:val="20"/>
                      <w:szCs w:val="20"/>
                      <w:highlight w:val="none"/>
                    </w:rPr>
                    <w:t>储存。</w:t>
                  </w:r>
                </w:p>
              </w:tc>
              <w:tc>
                <w:tcPr>
                  <w:tcW w:w="540" w:type="pct"/>
                  <w:noWrap w:val="0"/>
                  <w:tcMar>
                    <w:top w:w="0" w:type="dxa"/>
                    <w:left w:w="28" w:type="dxa"/>
                    <w:bottom w:w="0" w:type="dxa"/>
                    <w:right w:w="28" w:type="dxa"/>
                  </w:tcMar>
                  <w:vAlign w:val="center"/>
                </w:tcPr>
                <w:p w14:paraId="57112637">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r w14:paraId="44AE2EAB">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pct"/>
                  <w:noWrap w:val="0"/>
                  <w:tcMar>
                    <w:top w:w="0" w:type="dxa"/>
                    <w:left w:w="28" w:type="dxa"/>
                    <w:bottom w:w="0" w:type="dxa"/>
                    <w:right w:w="28" w:type="dxa"/>
                  </w:tcMar>
                  <w:vAlign w:val="center"/>
                </w:tcPr>
                <w:p w14:paraId="45FD5F7B">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加强生产环节管控</w:t>
                  </w:r>
                </w:p>
              </w:tc>
              <w:tc>
                <w:tcPr>
                  <w:tcW w:w="2690" w:type="pct"/>
                  <w:noWrap w:val="0"/>
                  <w:tcMar>
                    <w:top w:w="0" w:type="dxa"/>
                    <w:left w:w="28" w:type="dxa"/>
                    <w:bottom w:w="0" w:type="dxa"/>
                    <w:right w:w="28" w:type="dxa"/>
                  </w:tcMar>
                  <w:vAlign w:val="center"/>
                </w:tcPr>
                <w:p w14:paraId="51890D50">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通过提高工艺自动化和设备密闭化水平，减少生产过程中的无组织排放。生产过程中的产尘点和</w:t>
                  </w:r>
                  <w:r>
                    <w:rPr>
                      <w:rFonts w:hint="default" w:ascii="Times New Roman" w:hAnsi="Times New Roman" w:cs="Times New Roman"/>
                      <w:color w:val="auto"/>
                      <w:sz w:val="20"/>
                      <w:szCs w:val="20"/>
                      <w:highlight w:val="none"/>
                      <w:lang w:eastAsia="zh-CN"/>
                    </w:rPr>
                    <w:t>VOCs</w:t>
                  </w:r>
                  <w:r>
                    <w:rPr>
                      <w:rFonts w:hint="default" w:ascii="Times New Roman" w:hAnsi="Times New Roman" w:eastAsia="宋体" w:cs="Times New Roman"/>
                      <w:color w:val="auto"/>
                      <w:sz w:val="20"/>
                      <w:szCs w:val="20"/>
                      <w:highlight w:val="none"/>
                    </w:rPr>
                    <w:t>产生点密闭、封闭或采取有效收集处理措施。生产设备和废气收集处理设施同步运行，废气收集处理设施发生故障或检修时，停止运行对应的生产设备，待检修完毕后投入使用。生产设备不能停止或不能及时停止运行的，设置废气应急处理设施或采取其他替代措施。生产车间地面及生产设备表面保持清洁，除电子、电气原件外，不得采用压缩空气吹扫等易产生扬尘的清理措施。厂内污水收集、输送、处理，污泥产生、暂存、处置，危险废物暂存等产生</w:t>
                  </w:r>
                  <w:r>
                    <w:rPr>
                      <w:rFonts w:hint="default" w:ascii="Times New Roman" w:hAnsi="Times New Roman" w:cs="Times New Roman"/>
                      <w:color w:val="auto"/>
                      <w:sz w:val="20"/>
                      <w:szCs w:val="20"/>
                      <w:highlight w:val="none"/>
                      <w:lang w:eastAsia="zh-CN"/>
                    </w:rPr>
                    <w:t>VOCs</w:t>
                  </w:r>
                  <w:r>
                    <w:rPr>
                      <w:rFonts w:hint="default" w:ascii="Times New Roman" w:hAnsi="Times New Roman" w:eastAsia="宋体" w:cs="Times New Roman"/>
                      <w:color w:val="auto"/>
                      <w:sz w:val="20"/>
                      <w:szCs w:val="20"/>
                      <w:highlight w:val="none"/>
                    </w:rPr>
                    <w:t>或恶臭气体的区域加罩或加盖封闭并进行收集处理。涉</w:t>
                  </w:r>
                  <w:r>
                    <w:rPr>
                      <w:rFonts w:hint="default" w:ascii="Times New Roman" w:hAnsi="Times New Roman" w:cs="Times New Roman"/>
                      <w:color w:val="auto"/>
                      <w:sz w:val="20"/>
                      <w:szCs w:val="20"/>
                      <w:highlight w:val="none"/>
                      <w:lang w:eastAsia="zh-CN"/>
                    </w:rPr>
                    <w:t>VOCs</w:t>
                  </w:r>
                  <w:r>
                    <w:rPr>
                      <w:rFonts w:hint="default" w:ascii="Times New Roman" w:hAnsi="Times New Roman" w:eastAsia="宋体" w:cs="Times New Roman"/>
                      <w:color w:val="auto"/>
                      <w:sz w:val="20"/>
                      <w:szCs w:val="20"/>
                      <w:highlight w:val="none"/>
                    </w:rPr>
                    <w:t>化（试）验室实验平台设置负压集气系统，对化（试）验室中产生的废气进行集中收集治理。</w:t>
                  </w:r>
                </w:p>
              </w:tc>
              <w:tc>
                <w:tcPr>
                  <w:tcW w:w="1137" w:type="pct"/>
                  <w:noWrap w:val="0"/>
                  <w:tcMar>
                    <w:top w:w="0" w:type="dxa"/>
                    <w:left w:w="28" w:type="dxa"/>
                    <w:bottom w:w="0" w:type="dxa"/>
                    <w:right w:w="28" w:type="dxa"/>
                  </w:tcMar>
                  <w:vAlign w:val="center"/>
                </w:tcPr>
                <w:p w14:paraId="27B990DC">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项目</w:t>
                  </w:r>
                  <w:r>
                    <w:rPr>
                      <w:rFonts w:hint="eastAsia" w:ascii="Times New Roman" w:hAnsi="Times New Roman" w:cs="Times New Roman"/>
                      <w:color w:val="auto"/>
                      <w:sz w:val="20"/>
                      <w:szCs w:val="20"/>
                      <w:highlight w:val="none"/>
                      <w:lang w:val="en-US" w:eastAsia="zh-CN"/>
                    </w:rPr>
                    <w:t>封边</w:t>
                  </w:r>
                  <w:r>
                    <w:rPr>
                      <w:rFonts w:hint="default" w:ascii="Times New Roman" w:hAnsi="Times New Roman" w:eastAsia="宋体" w:cs="Times New Roman"/>
                      <w:color w:val="auto"/>
                      <w:sz w:val="20"/>
                      <w:szCs w:val="20"/>
                      <w:highlight w:val="none"/>
                      <w:lang w:val="en-US" w:eastAsia="zh-CN"/>
                    </w:rPr>
                    <w:t>过程产生的</w:t>
                  </w:r>
                  <w:r>
                    <w:rPr>
                      <w:rFonts w:hint="eastAsia" w:ascii="Times New Roman" w:hAnsi="Times New Roman" w:cs="Times New Roman"/>
                      <w:color w:val="auto"/>
                      <w:sz w:val="20"/>
                      <w:szCs w:val="20"/>
                      <w:highlight w:val="none"/>
                      <w:lang w:val="en-US" w:eastAsia="zh-CN"/>
                    </w:rPr>
                    <w:t>少量</w:t>
                  </w:r>
                  <w:r>
                    <w:rPr>
                      <w:rFonts w:hint="default" w:ascii="Times New Roman" w:hAnsi="Times New Roman" w:eastAsia="宋体" w:cs="Times New Roman"/>
                      <w:color w:val="auto"/>
                      <w:sz w:val="20"/>
                      <w:szCs w:val="20"/>
                      <w:highlight w:val="none"/>
                      <w:lang w:val="en-US" w:eastAsia="zh-CN"/>
                    </w:rPr>
                    <w:t>有机废气经集气罩（下设软帘进一步提高收集效率）收集后，通过</w:t>
                  </w:r>
                  <w:r>
                    <w:rPr>
                      <w:rFonts w:hint="eastAsia" w:ascii="Times New Roman" w:hAnsi="Times New Roman" w:cs="Times New Roman"/>
                      <w:color w:val="auto"/>
                      <w:sz w:val="20"/>
                      <w:szCs w:val="20"/>
                      <w:highlight w:val="none"/>
                      <w:lang w:val="en-US" w:eastAsia="zh-CN"/>
                    </w:rPr>
                    <w:t>二级</w:t>
                  </w:r>
                  <w:r>
                    <w:rPr>
                      <w:rFonts w:hint="default" w:ascii="Times New Roman" w:hAnsi="Times New Roman" w:eastAsia="宋体" w:cs="Times New Roman"/>
                      <w:color w:val="auto"/>
                      <w:sz w:val="20"/>
                      <w:szCs w:val="20"/>
                      <w:highlight w:val="none"/>
                      <w:lang w:val="en-US" w:eastAsia="zh-CN"/>
                    </w:rPr>
                    <w:t>活性炭处理后排放。</w:t>
                  </w:r>
                </w:p>
              </w:tc>
              <w:tc>
                <w:tcPr>
                  <w:tcW w:w="540" w:type="pct"/>
                  <w:noWrap w:val="0"/>
                  <w:tcMar>
                    <w:top w:w="0" w:type="dxa"/>
                    <w:left w:w="28" w:type="dxa"/>
                    <w:bottom w:w="0" w:type="dxa"/>
                    <w:right w:w="28" w:type="dxa"/>
                  </w:tcMar>
                  <w:vAlign w:val="center"/>
                </w:tcPr>
                <w:p w14:paraId="2113730E">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r w14:paraId="3CCF0B33">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pct"/>
                  <w:noWrap w:val="0"/>
                  <w:tcMar>
                    <w:top w:w="0" w:type="dxa"/>
                    <w:left w:w="28" w:type="dxa"/>
                    <w:bottom w:w="0" w:type="dxa"/>
                    <w:right w:w="28" w:type="dxa"/>
                  </w:tcMar>
                  <w:vAlign w:val="center"/>
                </w:tcPr>
                <w:p w14:paraId="55C8679C">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加强精细化管控</w:t>
                  </w:r>
                </w:p>
              </w:tc>
              <w:tc>
                <w:tcPr>
                  <w:tcW w:w="2690" w:type="pct"/>
                  <w:noWrap w:val="0"/>
                  <w:tcMar>
                    <w:top w:w="0" w:type="dxa"/>
                    <w:left w:w="28" w:type="dxa"/>
                    <w:bottom w:w="0" w:type="dxa"/>
                    <w:right w:w="28" w:type="dxa"/>
                  </w:tcMar>
                  <w:vAlign w:val="center"/>
                </w:tcPr>
                <w:p w14:paraId="6DF523F8">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针对各无组织排放环节，制定“一厂一策”深度治理方案。制定无组织排放治理设施操作规程，并建立管理台账，记录操作人员操作内容、运行、维护、检修和含</w:t>
                  </w:r>
                  <w:r>
                    <w:rPr>
                      <w:rFonts w:hint="default" w:ascii="Times New Roman" w:hAnsi="Times New Roman" w:cs="Times New Roman"/>
                      <w:color w:val="auto"/>
                      <w:sz w:val="20"/>
                      <w:szCs w:val="20"/>
                      <w:highlight w:val="none"/>
                      <w:lang w:eastAsia="zh-CN"/>
                    </w:rPr>
                    <w:t>VOCs</w:t>
                  </w:r>
                  <w:r>
                    <w:rPr>
                      <w:rFonts w:hint="default" w:ascii="Times New Roman" w:hAnsi="Times New Roman" w:eastAsia="宋体" w:cs="Times New Roman"/>
                      <w:color w:val="auto"/>
                      <w:sz w:val="20"/>
                      <w:szCs w:val="20"/>
                      <w:highlight w:val="none"/>
                    </w:rPr>
                    <w:t>物料使用回收等情况，记录保存期限不得少于三年。鼓励安装视频、空气微站等监控设施和综合监控信息平台，用于企业日常自我监督，逐步实现无组织排放向精细化和可量化管理方式转变。</w:t>
                  </w:r>
                </w:p>
              </w:tc>
              <w:tc>
                <w:tcPr>
                  <w:tcW w:w="1137" w:type="pct"/>
                  <w:noWrap w:val="0"/>
                  <w:tcMar>
                    <w:top w:w="0" w:type="dxa"/>
                    <w:left w:w="28" w:type="dxa"/>
                    <w:bottom w:w="0" w:type="dxa"/>
                    <w:right w:w="28" w:type="dxa"/>
                  </w:tcMar>
                  <w:vAlign w:val="center"/>
                </w:tcPr>
                <w:p w14:paraId="570D54C8">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项目无组织废气经加强通风后达标排放</w:t>
                  </w:r>
                  <w:r>
                    <w:rPr>
                      <w:rFonts w:hint="default" w:ascii="Times New Roman" w:hAnsi="Times New Roman" w:eastAsia="宋体" w:cs="Times New Roman"/>
                      <w:color w:val="auto"/>
                      <w:sz w:val="20"/>
                      <w:szCs w:val="20"/>
                      <w:highlight w:val="none"/>
                      <w:lang w:eastAsia="zh-CN"/>
                    </w:rPr>
                    <w:t>；</w:t>
                  </w:r>
                  <w:r>
                    <w:rPr>
                      <w:rFonts w:hint="default" w:ascii="Times New Roman" w:hAnsi="Times New Roman" w:eastAsia="宋体" w:cs="Times New Roman"/>
                      <w:color w:val="auto"/>
                      <w:sz w:val="20"/>
                      <w:szCs w:val="20"/>
                      <w:highlight w:val="none"/>
                      <w:lang w:val="en-US" w:eastAsia="zh-CN"/>
                    </w:rPr>
                    <w:t>运营过程中将设立管理台账，并加强生产管理</w:t>
                  </w:r>
                  <w:r>
                    <w:rPr>
                      <w:rFonts w:hint="default" w:ascii="Times New Roman" w:hAnsi="Times New Roman" w:eastAsia="宋体" w:cs="Times New Roman"/>
                      <w:color w:val="auto"/>
                      <w:sz w:val="20"/>
                      <w:szCs w:val="20"/>
                      <w:highlight w:val="none"/>
                    </w:rPr>
                    <w:t>。</w:t>
                  </w:r>
                </w:p>
              </w:tc>
              <w:tc>
                <w:tcPr>
                  <w:tcW w:w="540" w:type="pct"/>
                  <w:noWrap w:val="0"/>
                  <w:tcMar>
                    <w:top w:w="0" w:type="dxa"/>
                    <w:left w:w="28" w:type="dxa"/>
                    <w:bottom w:w="0" w:type="dxa"/>
                    <w:right w:w="28" w:type="dxa"/>
                  </w:tcMar>
                  <w:vAlign w:val="center"/>
                </w:tcPr>
                <w:p w14:paraId="2700D17D">
                  <w:pPr>
                    <w:pStyle w:val="41"/>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bl>
          <w:p w14:paraId="31A4A960">
            <w:pPr>
              <w:pStyle w:val="3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根据上表分析，项目建设符合《山东省工业企业无组织排放分行业管控指导意见》（鲁环发[2020]30号）的相关要求。</w:t>
            </w:r>
          </w:p>
          <w:p w14:paraId="730F29A2">
            <w:pPr>
              <w:pStyle w:val="3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）与《山东省生态环境厅关于印发&lt;山东省涉挥发性有机物企业分行业治理指导意见&gt;的通知》（鲁环发〔2019〕146号）符合性分析</w:t>
            </w:r>
          </w:p>
          <w:p w14:paraId="5EC6BA77">
            <w:pPr>
              <w:pStyle w:val="3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w:t>
            </w:r>
            <w:r>
              <w:rPr>
                <w:rFonts w:hint="eastAsia" w:ascii="Times New Roman" w:hAnsi="Times New Roman" w:cs="Times New Roman"/>
                <w:color w:val="auto"/>
                <w:highlight w:val="none"/>
                <w:lang w:val="en-US" w:eastAsia="zh-CN"/>
              </w:rPr>
              <w:t>9</w:t>
            </w:r>
            <w:r>
              <w:rPr>
                <w:rFonts w:hint="default" w:ascii="Times New Roman" w:hAnsi="Times New Roman" w:cs="Times New Roman"/>
                <w:color w:val="auto"/>
                <w:highlight w:val="none"/>
                <w:lang w:val="en-US" w:eastAsia="zh-CN"/>
              </w:rPr>
              <w:t xml:space="preserve"> 与（鲁环发〔2019〕146号）符合性分析</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49"/>
              <w:gridCol w:w="1937"/>
              <w:gridCol w:w="678"/>
            </w:tblGrid>
            <w:tr w14:paraId="02B0F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54" w:type="pct"/>
                  <w:noWrap w:val="0"/>
                  <w:vAlign w:val="center"/>
                </w:tcPr>
                <w:p w14:paraId="23BFEFBA">
                  <w:pPr>
                    <w:pStyle w:val="41"/>
                    <w:jc w:val="center"/>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文件要求</w:t>
                  </w:r>
                </w:p>
              </w:tc>
              <w:tc>
                <w:tcPr>
                  <w:tcW w:w="1144" w:type="pct"/>
                  <w:noWrap w:val="0"/>
                  <w:vAlign w:val="center"/>
                </w:tcPr>
                <w:p w14:paraId="4E039070">
                  <w:pPr>
                    <w:pStyle w:val="41"/>
                    <w:jc w:val="center"/>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本项目情况</w:t>
                  </w:r>
                </w:p>
              </w:tc>
              <w:tc>
                <w:tcPr>
                  <w:tcW w:w="400" w:type="pct"/>
                  <w:noWrap w:val="0"/>
                  <w:vAlign w:val="center"/>
                </w:tcPr>
                <w:p w14:paraId="13D1F462">
                  <w:pPr>
                    <w:pStyle w:val="41"/>
                    <w:jc w:val="center"/>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符合情况</w:t>
                  </w:r>
                </w:p>
              </w:tc>
            </w:tr>
            <w:tr w14:paraId="1C4E4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54" w:type="pct"/>
                  <w:noWrap w:val="0"/>
                  <w:vAlign w:val="center"/>
                </w:tcPr>
                <w:p w14:paraId="7F650C28">
                  <w:pPr>
                    <w:pStyle w:val="41"/>
                    <w:jc w:val="center"/>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一、推进源头替代。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w:t>
                  </w:r>
                </w:p>
              </w:tc>
              <w:tc>
                <w:tcPr>
                  <w:tcW w:w="1144" w:type="pct"/>
                  <w:noWrap w:val="0"/>
                  <w:vAlign w:val="center"/>
                </w:tcPr>
                <w:p w14:paraId="4895467E">
                  <w:pPr>
                    <w:pStyle w:val="41"/>
                    <w:jc w:val="center"/>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FF0000"/>
                      <w:sz w:val="20"/>
                      <w:szCs w:val="20"/>
                      <w:highlight w:val="none"/>
                    </w:rPr>
                    <w:t>项目采用符合要求的低VOCs含量的</w:t>
                  </w:r>
                  <w:r>
                    <w:rPr>
                      <w:rFonts w:hint="eastAsia" w:ascii="Times New Roman" w:hAnsi="Times New Roman" w:cs="Times New Roman"/>
                      <w:color w:val="FF0000"/>
                      <w:sz w:val="20"/>
                      <w:szCs w:val="20"/>
                      <w:highlight w:val="none"/>
                      <w:lang w:eastAsia="zh-CN"/>
                    </w:rPr>
                    <w:t>胶粘剂</w:t>
                  </w:r>
                  <w:r>
                    <w:rPr>
                      <w:rFonts w:hint="default" w:ascii="Times New Roman" w:hAnsi="Times New Roman" w:eastAsia="宋体" w:cs="Times New Roman"/>
                      <w:color w:val="FF0000"/>
                      <w:sz w:val="20"/>
                      <w:szCs w:val="20"/>
                      <w:highlight w:val="none"/>
                    </w:rPr>
                    <w:t>实现源头替代来消减污染物排放。</w:t>
                  </w:r>
                </w:p>
              </w:tc>
              <w:tc>
                <w:tcPr>
                  <w:tcW w:w="400" w:type="pct"/>
                  <w:noWrap w:val="0"/>
                  <w:vAlign w:val="center"/>
                </w:tcPr>
                <w:p w14:paraId="5BC72A4F">
                  <w:pPr>
                    <w:pStyle w:val="41"/>
                    <w:jc w:val="center"/>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r w14:paraId="689DD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54" w:type="pct"/>
                  <w:noWrap w:val="0"/>
                  <w:vAlign w:val="center"/>
                </w:tcPr>
                <w:p w14:paraId="2EB717A7">
                  <w:pPr>
                    <w:pStyle w:val="41"/>
                    <w:jc w:val="center"/>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二、加强过程控制。</w:t>
                  </w:r>
                </w:p>
                <w:p w14:paraId="2C0AA751">
                  <w:pPr>
                    <w:pStyle w:val="41"/>
                    <w:jc w:val="center"/>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1.加强无组织排放控制，通过采取设备与场所密闭、工艺改进、废气有效收集等措施，削减VOCs无组织排放。</w:t>
                  </w:r>
                </w:p>
                <w:p w14:paraId="406692EE">
                  <w:pPr>
                    <w:pStyle w:val="41"/>
                    <w:jc w:val="center"/>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2.加强设备与场所密闭管理。含VOCs物料应储存于密闭容器、包装袋，高效密封储罐，封闭式储库、料仓等。含VOCs物料转移和输送，应采用密闭管道或密闭容器、罐车等。含VOCs物料生产和使用过程，应采取有效收集措施或在密闭空间中操作。</w:t>
                  </w:r>
                </w:p>
                <w:p w14:paraId="4C4A3297">
                  <w:pPr>
                    <w:pStyle w:val="41"/>
                    <w:jc w:val="center"/>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3.推进使用先进生产工艺。通过采用全密闭、连续化、自动化等生产技术，以及高效工艺与设备等，减少工艺过程无组织排放。</w:t>
                  </w:r>
                </w:p>
                <w:p w14:paraId="087882D0">
                  <w:pPr>
                    <w:pStyle w:val="41"/>
                    <w:jc w:val="center"/>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4.遵循“应收尽收、分质收集”的原则，科学设计废气收集系统，将无组织排放转变为有组织排放进行控制。采用局部集气罩的，距集气罩开口面最远处的VOCs无组织排放位置，控制风速应不低于0.3米/秒。集气罩的设计、安装应符合《机械安全局部排风通风系统安全要求》（GB/T35077），通风管路设计应符合《通风管道技术规程》（JGJ/T 141）等相关规范要求。</w:t>
                  </w:r>
                </w:p>
              </w:tc>
              <w:tc>
                <w:tcPr>
                  <w:tcW w:w="1144" w:type="pct"/>
                  <w:noWrap w:val="0"/>
                  <w:vAlign w:val="center"/>
                </w:tcPr>
                <w:p w14:paraId="23A93EE2">
                  <w:pPr>
                    <w:pStyle w:val="41"/>
                    <w:jc w:val="center"/>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本项目涉及VOCs原辅料密闭存储，并加强管理，废气有效收集</w:t>
                  </w:r>
                  <w:r>
                    <w:rPr>
                      <w:rFonts w:hint="default" w:ascii="Times New Roman" w:hAnsi="Times New Roman" w:eastAsia="宋体" w:cs="Times New Roman"/>
                      <w:color w:val="auto"/>
                      <w:sz w:val="20"/>
                      <w:szCs w:val="20"/>
                      <w:highlight w:val="none"/>
                      <w:lang w:eastAsia="zh-CN"/>
                    </w:rPr>
                    <w:t>，</w:t>
                  </w:r>
                  <w:r>
                    <w:rPr>
                      <w:rFonts w:hint="default" w:ascii="Times New Roman" w:hAnsi="Times New Roman" w:eastAsia="宋体" w:cs="Times New Roman"/>
                      <w:color w:val="auto"/>
                      <w:sz w:val="20"/>
                      <w:szCs w:val="20"/>
                      <w:highlight w:val="none"/>
                      <w:lang w:val="en-US" w:eastAsia="zh-CN"/>
                    </w:rPr>
                    <w:t>经废气处理措施处理后有组织排放，</w:t>
                  </w:r>
                  <w:r>
                    <w:rPr>
                      <w:rFonts w:hint="default" w:ascii="Times New Roman" w:hAnsi="Times New Roman" w:eastAsia="宋体" w:cs="Times New Roman"/>
                      <w:color w:val="auto"/>
                      <w:sz w:val="20"/>
                      <w:szCs w:val="20"/>
                      <w:highlight w:val="none"/>
                    </w:rPr>
                    <w:t>降低无组织排放量。</w:t>
                  </w:r>
                </w:p>
              </w:tc>
              <w:tc>
                <w:tcPr>
                  <w:tcW w:w="400" w:type="pct"/>
                  <w:noWrap w:val="0"/>
                  <w:vAlign w:val="center"/>
                </w:tcPr>
                <w:p w14:paraId="07B5F33E">
                  <w:pPr>
                    <w:pStyle w:val="41"/>
                    <w:jc w:val="center"/>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r w14:paraId="7E85D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54" w:type="pct"/>
                  <w:noWrap w:val="0"/>
                  <w:vAlign w:val="center"/>
                </w:tcPr>
                <w:p w14:paraId="7D1048BC">
                  <w:pPr>
                    <w:pStyle w:val="41"/>
                    <w:jc w:val="center"/>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三）加强末端管控。实行重点排放源排放浓度与去除效率双重控制。车间或生产设施收集排放的废气，VOCs初始排放速率大于等于3千克/小时、重点区域大于等2千克/小时的，应加大控制力度，除确保排放浓度稳定达标外，还应实行去除效率控制，VOCs去除率应不低于80%。有行业排放标准的按其相关规定执行。</w:t>
                  </w:r>
                </w:p>
              </w:tc>
              <w:tc>
                <w:tcPr>
                  <w:tcW w:w="1144" w:type="pct"/>
                  <w:noWrap w:val="0"/>
                  <w:vAlign w:val="center"/>
                </w:tcPr>
                <w:p w14:paraId="7C5F20C2">
                  <w:pPr>
                    <w:pStyle w:val="41"/>
                    <w:jc w:val="center"/>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本项目VOCs最大排放速率＜2kg/h，VOCs去除率应</w:t>
                  </w:r>
                  <w:r>
                    <w:rPr>
                      <w:rFonts w:hint="default" w:ascii="Times New Roman" w:hAnsi="Times New Roman" w:eastAsia="宋体" w:cs="Times New Roman"/>
                      <w:color w:val="auto"/>
                      <w:sz w:val="20"/>
                      <w:szCs w:val="20"/>
                      <w:highlight w:val="none"/>
                      <w:lang w:val="en-US" w:eastAsia="zh-CN"/>
                    </w:rPr>
                    <w:t>大于</w:t>
                  </w:r>
                  <w:r>
                    <w:rPr>
                      <w:rFonts w:hint="default" w:ascii="Times New Roman" w:hAnsi="Times New Roman" w:eastAsia="宋体" w:cs="Times New Roman"/>
                      <w:color w:val="auto"/>
                      <w:sz w:val="20"/>
                      <w:szCs w:val="20"/>
                      <w:highlight w:val="none"/>
                    </w:rPr>
                    <w:t>80%</w:t>
                  </w:r>
                  <w:r>
                    <w:rPr>
                      <w:rFonts w:hint="default" w:ascii="Times New Roman" w:hAnsi="Times New Roman" w:eastAsia="宋体" w:cs="Times New Roman"/>
                      <w:color w:val="auto"/>
                      <w:sz w:val="20"/>
                      <w:szCs w:val="20"/>
                      <w:highlight w:val="none"/>
                      <w:lang w:eastAsia="zh-CN"/>
                    </w:rPr>
                    <w:t>，</w:t>
                  </w:r>
                  <w:r>
                    <w:rPr>
                      <w:rFonts w:hint="default" w:ascii="Times New Roman" w:hAnsi="Times New Roman" w:eastAsia="宋体" w:cs="Times New Roman"/>
                      <w:color w:val="auto"/>
                      <w:sz w:val="20"/>
                      <w:szCs w:val="20"/>
                      <w:highlight w:val="none"/>
                    </w:rPr>
                    <w:t>能够实现稳定达标排放。</w:t>
                  </w:r>
                </w:p>
              </w:tc>
              <w:tc>
                <w:tcPr>
                  <w:tcW w:w="400" w:type="pct"/>
                  <w:noWrap w:val="0"/>
                  <w:vAlign w:val="center"/>
                </w:tcPr>
                <w:p w14:paraId="31ADA963">
                  <w:pPr>
                    <w:pStyle w:val="41"/>
                    <w:jc w:val="center"/>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符合</w:t>
                  </w:r>
                </w:p>
              </w:tc>
            </w:tr>
          </w:tbl>
          <w:p w14:paraId="1F49578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（6）与《吸附法工业有机废气治理工程技术规范》（HJ2026-2013）符合性分析</w:t>
            </w:r>
          </w:p>
          <w:p w14:paraId="28822F0E">
            <w:pPr>
              <w:pStyle w:val="39"/>
              <w:rPr>
                <w:rFonts w:hint="default" w:ascii="Times New Roman" w:hAnsi="Times New Roman" w:cs="Times New Roman"/>
                <w:color w:val="FF0000"/>
                <w:highlight w:val="none"/>
                <w:lang w:val="en-US" w:eastAsia="zh-CN"/>
              </w:rPr>
            </w:pPr>
            <w:r>
              <w:rPr>
                <w:rFonts w:hint="default" w:ascii="Times New Roman" w:hAnsi="Times New Roman" w:cs="Times New Roman"/>
                <w:color w:val="FF0000"/>
                <w:highlight w:val="none"/>
                <w:lang w:val="en-US" w:eastAsia="zh-CN"/>
              </w:rPr>
              <w:t>表</w:t>
            </w:r>
            <w:r>
              <w:rPr>
                <w:rFonts w:hint="eastAsia" w:ascii="Times New Roman" w:hAnsi="Times New Roman" w:cs="Times New Roman"/>
                <w:color w:val="FF0000"/>
                <w:highlight w:val="none"/>
                <w:lang w:val="en-US" w:eastAsia="zh-CN"/>
              </w:rPr>
              <w:t>10</w:t>
            </w:r>
            <w:r>
              <w:rPr>
                <w:rFonts w:hint="default" w:ascii="Times New Roman" w:hAnsi="Times New Roman" w:cs="Times New Roman"/>
                <w:color w:val="FF0000"/>
                <w:highlight w:val="none"/>
                <w:lang w:val="en-US" w:eastAsia="zh-CN"/>
              </w:rPr>
              <w:t xml:space="preserve"> 与</w:t>
            </w:r>
            <w:r>
              <w:rPr>
                <w:rFonts w:hint="eastAsia" w:ascii="Times New Roman" w:hAnsi="Times New Roman" w:cs="Times New Roman"/>
                <w:color w:val="FF0000"/>
                <w:highlight w:val="none"/>
                <w:lang w:val="en-US" w:eastAsia="zh-CN"/>
              </w:rPr>
              <w:t>《吸附法工业有机废气治理工程技术规范》（HJ2026-2013）</w:t>
            </w:r>
            <w:r>
              <w:rPr>
                <w:rFonts w:hint="default" w:ascii="Times New Roman" w:hAnsi="Times New Roman" w:cs="Times New Roman"/>
                <w:color w:val="FF0000"/>
                <w:highlight w:val="none"/>
                <w:lang w:val="en-US" w:eastAsia="zh-CN"/>
              </w:rPr>
              <w:t>符合性分析</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50"/>
              <w:gridCol w:w="1937"/>
              <w:gridCol w:w="677"/>
            </w:tblGrid>
            <w:tr w14:paraId="38ED3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55" w:type="pct"/>
                  <w:noWrap w:val="0"/>
                  <w:vAlign w:val="center"/>
                </w:tcPr>
                <w:p w14:paraId="3CF9C425">
                  <w:pPr>
                    <w:pStyle w:val="41"/>
                    <w:jc w:val="center"/>
                    <w:rPr>
                      <w:rFonts w:hint="default" w:ascii="Times New Roman" w:hAnsi="Times New Roman" w:eastAsia="宋体" w:cs="Times New Roman"/>
                      <w:color w:val="FF0000"/>
                      <w:sz w:val="20"/>
                      <w:szCs w:val="20"/>
                      <w:highlight w:val="none"/>
                    </w:rPr>
                  </w:pPr>
                  <w:r>
                    <w:rPr>
                      <w:rFonts w:hint="default" w:ascii="Times New Roman" w:hAnsi="Times New Roman" w:eastAsia="宋体" w:cs="Times New Roman"/>
                      <w:color w:val="FF0000"/>
                      <w:sz w:val="20"/>
                      <w:szCs w:val="20"/>
                      <w:highlight w:val="none"/>
                    </w:rPr>
                    <w:t>文件要求</w:t>
                  </w:r>
                </w:p>
              </w:tc>
              <w:tc>
                <w:tcPr>
                  <w:tcW w:w="1144" w:type="pct"/>
                  <w:noWrap w:val="0"/>
                  <w:vAlign w:val="center"/>
                </w:tcPr>
                <w:p w14:paraId="6F60EECA">
                  <w:pPr>
                    <w:pStyle w:val="41"/>
                    <w:jc w:val="center"/>
                    <w:rPr>
                      <w:rFonts w:hint="default" w:ascii="Times New Roman" w:hAnsi="Times New Roman" w:eastAsia="宋体" w:cs="Times New Roman"/>
                      <w:color w:val="FF0000"/>
                      <w:sz w:val="20"/>
                      <w:szCs w:val="20"/>
                      <w:highlight w:val="none"/>
                    </w:rPr>
                  </w:pPr>
                  <w:r>
                    <w:rPr>
                      <w:rFonts w:hint="default" w:ascii="Times New Roman" w:hAnsi="Times New Roman" w:eastAsia="宋体" w:cs="Times New Roman"/>
                      <w:color w:val="FF0000"/>
                      <w:sz w:val="20"/>
                      <w:szCs w:val="20"/>
                      <w:highlight w:val="none"/>
                    </w:rPr>
                    <w:t>本项目情况</w:t>
                  </w:r>
                </w:p>
              </w:tc>
              <w:tc>
                <w:tcPr>
                  <w:tcW w:w="400" w:type="pct"/>
                  <w:noWrap w:val="0"/>
                  <w:vAlign w:val="center"/>
                </w:tcPr>
                <w:p w14:paraId="7B06D088">
                  <w:pPr>
                    <w:pStyle w:val="41"/>
                    <w:jc w:val="center"/>
                    <w:rPr>
                      <w:rFonts w:hint="default" w:ascii="Times New Roman" w:hAnsi="Times New Roman" w:eastAsia="宋体" w:cs="Times New Roman"/>
                      <w:color w:val="FF0000"/>
                      <w:sz w:val="20"/>
                      <w:szCs w:val="20"/>
                      <w:highlight w:val="none"/>
                    </w:rPr>
                  </w:pPr>
                  <w:r>
                    <w:rPr>
                      <w:rFonts w:hint="default" w:ascii="Times New Roman" w:hAnsi="Times New Roman" w:eastAsia="宋体" w:cs="Times New Roman"/>
                      <w:color w:val="FF0000"/>
                      <w:sz w:val="20"/>
                      <w:szCs w:val="20"/>
                      <w:highlight w:val="none"/>
                    </w:rPr>
                    <w:t>符合情况</w:t>
                  </w:r>
                </w:p>
              </w:tc>
            </w:tr>
            <w:tr w14:paraId="18D1C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55" w:type="pct"/>
                  <w:noWrap w:val="0"/>
                  <w:vAlign w:val="center"/>
                </w:tcPr>
                <w:p w14:paraId="0727C1B2">
                  <w:pPr>
                    <w:pStyle w:val="41"/>
                    <w:jc w:val="center"/>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5.1一般规定</w:t>
                  </w:r>
                </w:p>
                <w:p w14:paraId="0AF4F4F4">
                  <w:pPr>
                    <w:pStyle w:val="41"/>
                    <w:jc w:val="center"/>
                    <w:rPr>
                      <w:rFonts w:hint="default" w:ascii="Times New Roman" w:hAnsi="Times New Roman" w:eastAsia="宋体" w:cs="Times New Roman"/>
                      <w:color w:val="FF0000"/>
                      <w:sz w:val="20"/>
                      <w:szCs w:val="20"/>
                      <w:highlight w:val="none"/>
                    </w:rPr>
                  </w:pPr>
                  <w:r>
                    <w:rPr>
                      <w:rFonts w:hint="default" w:ascii="Times New Roman" w:hAnsi="Times New Roman" w:eastAsia="宋体" w:cs="Times New Roman"/>
                      <w:color w:val="FF0000"/>
                      <w:sz w:val="20"/>
                      <w:szCs w:val="20"/>
                      <w:highlight w:val="none"/>
                    </w:rPr>
                    <w:t>5.1.1 治理工程建设应按国家相关的基本建设程序或技术改造审批程序进行，总体设计应满足《建设项目环境保护设计规定》和《建设项目环境保护管理条例》的规定。</w:t>
                  </w:r>
                </w:p>
                <w:p w14:paraId="28F356AF">
                  <w:pPr>
                    <w:pStyle w:val="41"/>
                    <w:jc w:val="center"/>
                    <w:rPr>
                      <w:rFonts w:hint="default" w:ascii="Times New Roman" w:hAnsi="Times New Roman" w:eastAsia="宋体" w:cs="Times New Roman"/>
                      <w:color w:val="FF0000"/>
                      <w:sz w:val="20"/>
                      <w:szCs w:val="20"/>
                      <w:highlight w:val="none"/>
                    </w:rPr>
                  </w:pPr>
                  <w:r>
                    <w:rPr>
                      <w:rFonts w:hint="default" w:ascii="Times New Roman" w:hAnsi="Times New Roman" w:eastAsia="宋体" w:cs="Times New Roman"/>
                      <w:color w:val="FF0000"/>
                      <w:sz w:val="20"/>
                      <w:szCs w:val="20"/>
                      <w:highlight w:val="none"/>
                    </w:rPr>
                    <w:t>5.1.2 治理工程应遵循综合治理、循环利用、达标排放、总量控制的原则。治理工艺设计应本着成熟可靠、技术先进、经济适用的原则，并考虑节能、安全和操作简便。</w:t>
                  </w:r>
                </w:p>
                <w:p w14:paraId="79416C07">
                  <w:pPr>
                    <w:pStyle w:val="41"/>
                    <w:jc w:val="center"/>
                    <w:rPr>
                      <w:rFonts w:hint="default" w:ascii="Times New Roman" w:hAnsi="Times New Roman" w:eastAsia="宋体" w:cs="Times New Roman"/>
                      <w:color w:val="FF0000"/>
                      <w:sz w:val="20"/>
                      <w:szCs w:val="20"/>
                      <w:highlight w:val="none"/>
                    </w:rPr>
                  </w:pPr>
                  <w:r>
                    <w:rPr>
                      <w:rFonts w:hint="default" w:ascii="Times New Roman" w:hAnsi="Times New Roman" w:eastAsia="宋体" w:cs="Times New Roman"/>
                      <w:color w:val="FF0000"/>
                      <w:sz w:val="20"/>
                      <w:szCs w:val="20"/>
                      <w:highlight w:val="none"/>
                    </w:rPr>
                    <w:t>5.1.3 治理工程应与生产工艺水平相适应。生产企业应把治理设备作为生产系统的一部分进行管理，治理设备应与产生废气的相应生产设备同步运转。</w:t>
                  </w:r>
                </w:p>
                <w:p w14:paraId="503C8B09">
                  <w:pPr>
                    <w:pStyle w:val="41"/>
                    <w:jc w:val="center"/>
                    <w:rPr>
                      <w:rFonts w:hint="default" w:ascii="Times New Roman" w:hAnsi="Times New Roman" w:eastAsia="宋体" w:cs="Times New Roman"/>
                      <w:color w:val="FF0000"/>
                      <w:sz w:val="20"/>
                      <w:szCs w:val="20"/>
                      <w:highlight w:val="none"/>
                    </w:rPr>
                  </w:pPr>
                  <w:r>
                    <w:rPr>
                      <w:rFonts w:hint="default" w:ascii="Times New Roman" w:hAnsi="Times New Roman" w:eastAsia="宋体" w:cs="Times New Roman"/>
                      <w:color w:val="FF0000"/>
                      <w:sz w:val="20"/>
                      <w:szCs w:val="20"/>
                      <w:highlight w:val="none"/>
                    </w:rPr>
                    <w:t>5.1.4 经过治理后的污染物排放应符合国家或地方相关大气污染物排放标准的规定。</w:t>
                  </w:r>
                </w:p>
                <w:p w14:paraId="42063DDA">
                  <w:pPr>
                    <w:pStyle w:val="41"/>
                    <w:jc w:val="center"/>
                    <w:rPr>
                      <w:rFonts w:hint="default" w:ascii="Times New Roman" w:hAnsi="Times New Roman" w:eastAsia="宋体" w:cs="Times New Roman"/>
                      <w:color w:val="FF0000"/>
                      <w:sz w:val="20"/>
                      <w:szCs w:val="20"/>
                      <w:highlight w:val="none"/>
                    </w:rPr>
                  </w:pPr>
                  <w:r>
                    <w:rPr>
                      <w:rFonts w:hint="default" w:ascii="Times New Roman" w:hAnsi="Times New Roman" w:eastAsia="宋体" w:cs="Times New Roman"/>
                      <w:color w:val="FF0000"/>
                      <w:sz w:val="20"/>
                      <w:szCs w:val="20"/>
                      <w:highlight w:val="none"/>
                    </w:rPr>
                    <w:t>5.1.5 治理工程在建设、运行过程中产生的废气、废水、废渣及其它污染物的治理与排放，应执行国家或地方环境保护法规和标准的相关规定，防止二次污染。</w:t>
                  </w:r>
                </w:p>
                <w:p w14:paraId="7F45BEF2">
                  <w:pPr>
                    <w:pStyle w:val="41"/>
                    <w:jc w:val="center"/>
                    <w:rPr>
                      <w:rFonts w:hint="default" w:ascii="Times New Roman" w:hAnsi="Times New Roman" w:eastAsia="宋体" w:cs="Times New Roman"/>
                      <w:color w:val="FF0000"/>
                      <w:sz w:val="20"/>
                      <w:szCs w:val="20"/>
                      <w:highlight w:val="none"/>
                    </w:rPr>
                  </w:pPr>
                  <w:r>
                    <w:rPr>
                      <w:rFonts w:hint="default" w:ascii="Times New Roman" w:hAnsi="Times New Roman" w:eastAsia="宋体" w:cs="Times New Roman"/>
                      <w:color w:val="FF0000"/>
                      <w:sz w:val="20"/>
                      <w:szCs w:val="20"/>
                      <w:highlight w:val="none"/>
                    </w:rPr>
                    <w:t>5.1.6 治理工程应按照国家相关法律法规、大气污染物排放标准和地方环境保护部门的要求设置在线连续监测设备。</w:t>
                  </w:r>
                </w:p>
              </w:tc>
              <w:tc>
                <w:tcPr>
                  <w:tcW w:w="1144" w:type="pct"/>
                  <w:noWrap w:val="0"/>
                  <w:vAlign w:val="center"/>
                </w:tcPr>
                <w:p w14:paraId="102E5DEC">
                  <w:pPr>
                    <w:pStyle w:val="41"/>
                    <w:jc w:val="center"/>
                    <w:rPr>
                      <w:rFonts w:hint="default" w:ascii="Times New Roman" w:hAnsi="Times New Roman" w:eastAsia="宋体" w:cs="Times New Roman"/>
                      <w:color w:val="FF0000"/>
                      <w:sz w:val="20"/>
                      <w:szCs w:val="20"/>
                      <w:highlight w:val="none"/>
                    </w:rPr>
                  </w:pPr>
                  <w:r>
                    <w:rPr>
                      <w:rFonts w:hint="default" w:ascii="Times New Roman" w:hAnsi="Times New Roman" w:eastAsia="宋体" w:cs="Times New Roman"/>
                      <w:color w:val="FF0000"/>
                      <w:sz w:val="20"/>
                      <w:szCs w:val="20"/>
                      <w:highlight w:val="none"/>
                    </w:rPr>
                    <w:t>项目</w:t>
                  </w:r>
                  <w:r>
                    <w:rPr>
                      <w:rFonts w:hint="eastAsia" w:ascii="Times New Roman" w:hAnsi="Times New Roman" w:eastAsia="宋体" w:cs="Times New Roman"/>
                      <w:color w:val="FF0000"/>
                      <w:sz w:val="20"/>
                      <w:szCs w:val="20"/>
                      <w:highlight w:val="none"/>
                      <w:lang w:eastAsia="zh-CN"/>
                    </w:rPr>
                    <w:t>采用成熟设计工艺工程、能够实现封边废气有组织达标排放，符合总量控制要求。并加强环保管理工作，在生产工序开启前提前开启活性炭吸附设施运行；产生的废活性炭委托有资质单位进行处理，不产生二次污染</w:t>
                  </w:r>
                  <w:r>
                    <w:rPr>
                      <w:rFonts w:hint="default" w:ascii="Times New Roman" w:hAnsi="Times New Roman" w:eastAsia="宋体" w:cs="Times New Roman"/>
                      <w:color w:val="FF0000"/>
                      <w:sz w:val="20"/>
                      <w:szCs w:val="20"/>
                      <w:highlight w:val="none"/>
                    </w:rPr>
                    <w:t>。</w:t>
                  </w:r>
                </w:p>
              </w:tc>
              <w:tc>
                <w:tcPr>
                  <w:tcW w:w="400" w:type="pct"/>
                  <w:noWrap w:val="0"/>
                  <w:vAlign w:val="center"/>
                </w:tcPr>
                <w:p w14:paraId="1CF667AF">
                  <w:pPr>
                    <w:pStyle w:val="41"/>
                    <w:jc w:val="center"/>
                    <w:rPr>
                      <w:rFonts w:hint="default" w:ascii="Times New Roman" w:hAnsi="Times New Roman" w:eastAsia="宋体" w:cs="Times New Roman"/>
                      <w:color w:val="FF0000"/>
                      <w:sz w:val="20"/>
                      <w:szCs w:val="20"/>
                      <w:highlight w:val="none"/>
                    </w:rPr>
                  </w:pPr>
                  <w:r>
                    <w:rPr>
                      <w:rFonts w:hint="default" w:ascii="Times New Roman" w:hAnsi="Times New Roman" w:eastAsia="宋体" w:cs="Times New Roman"/>
                      <w:color w:val="FF0000"/>
                      <w:sz w:val="20"/>
                      <w:szCs w:val="20"/>
                      <w:highlight w:val="none"/>
                    </w:rPr>
                    <w:t>符合</w:t>
                  </w:r>
                </w:p>
              </w:tc>
            </w:tr>
          </w:tbl>
          <w:p w14:paraId="7668BCC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r>
              <w:rPr>
                <w:rFonts w:hint="eastAsia" w:cs="Times New Roman"/>
                <w:color w:val="auto"/>
                <w:kern w:val="0"/>
                <w:sz w:val="21"/>
                <w:szCs w:val="21"/>
                <w:highlight w:val="none"/>
                <w:lang w:val="en-US" w:eastAsia="zh-CN" w:bidi="ar-SA"/>
              </w:rPr>
              <w:t>6</w:t>
            </w:r>
            <w:r>
              <w:rPr>
                <w:rFonts w:hint="default" w:ascii="Times New Roman" w:hAnsi="Times New Roman" w:eastAsia="宋体" w:cs="Times New Roman"/>
                <w:color w:val="auto"/>
                <w:kern w:val="0"/>
                <w:sz w:val="21"/>
                <w:szCs w:val="21"/>
                <w:highlight w:val="none"/>
                <w:lang w:val="en-US" w:eastAsia="zh-CN" w:bidi="ar-SA"/>
              </w:rPr>
              <w:t>）与《关于优化调整</w:t>
            </w:r>
            <w:r>
              <w:rPr>
                <w:rFonts w:hint="eastAsia"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两高</w:t>
            </w:r>
            <w:r>
              <w:rPr>
                <w:rFonts w:hint="eastAsia"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项目管理有关事项的补充通知》（鲁发改工业[2023]34号）文件符合性分析</w:t>
            </w:r>
          </w:p>
          <w:p w14:paraId="67EFA8AA">
            <w:pPr>
              <w:pStyle w:val="38"/>
              <w:rPr>
                <w:rFonts w:hint="eastAsia" w:cs="Times New Roman"/>
                <w:color w:val="auto"/>
                <w:highlight w:val="none"/>
                <w:lang w:val="en-US" w:eastAsia="zh-CN"/>
              </w:rPr>
            </w:pPr>
            <w:r>
              <w:rPr>
                <w:rFonts w:hint="default" w:ascii="Times New Roman" w:hAnsi="Times New Roman" w:eastAsia="宋体" w:cs="Times New Roman"/>
                <w:color w:val="auto"/>
                <w:highlight w:val="none"/>
                <w:lang w:eastAsia="zh-CN"/>
              </w:rPr>
              <w:t>经比对，本项目不属于</w:t>
            </w:r>
            <w:r>
              <w:rPr>
                <w:rFonts w:hint="default" w:ascii="Times New Roman" w:hAnsi="Times New Roman" w:eastAsia="宋体" w:cs="Times New Roman"/>
                <w:color w:val="auto"/>
                <w:highlight w:val="none"/>
                <w:lang w:val="en-US" w:eastAsia="zh-CN"/>
              </w:rPr>
              <w:t>《关于优化调整</w:t>
            </w:r>
            <w:r>
              <w:rPr>
                <w:rFonts w:hint="eastAsia"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两高</w:t>
            </w:r>
            <w:r>
              <w:rPr>
                <w:rFonts w:hint="eastAsia" w:cs="Times New Roman"/>
                <w:color w:val="auto"/>
                <w:kern w:val="0"/>
                <w:sz w:val="21"/>
                <w:szCs w:val="21"/>
                <w:highlight w:val="none"/>
                <w:lang w:val="en-US" w:eastAsia="zh-CN" w:bidi="ar-SA"/>
              </w:rPr>
              <w:t>”</w:t>
            </w:r>
            <w:r>
              <w:rPr>
                <w:rFonts w:hint="default" w:ascii="Times New Roman" w:hAnsi="Times New Roman" w:eastAsia="宋体" w:cs="Times New Roman"/>
                <w:color w:val="auto"/>
                <w:highlight w:val="none"/>
                <w:lang w:val="en-US" w:eastAsia="zh-CN"/>
              </w:rPr>
              <w:t>项目管理有关事项的补充通知》（鲁发改工业[2023]34号）附件中</w:t>
            </w:r>
            <w:r>
              <w:rPr>
                <w:rFonts w:hint="default" w:ascii="Times New Roman" w:hAnsi="Times New Roman" w:eastAsia="宋体" w:cs="Times New Roman"/>
                <w:color w:val="auto"/>
                <w:highlight w:val="none"/>
                <w:lang w:eastAsia="zh-CN"/>
              </w:rPr>
              <w:t>《山东省</w:t>
            </w:r>
            <w:r>
              <w:rPr>
                <w:rFonts w:hint="eastAsia" w:cs="Times New Roman"/>
                <w:color w:val="auto"/>
                <w:highlight w:val="none"/>
                <w:lang w:eastAsia="zh-CN"/>
              </w:rPr>
              <w:t>“</w:t>
            </w:r>
            <w:r>
              <w:rPr>
                <w:rFonts w:hint="default" w:ascii="Times New Roman" w:hAnsi="Times New Roman" w:eastAsia="宋体" w:cs="Times New Roman"/>
                <w:color w:val="auto"/>
                <w:highlight w:val="none"/>
                <w:lang w:eastAsia="zh-CN"/>
              </w:rPr>
              <w:t>两高</w:t>
            </w:r>
            <w:r>
              <w:rPr>
                <w:rFonts w:hint="eastAsia" w:cs="Times New Roman"/>
                <w:color w:val="auto"/>
                <w:highlight w:val="none"/>
                <w:lang w:eastAsia="zh-CN"/>
              </w:rPr>
              <w:t>”</w:t>
            </w:r>
            <w:r>
              <w:rPr>
                <w:rFonts w:hint="default" w:ascii="Times New Roman" w:hAnsi="Times New Roman" w:eastAsia="宋体" w:cs="Times New Roman"/>
                <w:color w:val="auto"/>
                <w:highlight w:val="none"/>
                <w:lang w:eastAsia="zh-CN"/>
              </w:rPr>
              <w:t>项目管理目录（</w:t>
            </w:r>
            <w:r>
              <w:rPr>
                <w:rFonts w:hint="default" w:ascii="Times New Roman" w:hAnsi="Times New Roman" w:eastAsia="宋体" w:cs="Times New Roman"/>
                <w:color w:val="auto"/>
                <w:highlight w:val="none"/>
                <w:lang w:val="en-US" w:eastAsia="zh-CN"/>
              </w:rPr>
              <w:t>2025年版</w:t>
            </w:r>
            <w:r>
              <w:rPr>
                <w:rFonts w:hint="default" w:ascii="Times New Roman" w:hAnsi="Times New Roman" w:eastAsia="宋体" w:cs="Times New Roman"/>
                <w:color w:val="auto"/>
                <w:highlight w:val="none"/>
                <w:lang w:eastAsia="zh-CN"/>
              </w:rPr>
              <w:t>）》中所涉及</w:t>
            </w:r>
            <w:r>
              <w:rPr>
                <w:rFonts w:hint="eastAsia" w:cs="Times New Roman"/>
                <w:color w:val="auto"/>
                <w:highlight w:val="none"/>
                <w:lang w:eastAsia="zh-CN"/>
              </w:rPr>
              <w:t>“</w:t>
            </w:r>
            <w:r>
              <w:rPr>
                <w:rFonts w:hint="default" w:ascii="Times New Roman" w:hAnsi="Times New Roman" w:eastAsia="宋体" w:cs="Times New Roman"/>
                <w:color w:val="auto"/>
                <w:highlight w:val="none"/>
                <w:lang w:eastAsia="zh-CN"/>
              </w:rPr>
              <w:t>两高行业</w:t>
            </w:r>
            <w:r>
              <w:rPr>
                <w:rFonts w:hint="eastAsia" w:cs="Times New Roman"/>
                <w:color w:val="auto"/>
                <w:highlight w:val="none"/>
                <w:lang w:eastAsia="zh-CN"/>
              </w:rPr>
              <w:t>”</w:t>
            </w:r>
            <w:r>
              <w:rPr>
                <w:rFonts w:hint="default" w:ascii="Times New Roman" w:hAnsi="Times New Roman" w:eastAsia="宋体" w:cs="Times New Roman"/>
                <w:color w:val="auto"/>
                <w:highlight w:val="none"/>
                <w:lang w:eastAsia="zh-CN"/>
              </w:rPr>
              <w:t>。因此本项目</w:t>
            </w:r>
            <w:r>
              <w:rPr>
                <w:rFonts w:hint="default" w:ascii="Times New Roman" w:hAnsi="Times New Roman" w:eastAsia="宋体" w:cs="Times New Roman"/>
                <w:color w:val="auto"/>
                <w:highlight w:val="none"/>
                <w:lang w:val="en-US" w:eastAsia="zh-CN"/>
              </w:rPr>
              <w:t>符合《关于优化调整</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两高</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项目管理有关事项的补充通知》（鲁发改工业[2023]34号）</w:t>
            </w:r>
            <w:r>
              <w:rPr>
                <w:rFonts w:hint="default" w:ascii="Times New Roman" w:hAnsi="Times New Roman" w:eastAsia="宋体" w:cs="Times New Roman"/>
                <w:color w:val="auto"/>
                <w:highlight w:val="none"/>
                <w:lang w:eastAsia="zh-CN"/>
              </w:rPr>
              <w:t>文件</w:t>
            </w:r>
            <w:r>
              <w:rPr>
                <w:rFonts w:hint="default" w:ascii="Times New Roman" w:hAnsi="Times New Roman" w:eastAsia="宋体" w:cs="Times New Roman"/>
                <w:color w:val="auto"/>
                <w:highlight w:val="none"/>
              </w:rPr>
              <w:t>要求</w:t>
            </w:r>
            <w:r>
              <w:rPr>
                <w:rFonts w:hint="default" w:ascii="Times New Roman" w:hAnsi="Times New Roman" w:eastAsia="宋体" w:cs="Times New Roman"/>
                <w:color w:val="auto"/>
                <w:highlight w:val="none"/>
                <w:lang w:eastAsia="zh-CN"/>
              </w:rPr>
              <w:t>，不属于</w:t>
            </w:r>
            <w:r>
              <w:rPr>
                <w:rFonts w:hint="eastAsia" w:cs="Times New Roman"/>
                <w:color w:val="auto"/>
                <w:highlight w:val="none"/>
                <w:lang w:eastAsia="zh-CN"/>
              </w:rPr>
              <w:t>“</w:t>
            </w:r>
            <w:r>
              <w:rPr>
                <w:rFonts w:hint="default" w:ascii="Times New Roman" w:hAnsi="Times New Roman" w:eastAsia="宋体" w:cs="Times New Roman"/>
                <w:color w:val="auto"/>
                <w:highlight w:val="none"/>
                <w:lang w:eastAsia="zh-CN"/>
              </w:rPr>
              <w:t>两高</w:t>
            </w:r>
            <w:r>
              <w:rPr>
                <w:rFonts w:hint="eastAsia" w:cs="Times New Roman"/>
                <w:color w:val="auto"/>
                <w:highlight w:val="none"/>
                <w:lang w:eastAsia="zh-CN"/>
              </w:rPr>
              <w:t>”</w:t>
            </w:r>
            <w:r>
              <w:rPr>
                <w:rFonts w:hint="default" w:ascii="Times New Roman" w:hAnsi="Times New Roman" w:eastAsia="宋体" w:cs="Times New Roman"/>
                <w:color w:val="auto"/>
                <w:highlight w:val="none"/>
                <w:lang w:eastAsia="zh-CN"/>
              </w:rPr>
              <w:t>项目。</w:t>
            </w:r>
          </w:p>
          <w:p w14:paraId="5023C48D">
            <w:pPr>
              <w:pStyle w:val="38"/>
              <w:rPr>
                <w:rFonts w:hint="eastAsia" w:cs="Times New Roman"/>
                <w:color w:val="auto"/>
                <w:highlight w:val="none"/>
                <w:lang w:val="en-US" w:eastAsia="zh-CN"/>
              </w:rPr>
            </w:pPr>
          </w:p>
          <w:p w14:paraId="5651654E">
            <w:pPr>
              <w:pStyle w:val="38"/>
              <w:rPr>
                <w:rFonts w:hint="eastAsia" w:cs="Times New Roman"/>
                <w:color w:val="auto"/>
                <w:highlight w:val="none"/>
                <w:lang w:val="en-US" w:eastAsia="zh-CN"/>
              </w:rPr>
            </w:pPr>
          </w:p>
          <w:p w14:paraId="73CFE945">
            <w:pPr>
              <w:pStyle w:val="38"/>
              <w:rPr>
                <w:rFonts w:hint="eastAsia" w:cs="Times New Roman"/>
                <w:color w:val="auto"/>
                <w:highlight w:val="none"/>
                <w:lang w:val="en-US" w:eastAsia="zh-CN"/>
              </w:rPr>
            </w:pPr>
          </w:p>
          <w:p w14:paraId="4833F953">
            <w:pPr>
              <w:pStyle w:val="38"/>
              <w:rPr>
                <w:rFonts w:hint="eastAsia" w:ascii="Times New Roman" w:hAnsi="Times New Roman" w:eastAsia="宋体" w:cs="Times New Roman"/>
                <w:color w:val="auto"/>
                <w:highlight w:val="none"/>
                <w:lang w:val="en-US" w:eastAsia="zh-CN"/>
              </w:rPr>
            </w:pPr>
          </w:p>
          <w:p w14:paraId="6A49E646">
            <w:pPr>
              <w:rPr>
                <w:rFonts w:hint="default" w:ascii="Times New Roman" w:hAnsi="Times New Roman" w:cs="Times New Roman"/>
                <w:color w:val="auto"/>
                <w:highlight w:val="none"/>
              </w:rPr>
            </w:pPr>
          </w:p>
        </w:tc>
      </w:tr>
    </w:tbl>
    <w:p w14:paraId="030657FD">
      <w:pPr>
        <w:rPr>
          <w:color w:val="auto"/>
          <w:highlight w:val="none"/>
        </w:rPr>
        <w:sectPr>
          <w:footerReference r:id="rId7" w:type="default"/>
          <w:pgSz w:w="11906" w:h="16838"/>
          <w:pgMar w:top="1418" w:right="1247" w:bottom="1418" w:left="1247" w:header="851" w:footer="851" w:gutter="0"/>
          <w:pgBorders>
            <w:top w:val="none" w:sz="0" w:space="0"/>
            <w:left w:val="none" w:sz="0" w:space="0"/>
            <w:bottom w:val="none" w:sz="0" w:space="0"/>
            <w:right w:val="none" w:sz="0" w:space="0"/>
          </w:pgBorders>
          <w:pgNumType w:start="1"/>
          <w:cols w:space="720" w:num="1"/>
          <w:docGrid w:type="lines" w:linePitch="291" w:charSpace="0"/>
        </w:sectPr>
      </w:pPr>
    </w:p>
    <w:p w14:paraId="256A2A27">
      <w:pPr>
        <w:jc w:val="center"/>
        <w:outlineLvl w:val="0"/>
        <w:rPr>
          <w:rFonts w:hint="eastAsia"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二、建设项目工程分析</w:t>
      </w:r>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41"/>
        <w:gridCol w:w="8951"/>
      </w:tblGrid>
      <w:tr w14:paraId="11E158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1" w:type="dxa"/>
            <w:vAlign w:val="center"/>
          </w:tcPr>
          <w:p w14:paraId="74DFD835">
            <w:pPr>
              <w:adjustRightIn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建设内容</w:t>
            </w:r>
          </w:p>
        </w:tc>
        <w:tc>
          <w:tcPr>
            <w:tcW w:w="8951" w:type="dxa"/>
          </w:tcPr>
          <w:p w14:paraId="75091109">
            <w:pPr>
              <w:pStyle w:val="38"/>
              <w:ind w:firstLine="42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一、项目概况</w:t>
            </w:r>
          </w:p>
          <w:p w14:paraId="1AF45CCD">
            <w:pPr>
              <w:pStyle w:val="38"/>
              <w:bidi w:val="0"/>
              <w:rPr>
                <w:rFonts w:hint="default"/>
                <w:color w:val="auto"/>
                <w:highlight w:val="none"/>
                <w:lang w:val="en-US" w:eastAsia="zh-CN"/>
              </w:rPr>
            </w:pPr>
            <w:r>
              <w:rPr>
                <w:rFonts w:hint="eastAsia"/>
                <w:color w:val="auto"/>
                <w:highlight w:val="none"/>
                <w:lang w:val="en-US" w:eastAsia="zh-CN"/>
              </w:rPr>
              <w:t>淄博美嘉洁实验室装备有限公司</w:t>
            </w:r>
            <w:r>
              <w:rPr>
                <w:rFonts w:hint="default"/>
                <w:color w:val="auto"/>
                <w:highlight w:val="none"/>
              </w:rPr>
              <w:t>注册地位于山东省淄博市淄博经济开发区傅家镇双杨管区天津路与梁牛路路口西150米路北院内东侧第二间车间，法定代表人为于文涛。</w:t>
            </w:r>
            <w:r>
              <w:rPr>
                <w:rFonts w:hint="eastAsia"/>
                <w:color w:val="auto"/>
                <w:highlight w:val="none"/>
                <w:lang w:eastAsia="zh-CN"/>
              </w:rPr>
              <w:t>公司主营业务主要为</w:t>
            </w:r>
            <w:r>
              <w:rPr>
                <w:rFonts w:hint="eastAsia"/>
                <w:color w:val="auto"/>
                <w:highlight w:val="none"/>
              </w:rPr>
              <w:t>实验室设备、空气净化设备生产、销售、安装、调试；办公家具设计、生产、销售；空气净化工程设计、施工；管道的安装、施工；实验室通风系统的安装；水处理设备的销售；装饰材料的销售</w:t>
            </w:r>
            <w:r>
              <w:rPr>
                <w:rFonts w:hint="default"/>
                <w:color w:val="auto"/>
                <w:highlight w:val="none"/>
                <w:lang w:val="en-US" w:eastAsia="zh-CN"/>
              </w:rPr>
              <w:t>。</w:t>
            </w:r>
          </w:p>
          <w:p w14:paraId="180472C4">
            <w:pPr>
              <w:pStyle w:val="38"/>
              <w:bidi w:val="0"/>
              <w:rPr>
                <w:rFonts w:hint="eastAsia" w:eastAsia="宋体"/>
                <w:color w:val="auto"/>
                <w:highlight w:val="none"/>
                <w:lang w:val="en-US" w:eastAsia="zh-CN"/>
              </w:rPr>
            </w:pPr>
            <w:r>
              <w:rPr>
                <w:rFonts w:hint="eastAsia"/>
                <w:color w:val="auto"/>
                <w:highlight w:val="none"/>
                <w:lang w:val="en-US" w:eastAsia="zh-CN"/>
              </w:rPr>
              <w:t>在国家科技创新战略全面推进、研发经费持续高增长的宏观背景下，我国实验室建设与改造投资规模不断扩大，从应用端看，高校、科研院所、第三方检测机构及高科技企业对安全、耐用、模块化的钢木/全钢实验台、理化板台面等核心装备需求旺盛。在此背景下，专业实验室装备制造迎来重大发展机遇，市场空间广阔、增长动力强劲。在此背景下，淄博美嘉洁实验室装备有限公司拟投资500万元</w:t>
            </w:r>
            <w:r>
              <w:rPr>
                <w:rFonts w:hint="default"/>
                <w:color w:val="auto"/>
                <w:highlight w:val="none"/>
                <w:lang w:val="en-US" w:eastAsia="zh-CN"/>
              </w:rPr>
              <w:t>建设</w:t>
            </w:r>
            <w:r>
              <w:rPr>
                <w:rFonts w:hint="eastAsia"/>
                <w:color w:val="auto"/>
                <w:highlight w:val="none"/>
                <w:lang w:val="en-US" w:eastAsia="zh-CN"/>
              </w:rPr>
              <w:t>年产1000套实验室装备项目</w:t>
            </w:r>
            <w:r>
              <w:rPr>
                <w:rFonts w:hint="default"/>
                <w:color w:val="auto"/>
                <w:highlight w:val="none"/>
                <w:lang w:val="en-US" w:eastAsia="zh-CN"/>
              </w:rPr>
              <w:t>。根据《中华人民共和国环境保护法》和《中华人民共和国环境影响评价法》，本项目应开展环境影响评价，</w:t>
            </w:r>
            <w:r>
              <w:rPr>
                <w:rFonts w:hint="eastAsia"/>
                <w:color w:val="auto"/>
                <w:highlight w:val="none"/>
                <w:lang w:val="en-US" w:eastAsia="zh-CN"/>
              </w:rPr>
              <w:t>本项目</w:t>
            </w:r>
            <w:r>
              <w:rPr>
                <w:rFonts w:hint="default"/>
                <w:color w:val="auto"/>
                <w:highlight w:val="none"/>
                <w:lang w:val="en-US" w:eastAsia="zh-CN"/>
              </w:rPr>
              <w:t>属于《建设项目环境影响评价分类管理名录》（2021年版）中</w:t>
            </w:r>
            <w:r>
              <w:rPr>
                <w:rFonts w:hint="eastAsia"/>
                <w:color w:val="auto"/>
                <w:highlight w:val="none"/>
                <w:lang w:val="en-US" w:eastAsia="zh-CN"/>
              </w:rPr>
              <w:t>“</w:t>
            </w:r>
            <w:r>
              <w:rPr>
                <w:rFonts w:hint="eastAsia" w:ascii="Times New Roman" w:hAnsi="Times New Roman" w:eastAsia="宋体" w:cs="Times New Roman"/>
                <w:color w:val="auto"/>
                <w:kern w:val="21"/>
                <w:highlight w:val="none"/>
                <w:lang w:val="en-US" w:eastAsia="zh-CN"/>
              </w:rPr>
              <w:t xml:space="preserve">十八、家具制造业 </w:t>
            </w:r>
            <w:r>
              <w:rPr>
                <w:rFonts w:hint="default" w:ascii="Times New Roman" w:hAnsi="Times New Roman" w:eastAsia="宋体" w:cs="Times New Roman"/>
                <w:color w:val="auto"/>
                <w:kern w:val="21"/>
                <w:highlight w:val="none"/>
                <w:lang w:val="en-US" w:eastAsia="zh-CN"/>
              </w:rPr>
              <w:t>21</w:t>
            </w:r>
            <w:r>
              <w:rPr>
                <w:rFonts w:hint="eastAsia" w:ascii="Times New Roman" w:hAnsi="Times New Roman" w:eastAsia="宋体" w:cs="Times New Roman"/>
                <w:color w:val="auto"/>
                <w:kern w:val="21"/>
                <w:highlight w:val="none"/>
                <w:lang w:val="en-US" w:eastAsia="zh-CN"/>
              </w:rPr>
              <w:t>；</w:t>
            </w:r>
            <w:r>
              <w:rPr>
                <w:rFonts w:hint="default" w:ascii="Times New Roman" w:hAnsi="Times New Roman" w:eastAsia="宋体" w:cs="Times New Roman"/>
                <w:color w:val="auto"/>
                <w:kern w:val="21"/>
                <w:highlight w:val="none"/>
                <w:lang w:val="en-US" w:eastAsia="zh-CN"/>
              </w:rPr>
              <w:t>36</w:t>
            </w:r>
            <w:r>
              <w:rPr>
                <w:rFonts w:hint="eastAsia" w:ascii="Times New Roman" w:hAnsi="Times New Roman" w:eastAsia="宋体" w:cs="Times New Roman"/>
                <w:color w:val="auto"/>
                <w:kern w:val="21"/>
                <w:highlight w:val="none"/>
                <w:lang w:val="en-US" w:eastAsia="zh-CN"/>
              </w:rPr>
              <w:t xml:space="preserve">、金属家具制造 </w:t>
            </w:r>
            <w:r>
              <w:rPr>
                <w:rFonts w:hint="default" w:ascii="Times New Roman" w:hAnsi="Times New Roman" w:eastAsia="宋体" w:cs="Times New Roman"/>
                <w:color w:val="auto"/>
                <w:kern w:val="21"/>
                <w:highlight w:val="none"/>
                <w:lang w:val="en-US" w:eastAsia="zh-CN"/>
              </w:rPr>
              <w:t>21</w:t>
            </w:r>
            <w:r>
              <w:rPr>
                <w:rFonts w:hint="eastAsia" w:ascii="Times New Roman" w:hAnsi="Times New Roman" w:eastAsia="宋体" w:cs="Times New Roman"/>
                <w:color w:val="auto"/>
                <w:kern w:val="21"/>
                <w:highlight w:val="none"/>
                <w:lang w:val="en-US" w:eastAsia="zh-CN"/>
              </w:rPr>
              <w:t>3</w:t>
            </w:r>
            <w:r>
              <w:rPr>
                <w:rFonts w:hint="default" w:ascii="Times New Roman" w:hAnsi="Times New Roman" w:eastAsia="宋体" w:cs="Times New Roman"/>
                <w:color w:val="auto"/>
                <w:kern w:val="21"/>
                <w:highlight w:val="none"/>
                <w:lang w:val="en-US" w:eastAsia="zh-CN"/>
              </w:rPr>
              <w:t>*</w:t>
            </w:r>
            <w:r>
              <w:rPr>
                <w:rFonts w:hint="eastAsia" w:ascii="Times New Roman" w:hAnsi="Times New Roman" w:eastAsia="宋体" w:cs="Times New Roman"/>
                <w:color w:val="auto"/>
                <w:kern w:val="21"/>
                <w:highlight w:val="none"/>
                <w:lang w:val="en-US" w:eastAsia="zh-CN"/>
              </w:rPr>
              <w:t>；其他（仅分割、组装的除外；年用非溶剂型低</w:t>
            </w:r>
            <w:r>
              <w:rPr>
                <w:rFonts w:hint="default" w:ascii="Times New Roman" w:hAnsi="Times New Roman" w:eastAsia="宋体" w:cs="Times New Roman"/>
                <w:color w:val="auto"/>
                <w:kern w:val="21"/>
                <w:highlight w:val="none"/>
                <w:lang w:val="en-US" w:eastAsia="zh-CN"/>
              </w:rPr>
              <w:t>VOCs</w:t>
            </w:r>
            <w:r>
              <w:rPr>
                <w:rFonts w:hint="eastAsia" w:ascii="Times New Roman" w:hAnsi="Times New Roman" w:eastAsia="宋体" w:cs="Times New Roman"/>
                <w:color w:val="auto"/>
                <w:kern w:val="21"/>
                <w:highlight w:val="none"/>
                <w:lang w:val="en-US" w:eastAsia="zh-CN"/>
              </w:rPr>
              <w:t>含量涂料</w:t>
            </w:r>
            <w:r>
              <w:rPr>
                <w:rFonts w:hint="default" w:ascii="Times New Roman" w:hAnsi="Times New Roman" w:eastAsia="宋体" w:cs="Times New Roman"/>
                <w:color w:val="auto"/>
                <w:kern w:val="21"/>
                <w:highlight w:val="none"/>
                <w:lang w:val="en-US" w:eastAsia="zh-CN"/>
              </w:rPr>
              <w:t>10</w:t>
            </w:r>
            <w:r>
              <w:rPr>
                <w:rFonts w:hint="eastAsia" w:ascii="Times New Roman" w:hAnsi="Times New Roman" w:eastAsia="宋体" w:cs="Times New Roman"/>
                <w:color w:val="auto"/>
                <w:kern w:val="21"/>
                <w:highlight w:val="none"/>
                <w:lang w:val="en-US" w:eastAsia="zh-CN"/>
              </w:rPr>
              <w:t>吨以下的除外）</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，应编制报告表。受</w:t>
            </w:r>
            <w:r>
              <w:rPr>
                <w:rFonts w:hint="eastAsia" w:cs="Times New Roman"/>
                <w:color w:val="auto"/>
                <w:highlight w:val="none"/>
                <w:lang w:eastAsia="zh-CN"/>
              </w:rPr>
              <w:t>淄博美嘉洁实验室装备有限公司</w:t>
            </w:r>
            <w:r>
              <w:rPr>
                <w:rFonts w:hint="default" w:ascii="Times New Roman" w:hAnsi="Times New Roman" w:eastAsia="宋体" w:cs="Times New Roman"/>
                <w:color w:val="auto"/>
                <w:highlight w:val="none"/>
              </w:rPr>
              <w:t>委托，我单位承担该项目的环境影响评价工作，经过现场踏勘和资料收集，按照《建设项目环境影响报告表编制技术指南（污染类）》（试行），编制该项目环境影响报告表</w:t>
            </w:r>
            <w:r>
              <w:rPr>
                <w:rFonts w:hint="eastAsia" w:cs="Times New Roman"/>
                <w:color w:val="auto"/>
                <w:highlight w:val="none"/>
                <w:lang w:eastAsia="zh-CN"/>
              </w:rPr>
              <w:t>。</w:t>
            </w:r>
          </w:p>
          <w:p w14:paraId="32EC5FED">
            <w:pPr>
              <w:pStyle w:val="38"/>
              <w:ind w:firstLine="42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二、项目基本情况</w:t>
            </w:r>
          </w:p>
          <w:p w14:paraId="3128C54A">
            <w:pPr>
              <w:pStyle w:val="38"/>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（1）项目名称：</w:t>
            </w:r>
            <w:r>
              <w:rPr>
                <w:rFonts w:hint="eastAsia" w:cs="Times New Roman"/>
                <w:color w:val="auto"/>
                <w:highlight w:val="none"/>
                <w:lang w:eastAsia="zh-CN"/>
              </w:rPr>
              <w:t>年产1000套实验室装备项目</w:t>
            </w:r>
          </w:p>
          <w:p w14:paraId="04257896">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t>（2）总投资：</w:t>
            </w:r>
            <w:r>
              <w:rPr>
                <w:rFonts w:hint="eastAsia" w:cs="Times New Roman"/>
                <w:color w:val="auto"/>
                <w:highlight w:val="none"/>
                <w:lang w:val="en-US" w:eastAsia="zh-CN"/>
              </w:rPr>
              <w:t>500</w:t>
            </w:r>
            <w:r>
              <w:rPr>
                <w:rFonts w:hint="default" w:ascii="Times New Roman" w:hAnsi="Times New Roman" w:cs="Times New Roman"/>
                <w:color w:val="auto"/>
                <w:highlight w:val="none"/>
              </w:rPr>
              <w:t>万元</w:t>
            </w:r>
          </w:p>
          <w:p w14:paraId="2C8FB7A8">
            <w:pPr>
              <w:pStyle w:val="38"/>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（3）建设性质：</w:t>
            </w:r>
            <w:r>
              <w:rPr>
                <w:rFonts w:hint="default" w:ascii="Times New Roman" w:hAnsi="Times New Roman" w:cs="Times New Roman"/>
                <w:color w:val="auto"/>
                <w:highlight w:val="none"/>
                <w:lang w:eastAsia="zh-CN"/>
              </w:rPr>
              <w:t>新建</w:t>
            </w:r>
          </w:p>
          <w:p w14:paraId="20858578">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t>（4）建设地点：</w:t>
            </w:r>
            <w:r>
              <w:rPr>
                <w:rFonts w:hint="eastAsia" w:cs="Times New Roman"/>
                <w:color w:val="auto"/>
                <w:sz w:val="21"/>
                <w:szCs w:val="21"/>
                <w:highlight w:val="none"/>
                <w:lang w:eastAsia="zh-CN"/>
              </w:rPr>
              <w:t>山东省淄博市淄博经济开发区傅家镇双杨管区天津路与梁牛路路口西150米路北院内东侧第二间车间</w:t>
            </w:r>
          </w:p>
          <w:p w14:paraId="3D5E137A">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t>（5）建设内容</w:t>
            </w:r>
          </w:p>
          <w:p w14:paraId="5D1E02B7">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t>项目主要建设内容详见下表。</w:t>
            </w:r>
          </w:p>
          <w:p w14:paraId="5226B9A4">
            <w:pPr>
              <w:pStyle w:val="39"/>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 xml:space="preserve">11 </w:t>
            </w:r>
            <w:r>
              <w:rPr>
                <w:rFonts w:hint="default" w:ascii="Times New Roman" w:hAnsi="Times New Roman" w:cs="Times New Roman"/>
                <w:color w:val="auto"/>
                <w:highlight w:val="none"/>
              </w:rPr>
              <w:t>项目基本情况一览表</w:t>
            </w:r>
            <w:bookmarkStart w:id="7" w:name="_Hlk110956544"/>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6"/>
              <w:gridCol w:w="1370"/>
              <w:gridCol w:w="4725"/>
              <w:gridCol w:w="1494"/>
            </w:tblGrid>
            <w:tr w14:paraId="4869E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36" w:type="dxa"/>
                  <w:vAlign w:val="center"/>
                </w:tcPr>
                <w:p w14:paraId="75C9DAC3">
                  <w:pPr>
                    <w:pStyle w:val="41"/>
                    <w:rPr>
                      <w:rFonts w:hint="default" w:ascii="Times New Roman" w:hAnsi="Times New Roman" w:eastAsia="宋体" w:cs="Times New Roman"/>
                      <w:color w:val="auto"/>
                      <w:sz w:val="20"/>
                      <w:szCs w:val="20"/>
                      <w:highlight w:val="none"/>
                      <w:lang w:eastAsia="zh-CN"/>
                    </w:rPr>
                  </w:pPr>
                  <w:bookmarkStart w:id="8" w:name="_Hlk73965745"/>
                  <w:r>
                    <w:rPr>
                      <w:rFonts w:hint="default" w:ascii="Times New Roman" w:hAnsi="Times New Roman" w:eastAsia="宋体" w:cs="Times New Roman"/>
                      <w:color w:val="auto"/>
                      <w:sz w:val="20"/>
                      <w:szCs w:val="20"/>
                      <w:highlight w:val="none"/>
                      <w:lang w:eastAsia="zh-CN"/>
                    </w:rPr>
                    <w:t>工程类别</w:t>
                  </w:r>
                </w:p>
              </w:tc>
              <w:tc>
                <w:tcPr>
                  <w:tcW w:w="1370" w:type="dxa"/>
                  <w:vAlign w:val="center"/>
                </w:tcPr>
                <w:p w14:paraId="5BDA72D5">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项目内容</w:t>
                  </w:r>
                </w:p>
              </w:tc>
              <w:tc>
                <w:tcPr>
                  <w:tcW w:w="4725" w:type="dxa"/>
                  <w:vAlign w:val="center"/>
                </w:tcPr>
                <w:p w14:paraId="6674494A">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建设内容</w:t>
                  </w:r>
                </w:p>
              </w:tc>
              <w:tc>
                <w:tcPr>
                  <w:tcW w:w="1494" w:type="dxa"/>
                  <w:vAlign w:val="center"/>
                </w:tcPr>
                <w:p w14:paraId="162C9C03">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备注</w:t>
                  </w:r>
                </w:p>
              </w:tc>
            </w:tr>
            <w:tr w14:paraId="35B41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36" w:type="dxa"/>
                  <w:vAlign w:val="center"/>
                </w:tcPr>
                <w:p w14:paraId="49D327D4">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主体工程</w:t>
                  </w:r>
                </w:p>
              </w:tc>
              <w:tc>
                <w:tcPr>
                  <w:tcW w:w="1370" w:type="dxa"/>
                  <w:vAlign w:val="center"/>
                </w:tcPr>
                <w:p w14:paraId="44ABBF4A">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生产车间</w:t>
                  </w:r>
                </w:p>
              </w:tc>
              <w:tc>
                <w:tcPr>
                  <w:tcW w:w="4725" w:type="dxa"/>
                  <w:vAlign w:val="center"/>
                </w:tcPr>
                <w:p w14:paraId="0BD65A78">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eastAsia="zh-CN"/>
                    </w:rPr>
                    <w:t>占地面积</w:t>
                  </w:r>
                  <w:r>
                    <w:rPr>
                      <w:rFonts w:hint="eastAsia" w:ascii="Times New Roman" w:hAnsi="Times New Roman" w:eastAsia="宋体" w:cs="Times New Roman"/>
                      <w:color w:val="auto"/>
                      <w:sz w:val="20"/>
                      <w:szCs w:val="20"/>
                      <w:highlight w:val="none"/>
                      <w:lang w:val="en-US" w:eastAsia="zh-CN"/>
                    </w:rPr>
                    <w:t>1440</w:t>
                  </w:r>
                  <w:r>
                    <w:rPr>
                      <w:rFonts w:hint="default" w:ascii="Times New Roman" w:hAnsi="Times New Roman" w:eastAsia="宋体" w:cs="Times New Roman"/>
                      <w:color w:val="auto"/>
                      <w:sz w:val="20"/>
                      <w:szCs w:val="20"/>
                      <w:highlight w:val="none"/>
                      <w:lang w:eastAsia="zh-CN"/>
                    </w:rPr>
                    <w:t>m</w:t>
                  </w:r>
                  <w:r>
                    <w:rPr>
                      <w:rFonts w:hint="default" w:ascii="Times New Roman" w:hAnsi="Times New Roman" w:eastAsia="宋体" w:cs="Times New Roman"/>
                      <w:color w:val="auto"/>
                      <w:sz w:val="20"/>
                      <w:szCs w:val="20"/>
                      <w:highlight w:val="none"/>
                      <w:vertAlign w:val="superscript"/>
                      <w:lang w:eastAsia="zh-CN"/>
                    </w:rPr>
                    <w:t>2</w:t>
                  </w:r>
                  <w:r>
                    <w:rPr>
                      <w:rFonts w:hint="default" w:ascii="Times New Roman" w:hAnsi="Times New Roman" w:eastAsia="宋体" w:cs="Times New Roman"/>
                      <w:color w:val="auto"/>
                      <w:sz w:val="20"/>
                      <w:szCs w:val="20"/>
                      <w:highlight w:val="none"/>
                      <w:lang w:eastAsia="zh-CN"/>
                    </w:rPr>
                    <w:t>，</w:t>
                  </w:r>
                  <w:r>
                    <w:rPr>
                      <w:rFonts w:hint="default" w:ascii="Times New Roman" w:hAnsi="Times New Roman" w:eastAsia="宋体" w:cs="Times New Roman"/>
                      <w:color w:val="auto"/>
                      <w:sz w:val="20"/>
                      <w:szCs w:val="20"/>
                      <w:highlight w:val="none"/>
                      <w:lang w:val="en-US" w:eastAsia="zh-CN"/>
                    </w:rPr>
                    <w:t>1层；</w:t>
                  </w:r>
                  <w:r>
                    <w:rPr>
                      <w:rFonts w:hint="eastAsia" w:ascii="Times New Roman" w:hAnsi="Times New Roman" w:eastAsia="宋体" w:cs="Times New Roman"/>
                      <w:color w:val="auto"/>
                      <w:sz w:val="20"/>
                      <w:szCs w:val="20"/>
                      <w:highlight w:val="none"/>
                      <w:lang w:val="en-US" w:eastAsia="zh-CN"/>
                    </w:rPr>
                    <w:t>主要布置金属加工中心、木工加工中心及</w:t>
                  </w:r>
                  <w:r>
                    <w:rPr>
                      <w:rFonts w:hint="eastAsia" w:ascii="Times New Roman" w:hAnsi="Times New Roman" w:eastAsia="宋体" w:cs="Times New Roman"/>
                      <w:color w:val="auto"/>
                      <w:sz w:val="20"/>
                      <w:szCs w:val="20"/>
                      <w:highlight w:val="none"/>
                      <w:lang w:eastAsia="zh-CN"/>
                    </w:rPr>
                    <w:t>封边机（含回转线）等生产内容，并配套原料、成品暂存区</w:t>
                  </w:r>
                </w:p>
              </w:tc>
              <w:tc>
                <w:tcPr>
                  <w:tcW w:w="1494" w:type="dxa"/>
                  <w:vAlign w:val="center"/>
                </w:tcPr>
                <w:p w14:paraId="3959663E">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租赁现有厂房</w:t>
                  </w:r>
                </w:p>
              </w:tc>
            </w:tr>
            <w:tr w14:paraId="45B91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36" w:type="dxa"/>
                  <w:vAlign w:val="center"/>
                </w:tcPr>
                <w:p w14:paraId="5BA0256A">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cs="Times New Roman"/>
                      <w:color w:val="auto"/>
                      <w:sz w:val="20"/>
                      <w:szCs w:val="20"/>
                      <w:highlight w:val="none"/>
                      <w:lang w:eastAsia="zh-CN"/>
                    </w:rPr>
                    <w:t>辅助工程</w:t>
                  </w:r>
                </w:p>
              </w:tc>
              <w:tc>
                <w:tcPr>
                  <w:tcW w:w="1370" w:type="dxa"/>
                  <w:vAlign w:val="center"/>
                </w:tcPr>
                <w:p w14:paraId="120FCC35">
                  <w:pPr>
                    <w:pStyle w:val="41"/>
                    <w:rPr>
                      <w:rFonts w:hint="default" w:ascii="Times New Roman" w:hAnsi="Times New Roman"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办公区</w:t>
                  </w:r>
                </w:p>
              </w:tc>
              <w:tc>
                <w:tcPr>
                  <w:tcW w:w="4725" w:type="dxa"/>
                  <w:vAlign w:val="center"/>
                </w:tcPr>
                <w:p w14:paraId="6AAB7609">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占地面积</w:t>
                  </w:r>
                  <w:r>
                    <w:rPr>
                      <w:rFonts w:hint="eastAsia" w:ascii="Times New Roman" w:hAnsi="Times New Roman" w:cs="Times New Roman"/>
                      <w:color w:val="auto"/>
                      <w:sz w:val="20"/>
                      <w:szCs w:val="20"/>
                      <w:highlight w:val="none"/>
                      <w:lang w:val="en-US" w:eastAsia="zh-CN"/>
                    </w:rPr>
                    <w:t>108</w:t>
                  </w:r>
                  <w:r>
                    <w:rPr>
                      <w:rFonts w:hint="default" w:ascii="Times New Roman" w:hAnsi="Times New Roman" w:eastAsia="宋体" w:cs="Times New Roman"/>
                      <w:color w:val="auto"/>
                      <w:sz w:val="20"/>
                      <w:szCs w:val="20"/>
                      <w:highlight w:val="none"/>
                      <w:lang w:eastAsia="zh-CN"/>
                    </w:rPr>
                    <w:t>m</w:t>
                  </w:r>
                  <w:r>
                    <w:rPr>
                      <w:rFonts w:hint="default" w:ascii="Times New Roman" w:hAnsi="Times New Roman" w:eastAsia="宋体" w:cs="Times New Roman"/>
                      <w:color w:val="auto"/>
                      <w:sz w:val="20"/>
                      <w:szCs w:val="20"/>
                      <w:highlight w:val="none"/>
                      <w:vertAlign w:val="superscript"/>
                      <w:lang w:eastAsia="zh-CN"/>
                    </w:rPr>
                    <w:t>2</w:t>
                  </w:r>
                  <w:r>
                    <w:rPr>
                      <w:rFonts w:hint="default" w:ascii="Times New Roman" w:hAnsi="Times New Roman" w:cs="Times New Roman"/>
                      <w:color w:val="auto"/>
                      <w:sz w:val="20"/>
                      <w:szCs w:val="20"/>
                      <w:highlight w:val="none"/>
                      <w:lang w:eastAsia="zh-CN"/>
                    </w:rPr>
                    <w:t>，</w:t>
                  </w:r>
                  <w:r>
                    <w:rPr>
                      <w:rFonts w:hint="eastAsia" w:ascii="Times New Roman" w:hAnsi="Times New Roman" w:cs="Times New Roman"/>
                      <w:color w:val="auto"/>
                      <w:sz w:val="20"/>
                      <w:szCs w:val="20"/>
                      <w:highlight w:val="none"/>
                      <w:lang w:val="en-US" w:eastAsia="zh-CN"/>
                    </w:rPr>
                    <w:t>1</w:t>
                  </w:r>
                  <w:r>
                    <w:rPr>
                      <w:rFonts w:hint="default" w:ascii="Times New Roman" w:hAnsi="Times New Roman" w:cs="Times New Roman"/>
                      <w:color w:val="auto"/>
                      <w:sz w:val="20"/>
                      <w:szCs w:val="20"/>
                      <w:highlight w:val="none"/>
                      <w:lang w:val="en-US" w:eastAsia="zh-CN"/>
                    </w:rPr>
                    <w:t>层</w:t>
                  </w:r>
                </w:p>
              </w:tc>
              <w:tc>
                <w:tcPr>
                  <w:tcW w:w="1494" w:type="dxa"/>
                  <w:vAlign w:val="center"/>
                </w:tcPr>
                <w:p w14:paraId="02973785">
                  <w:pPr>
                    <w:pStyle w:val="41"/>
                    <w:rPr>
                      <w:rFonts w:hint="default" w:ascii="Times New Roman" w:hAnsi="Times New Roman"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租赁现有</w:t>
                  </w:r>
                </w:p>
              </w:tc>
            </w:tr>
            <w:bookmarkEnd w:id="8"/>
            <w:tr w14:paraId="49734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36" w:type="dxa"/>
                  <w:vMerge w:val="restart"/>
                  <w:vAlign w:val="center"/>
                </w:tcPr>
                <w:p w14:paraId="0629CEF2">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储运工程</w:t>
                  </w:r>
                </w:p>
              </w:tc>
              <w:tc>
                <w:tcPr>
                  <w:tcW w:w="1370" w:type="dxa"/>
                  <w:vAlign w:val="center"/>
                </w:tcPr>
                <w:p w14:paraId="0CF4D8DB">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原料储存区</w:t>
                  </w:r>
                </w:p>
              </w:tc>
              <w:tc>
                <w:tcPr>
                  <w:tcW w:w="4725" w:type="dxa"/>
                  <w:vAlign w:val="center"/>
                </w:tcPr>
                <w:p w14:paraId="28301337">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布置于</w:t>
                  </w:r>
                  <w:r>
                    <w:rPr>
                      <w:rFonts w:hint="eastAsia" w:ascii="Times New Roman" w:hAnsi="Times New Roman" w:cs="Times New Roman"/>
                      <w:color w:val="auto"/>
                      <w:sz w:val="20"/>
                      <w:szCs w:val="20"/>
                      <w:highlight w:val="none"/>
                      <w:lang w:eastAsia="zh-CN"/>
                    </w:rPr>
                    <w:t>项目</w:t>
                  </w:r>
                  <w:r>
                    <w:rPr>
                      <w:rFonts w:hint="default" w:ascii="Times New Roman" w:hAnsi="Times New Roman" w:cs="Times New Roman"/>
                      <w:color w:val="auto"/>
                      <w:sz w:val="20"/>
                      <w:szCs w:val="20"/>
                      <w:highlight w:val="none"/>
                      <w:lang w:eastAsia="zh-CN"/>
                    </w:rPr>
                    <w:t>生产车间内部</w:t>
                  </w:r>
                </w:p>
              </w:tc>
              <w:tc>
                <w:tcPr>
                  <w:tcW w:w="1494" w:type="dxa"/>
                  <w:vAlign w:val="center"/>
                </w:tcPr>
                <w:p w14:paraId="575DEDA9">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租赁现有厂房</w:t>
                  </w:r>
                </w:p>
              </w:tc>
            </w:tr>
            <w:tr w14:paraId="28662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36" w:type="dxa"/>
                  <w:vMerge w:val="continue"/>
                  <w:vAlign w:val="center"/>
                </w:tcPr>
                <w:p w14:paraId="02814253">
                  <w:pPr>
                    <w:pStyle w:val="41"/>
                    <w:rPr>
                      <w:rFonts w:hint="default" w:ascii="Times New Roman" w:hAnsi="Times New Roman" w:eastAsia="宋体" w:cs="Times New Roman"/>
                      <w:color w:val="auto"/>
                      <w:sz w:val="20"/>
                      <w:szCs w:val="20"/>
                      <w:highlight w:val="none"/>
                      <w:lang w:eastAsia="zh-CN"/>
                    </w:rPr>
                  </w:pPr>
                </w:p>
              </w:tc>
              <w:tc>
                <w:tcPr>
                  <w:tcW w:w="1370" w:type="dxa"/>
                  <w:vAlign w:val="center"/>
                </w:tcPr>
                <w:p w14:paraId="33DA2EA3">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成品储存区</w:t>
                  </w:r>
                </w:p>
              </w:tc>
              <w:tc>
                <w:tcPr>
                  <w:tcW w:w="4725" w:type="dxa"/>
                  <w:vAlign w:val="center"/>
                </w:tcPr>
                <w:p w14:paraId="543BFDCE">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布置于</w:t>
                  </w:r>
                  <w:r>
                    <w:rPr>
                      <w:rFonts w:hint="eastAsia" w:ascii="Times New Roman" w:hAnsi="Times New Roman" w:cs="Times New Roman"/>
                      <w:color w:val="auto"/>
                      <w:sz w:val="20"/>
                      <w:szCs w:val="20"/>
                      <w:highlight w:val="none"/>
                      <w:lang w:eastAsia="zh-CN"/>
                    </w:rPr>
                    <w:t>项目</w:t>
                  </w:r>
                  <w:r>
                    <w:rPr>
                      <w:rFonts w:hint="default" w:ascii="Times New Roman" w:hAnsi="Times New Roman" w:cs="Times New Roman"/>
                      <w:color w:val="auto"/>
                      <w:sz w:val="20"/>
                      <w:szCs w:val="20"/>
                      <w:highlight w:val="none"/>
                      <w:lang w:eastAsia="zh-CN"/>
                    </w:rPr>
                    <w:t>生产车间内部</w:t>
                  </w:r>
                </w:p>
              </w:tc>
              <w:tc>
                <w:tcPr>
                  <w:tcW w:w="1494" w:type="dxa"/>
                  <w:vAlign w:val="center"/>
                </w:tcPr>
                <w:p w14:paraId="1C84A978">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租赁现有厂房</w:t>
                  </w:r>
                </w:p>
              </w:tc>
            </w:tr>
            <w:tr w14:paraId="7FA9A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36" w:type="dxa"/>
                  <w:vMerge w:val="restart"/>
                  <w:vAlign w:val="center"/>
                </w:tcPr>
                <w:p w14:paraId="6538887E">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公用工程</w:t>
                  </w:r>
                </w:p>
              </w:tc>
              <w:tc>
                <w:tcPr>
                  <w:tcW w:w="1370" w:type="dxa"/>
                  <w:vAlign w:val="center"/>
                </w:tcPr>
                <w:p w14:paraId="44D9464E">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供水系统</w:t>
                  </w:r>
                </w:p>
              </w:tc>
              <w:tc>
                <w:tcPr>
                  <w:tcW w:w="4725" w:type="dxa"/>
                  <w:vAlign w:val="center"/>
                </w:tcPr>
                <w:p w14:paraId="5E6AF3D4">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val="zh-CN" w:eastAsia="zh-CN"/>
                    </w:rPr>
                    <w:t>项目用新鲜水由</w:t>
                  </w:r>
                  <w:r>
                    <w:rPr>
                      <w:rFonts w:hint="default" w:ascii="Times New Roman" w:hAnsi="Times New Roman" w:eastAsia="宋体" w:cs="Times New Roman"/>
                      <w:color w:val="auto"/>
                      <w:sz w:val="20"/>
                      <w:szCs w:val="20"/>
                      <w:highlight w:val="none"/>
                      <w:lang w:val="en-US" w:eastAsia="zh-CN"/>
                    </w:rPr>
                    <w:t>项目</w:t>
                  </w:r>
                  <w:r>
                    <w:rPr>
                      <w:rFonts w:hint="default" w:ascii="Times New Roman" w:hAnsi="Times New Roman" w:cs="Times New Roman"/>
                      <w:color w:val="auto"/>
                      <w:sz w:val="20"/>
                      <w:szCs w:val="20"/>
                      <w:highlight w:val="none"/>
                      <w:lang w:val="en-US" w:eastAsia="zh-CN"/>
                    </w:rPr>
                    <w:t>所在园区</w:t>
                  </w:r>
                  <w:r>
                    <w:rPr>
                      <w:rFonts w:hint="default" w:ascii="Times New Roman" w:hAnsi="Times New Roman" w:eastAsia="宋体" w:cs="Times New Roman"/>
                      <w:color w:val="auto"/>
                      <w:sz w:val="20"/>
                      <w:szCs w:val="20"/>
                      <w:highlight w:val="none"/>
                      <w:lang w:val="en-US" w:eastAsia="zh-CN"/>
                    </w:rPr>
                    <w:t>市政供水管网</w:t>
                  </w:r>
                  <w:r>
                    <w:rPr>
                      <w:rFonts w:hint="default" w:ascii="Times New Roman" w:hAnsi="Times New Roman" w:eastAsia="宋体" w:cs="Times New Roman"/>
                      <w:color w:val="auto"/>
                      <w:sz w:val="20"/>
                      <w:szCs w:val="20"/>
                      <w:highlight w:val="none"/>
                      <w:lang w:val="zh-CN" w:eastAsia="zh-CN"/>
                    </w:rPr>
                    <w:t>供给</w:t>
                  </w:r>
                </w:p>
              </w:tc>
              <w:tc>
                <w:tcPr>
                  <w:tcW w:w="1494" w:type="dxa"/>
                  <w:vAlign w:val="center"/>
                </w:tcPr>
                <w:p w14:paraId="4818EF85">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依托现有</w:t>
                  </w:r>
                </w:p>
              </w:tc>
            </w:tr>
            <w:tr w14:paraId="78222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36" w:type="dxa"/>
                  <w:vMerge w:val="continue"/>
                  <w:vAlign w:val="center"/>
                </w:tcPr>
                <w:p w14:paraId="1495E924">
                  <w:pPr>
                    <w:pStyle w:val="41"/>
                    <w:rPr>
                      <w:rFonts w:hint="default" w:ascii="Times New Roman" w:hAnsi="Times New Roman" w:eastAsia="宋体" w:cs="Times New Roman"/>
                      <w:color w:val="auto"/>
                      <w:sz w:val="20"/>
                      <w:szCs w:val="20"/>
                      <w:highlight w:val="none"/>
                      <w:lang w:eastAsia="zh-CN"/>
                    </w:rPr>
                  </w:pPr>
                </w:p>
              </w:tc>
              <w:tc>
                <w:tcPr>
                  <w:tcW w:w="1370" w:type="dxa"/>
                  <w:vAlign w:val="center"/>
                </w:tcPr>
                <w:p w14:paraId="561DB3D0">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排水系统</w:t>
                  </w:r>
                </w:p>
              </w:tc>
              <w:tc>
                <w:tcPr>
                  <w:tcW w:w="4725" w:type="dxa"/>
                  <w:vAlign w:val="center"/>
                </w:tcPr>
                <w:p w14:paraId="4C881312">
                  <w:pPr>
                    <w:pStyle w:val="41"/>
                    <w:rPr>
                      <w:rFonts w:hint="default" w:ascii="Times New Roman" w:hAnsi="Times New Roman" w:eastAsia="宋体" w:cs="Times New Roman"/>
                      <w:color w:val="auto"/>
                      <w:sz w:val="20"/>
                      <w:szCs w:val="20"/>
                      <w:highlight w:val="none"/>
                      <w:lang w:val="zh-CN" w:eastAsia="zh-CN"/>
                    </w:rPr>
                  </w:pPr>
                  <w:r>
                    <w:rPr>
                      <w:rFonts w:hint="default" w:ascii="Times New Roman" w:hAnsi="Times New Roman" w:eastAsia="宋体" w:cs="Times New Roman"/>
                      <w:color w:val="auto"/>
                      <w:sz w:val="20"/>
                      <w:szCs w:val="20"/>
                      <w:highlight w:val="none"/>
                      <w:lang w:val="en-US" w:eastAsia="zh-CN"/>
                    </w:rPr>
                    <w:t>本项目排水采用雨污分流制。雨水排入厂区雨水排水管沟系统中，然后顺地势将雨水排至厂区外较低处自然散排；项目产生的生活污水经化粪池处理</w:t>
                  </w:r>
                  <w:r>
                    <w:rPr>
                      <w:rFonts w:hint="eastAsia" w:ascii="Times New Roman" w:hAnsi="Times New Roman" w:cs="Times New Roman"/>
                      <w:color w:val="auto"/>
                      <w:sz w:val="20"/>
                      <w:szCs w:val="20"/>
                      <w:highlight w:val="none"/>
                      <w:lang w:val="en-US" w:eastAsia="zh-CN"/>
                    </w:rPr>
                    <w:t>后委托环卫部门定期清运</w:t>
                  </w:r>
                </w:p>
              </w:tc>
              <w:tc>
                <w:tcPr>
                  <w:tcW w:w="1494" w:type="dxa"/>
                  <w:vAlign w:val="center"/>
                </w:tcPr>
                <w:p w14:paraId="1B507195">
                  <w:pPr>
                    <w:pStyle w:val="41"/>
                    <w:rPr>
                      <w:rFonts w:hint="default" w:ascii="Times New Roman" w:hAnsi="Times New Roman" w:eastAsia="宋体" w:cs="Times New Roman"/>
                      <w:color w:val="auto"/>
                      <w:sz w:val="20"/>
                      <w:szCs w:val="20"/>
                      <w:highlight w:val="none"/>
                      <w:lang w:val="zh-CN" w:eastAsia="zh-CN"/>
                    </w:rPr>
                  </w:pPr>
                  <w:r>
                    <w:rPr>
                      <w:rFonts w:hint="eastAsia" w:ascii="Times New Roman" w:hAnsi="Times New Roman" w:cs="Times New Roman"/>
                      <w:color w:val="auto"/>
                      <w:sz w:val="20"/>
                      <w:szCs w:val="20"/>
                      <w:highlight w:val="none"/>
                      <w:lang w:eastAsia="zh-CN"/>
                    </w:rPr>
                    <w:t>依托现有</w:t>
                  </w:r>
                </w:p>
              </w:tc>
            </w:tr>
            <w:tr w14:paraId="53916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36" w:type="dxa"/>
                  <w:vMerge w:val="continue"/>
                  <w:vAlign w:val="center"/>
                </w:tcPr>
                <w:p w14:paraId="13323B30">
                  <w:pPr>
                    <w:pStyle w:val="41"/>
                    <w:rPr>
                      <w:rFonts w:hint="default" w:ascii="Times New Roman" w:hAnsi="Times New Roman" w:eastAsia="宋体" w:cs="Times New Roman"/>
                      <w:color w:val="auto"/>
                      <w:sz w:val="20"/>
                      <w:szCs w:val="20"/>
                      <w:highlight w:val="none"/>
                      <w:lang w:eastAsia="zh-CN"/>
                    </w:rPr>
                  </w:pPr>
                </w:p>
              </w:tc>
              <w:tc>
                <w:tcPr>
                  <w:tcW w:w="1370" w:type="dxa"/>
                  <w:vAlign w:val="center"/>
                </w:tcPr>
                <w:p w14:paraId="091559D6">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供电系统</w:t>
                  </w:r>
                </w:p>
              </w:tc>
              <w:tc>
                <w:tcPr>
                  <w:tcW w:w="4725" w:type="dxa"/>
                  <w:vAlign w:val="center"/>
                </w:tcPr>
                <w:p w14:paraId="13241F77">
                  <w:pPr>
                    <w:pStyle w:val="41"/>
                    <w:rPr>
                      <w:rFonts w:hint="default" w:ascii="Times New Roman" w:hAnsi="Times New Roman" w:eastAsia="宋体" w:cs="Times New Roman"/>
                      <w:color w:val="auto"/>
                      <w:sz w:val="20"/>
                      <w:szCs w:val="20"/>
                      <w:highlight w:val="none"/>
                      <w:lang w:val="zh-CN" w:eastAsia="zh-CN"/>
                    </w:rPr>
                  </w:pPr>
                  <w:r>
                    <w:rPr>
                      <w:rFonts w:hint="default" w:ascii="Times New Roman" w:hAnsi="Times New Roman" w:eastAsia="宋体" w:cs="Times New Roman"/>
                      <w:color w:val="auto"/>
                      <w:sz w:val="20"/>
                      <w:szCs w:val="20"/>
                      <w:highlight w:val="none"/>
                      <w:lang w:val="en-US" w:eastAsia="zh-CN"/>
                    </w:rPr>
                    <w:t>项目所在园区市政电网供电</w:t>
                  </w:r>
                </w:p>
              </w:tc>
              <w:tc>
                <w:tcPr>
                  <w:tcW w:w="1494" w:type="dxa"/>
                  <w:vAlign w:val="center"/>
                </w:tcPr>
                <w:p w14:paraId="6BD7DEF6">
                  <w:pPr>
                    <w:pStyle w:val="41"/>
                    <w:rPr>
                      <w:rFonts w:hint="default" w:ascii="Times New Roman" w:hAnsi="Times New Roman" w:eastAsia="宋体" w:cs="Times New Roman"/>
                      <w:color w:val="auto"/>
                      <w:sz w:val="20"/>
                      <w:szCs w:val="20"/>
                      <w:highlight w:val="none"/>
                      <w:lang w:val="zh-CN" w:eastAsia="zh-CN"/>
                    </w:rPr>
                  </w:pPr>
                  <w:r>
                    <w:rPr>
                      <w:rFonts w:hint="eastAsia" w:ascii="Times New Roman" w:hAnsi="Times New Roman" w:cs="Times New Roman"/>
                      <w:color w:val="auto"/>
                      <w:sz w:val="20"/>
                      <w:szCs w:val="20"/>
                      <w:highlight w:val="none"/>
                      <w:lang w:eastAsia="zh-CN"/>
                    </w:rPr>
                    <w:t>依托现有</w:t>
                  </w:r>
                </w:p>
              </w:tc>
            </w:tr>
            <w:tr w14:paraId="45239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jc w:val="center"/>
              </w:trPr>
              <w:tc>
                <w:tcPr>
                  <w:tcW w:w="1136" w:type="dxa"/>
                  <w:vMerge w:val="restart"/>
                  <w:vAlign w:val="center"/>
                </w:tcPr>
                <w:p w14:paraId="3A58021E">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环保工程</w:t>
                  </w:r>
                </w:p>
              </w:tc>
              <w:tc>
                <w:tcPr>
                  <w:tcW w:w="1370" w:type="dxa"/>
                  <w:vAlign w:val="center"/>
                </w:tcPr>
                <w:p w14:paraId="5D561030">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废气治理</w:t>
                  </w:r>
                </w:p>
              </w:tc>
              <w:tc>
                <w:tcPr>
                  <w:tcW w:w="4725" w:type="dxa"/>
                  <w:vAlign w:val="center"/>
                </w:tcPr>
                <w:p w14:paraId="1469047B">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eastAsia="zh-CN"/>
                    </w:rPr>
                    <w:t>封边工序产生的少量</w:t>
                  </w:r>
                  <w:r>
                    <w:rPr>
                      <w:rFonts w:hint="default" w:ascii="Times New Roman" w:hAnsi="Times New Roman" w:eastAsia="宋体" w:cs="Times New Roman"/>
                      <w:color w:val="auto"/>
                      <w:sz w:val="20"/>
                      <w:szCs w:val="20"/>
                      <w:highlight w:val="none"/>
                      <w:lang w:eastAsia="zh-CN"/>
                    </w:rPr>
                    <w:t>挥发性有机物废气</w:t>
                  </w:r>
                  <w:r>
                    <w:rPr>
                      <w:rFonts w:hint="default" w:ascii="Times New Roman" w:hAnsi="Times New Roman" w:eastAsia="宋体" w:cs="Times New Roman"/>
                      <w:color w:val="auto"/>
                      <w:sz w:val="20"/>
                      <w:szCs w:val="20"/>
                      <w:highlight w:val="none"/>
                      <w:lang w:val="en-US" w:eastAsia="zh-CN"/>
                    </w:rPr>
                    <w:t>经集气罩收集后经</w:t>
                  </w:r>
                  <w:r>
                    <w:rPr>
                      <w:rFonts w:hint="eastAsia" w:ascii="Times New Roman" w:hAnsi="Times New Roman" w:cs="Times New Roman"/>
                      <w:color w:val="auto"/>
                      <w:sz w:val="20"/>
                      <w:szCs w:val="20"/>
                      <w:highlight w:val="none"/>
                      <w:lang w:val="en-US" w:eastAsia="zh-CN"/>
                    </w:rPr>
                    <w:t>二级</w:t>
                  </w:r>
                  <w:r>
                    <w:rPr>
                      <w:rFonts w:hint="default" w:ascii="Times New Roman" w:hAnsi="Times New Roman" w:eastAsia="宋体" w:cs="Times New Roman"/>
                      <w:color w:val="auto"/>
                      <w:sz w:val="20"/>
                      <w:szCs w:val="20"/>
                      <w:highlight w:val="none"/>
                      <w:lang w:val="en-US" w:eastAsia="zh-CN"/>
                    </w:rPr>
                    <w:t>活性炭吸附</w:t>
                  </w:r>
                  <w:r>
                    <w:rPr>
                      <w:rFonts w:hint="eastAsia" w:ascii="Times New Roman" w:hAnsi="Times New Roman" w:cs="Times New Roman"/>
                      <w:color w:val="auto"/>
                      <w:sz w:val="20"/>
                      <w:szCs w:val="20"/>
                      <w:highlight w:val="none"/>
                      <w:lang w:val="en-US" w:eastAsia="zh-CN"/>
                    </w:rPr>
                    <w:t>处理</w:t>
                  </w:r>
                  <w:r>
                    <w:rPr>
                      <w:rFonts w:hint="default" w:ascii="Times New Roman" w:hAnsi="Times New Roman" w:eastAsia="宋体" w:cs="Times New Roman"/>
                      <w:color w:val="auto"/>
                      <w:sz w:val="20"/>
                      <w:szCs w:val="20"/>
                      <w:highlight w:val="none"/>
                      <w:lang w:val="en-US" w:eastAsia="zh-CN"/>
                    </w:rPr>
                    <w:t>后沿15m排气筒</w:t>
                  </w:r>
                  <w:r>
                    <w:rPr>
                      <w:rFonts w:hint="eastAsia" w:ascii="Times New Roman" w:hAnsi="Times New Roman" w:cs="Times New Roman"/>
                      <w:color w:val="auto"/>
                      <w:sz w:val="20"/>
                      <w:szCs w:val="20"/>
                      <w:highlight w:val="none"/>
                      <w:lang w:val="en-US" w:eastAsia="zh-CN"/>
                    </w:rPr>
                    <w:t>P1</w:t>
                  </w:r>
                  <w:r>
                    <w:rPr>
                      <w:rFonts w:hint="default" w:ascii="Times New Roman" w:hAnsi="Times New Roman" w:eastAsia="宋体" w:cs="Times New Roman"/>
                      <w:color w:val="auto"/>
                      <w:sz w:val="20"/>
                      <w:szCs w:val="20"/>
                      <w:highlight w:val="none"/>
                      <w:lang w:val="en-US" w:eastAsia="zh-CN"/>
                    </w:rPr>
                    <w:t>高空排放</w:t>
                  </w:r>
                  <w:r>
                    <w:rPr>
                      <w:rFonts w:hint="eastAsia" w:ascii="Times New Roman" w:hAnsi="Times New Roman" w:cs="Times New Roman"/>
                      <w:color w:val="auto"/>
                      <w:sz w:val="20"/>
                      <w:szCs w:val="20"/>
                      <w:highlight w:val="none"/>
                      <w:lang w:val="en-US" w:eastAsia="zh-CN"/>
                    </w:rPr>
                    <w:t>；板材下料、木加工产生少量颗粒物废气经移动式布袋除尘器处理后以无组织形式排放；钢管焊接烟尘经移动式焊烟净化器处理后以无组织形式排放</w:t>
                  </w:r>
                </w:p>
              </w:tc>
              <w:tc>
                <w:tcPr>
                  <w:tcW w:w="1494" w:type="dxa"/>
                  <w:vAlign w:val="center"/>
                </w:tcPr>
                <w:p w14:paraId="61FCF5AE">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新建</w:t>
                  </w:r>
                </w:p>
              </w:tc>
            </w:tr>
            <w:tr w14:paraId="47EED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36" w:type="dxa"/>
                  <w:vMerge w:val="continue"/>
                  <w:vAlign w:val="center"/>
                </w:tcPr>
                <w:p w14:paraId="1D28DF70">
                  <w:pPr>
                    <w:pStyle w:val="41"/>
                    <w:rPr>
                      <w:rFonts w:hint="default" w:ascii="Times New Roman" w:hAnsi="Times New Roman" w:eastAsia="宋体" w:cs="Times New Roman"/>
                      <w:color w:val="auto"/>
                      <w:sz w:val="20"/>
                      <w:szCs w:val="20"/>
                      <w:highlight w:val="none"/>
                      <w:lang w:eastAsia="zh-CN"/>
                    </w:rPr>
                  </w:pPr>
                </w:p>
              </w:tc>
              <w:tc>
                <w:tcPr>
                  <w:tcW w:w="1370" w:type="dxa"/>
                  <w:vAlign w:val="center"/>
                </w:tcPr>
                <w:p w14:paraId="44109BF0">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废水治理</w:t>
                  </w:r>
                </w:p>
              </w:tc>
              <w:tc>
                <w:tcPr>
                  <w:tcW w:w="4725" w:type="dxa"/>
                  <w:vAlign w:val="center"/>
                </w:tcPr>
                <w:p w14:paraId="4C3B0E45">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val="en-US" w:eastAsia="zh-CN"/>
                    </w:rPr>
                    <w:t>项目产生的生活污水经化粪池处理</w:t>
                  </w:r>
                  <w:r>
                    <w:rPr>
                      <w:rFonts w:hint="eastAsia" w:ascii="Times New Roman" w:hAnsi="Times New Roman" w:cs="Times New Roman"/>
                      <w:color w:val="auto"/>
                      <w:sz w:val="20"/>
                      <w:szCs w:val="20"/>
                      <w:highlight w:val="none"/>
                      <w:lang w:val="en-US" w:eastAsia="zh-CN"/>
                    </w:rPr>
                    <w:t>后委托环卫部门定期清运</w:t>
                  </w:r>
                </w:p>
              </w:tc>
              <w:tc>
                <w:tcPr>
                  <w:tcW w:w="1494" w:type="dxa"/>
                  <w:vAlign w:val="center"/>
                </w:tcPr>
                <w:p w14:paraId="109F3CDE">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依托现有</w:t>
                  </w:r>
                </w:p>
              </w:tc>
            </w:tr>
            <w:tr w14:paraId="2FAE1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36" w:type="dxa"/>
                  <w:vMerge w:val="continue"/>
                  <w:vAlign w:val="center"/>
                </w:tcPr>
                <w:p w14:paraId="2FF4E2F6">
                  <w:pPr>
                    <w:pStyle w:val="41"/>
                    <w:rPr>
                      <w:rFonts w:hint="default" w:ascii="Times New Roman" w:hAnsi="Times New Roman" w:eastAsia="宋体" w:cs="Times New Roman"/>
                      <w:color w:val="auto"/>
                      <w:sz w:val="20"/>
                      <w:szCs w:val="20"/>
                      <w:highlight w:val="none"/>
                      <w:lang w:eastAsia="zh-CN"/>
                    </w:rPr>
                  </w:pPr>
                </w:p>
              </w:tc>
              <w:tc>
                <w:tcPr>
                  <w:tcW w:w="1370" w:type="dxa"/>
                  <w:vAlign w:val="center"/>
                </w:tcPr>
                <w:p w14:paraId="60B3CEA8">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噪声治理</w:t>
                  </w:r>
                </w:p>
              </w:tc>
              <w:tc>
                <w:tcPr>
                  <w:tcW w:w="4725" w:type="dxa"/>
                  <w:vAlign w:val="center"/>
                </w:tcPr>
                <w:p w14:paraId="6D0BF452">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采用低噪声设备，采取</w:t>
                  </w:r>
                  <w:r>
                    <w:rPr>
                      <w:rFonts w:hint="eastAsia" w:ascii="Times New Roman" w:hAnsi="Times New Roman" w:cs="Times New Roman"/>
                      <w:color w:val="auto"/>
                      <w:sz w:val="20"/>
                      <w:szCs w:val="20"/>
                      <w:highlight w:val="none"/>
                      <w:lang w:eastAsia="zh-CN"/>
                    </w:rPr>
                    <w:t>吸声、</w:t>
                  </w:r>
                  <w:r>
                    <w:rPr>
                      <w:rFonts w:hint="default" w:ascii="Times New Roman" w:hAnsi="Times New Roman" w:eastAsia="宋体" w:cs="Times New Roman"/>
                      <w:color w:val="auto"/>
                      <w:sz w:val="20"/>
                      <w:szCs w:val="20"/>
                      <w:highlight w:val="none"/>
                      <w:lang w:eastAsia="zh-CN"/>
                    </w:rPr>
                    <w:t>隔声、减震等措施；运输车辆限制车速，减少鸣笛</w:t>
                  </w:r>
                </w:p>
              </w:tc>
              <w:tc>
                <w:tcPr>
                  <w:tcW w:w="1494" w:type="dxa"/>
                  <w:vAlign w:val="center"/>
                </w:tcPr>
                <w:p w14:paraId="7EA8E033">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新建</w:t>
                  </w:r>
                  <w:r>
                    <w:rPr>
                      <w:rFonts w:hint="eastAsia" w:ascii="Times New Roman" w:hAnsi="Times New Roman" w:cs="Times New Roman"/>
                      <w:color w:val="auto"/>
                      <w:sz w:val="20"/>
                      <w:szCs w:val="20"/>
                      <w:highlight w:val="none"/>
                      <w:lang w:eastAsia="zh-CN"/>
                    </w:rPr>
                    <w:t>、依托现有</w:t>
                  </w:r>
                </w:p>
              </w:tc>
            </w:tr>
            <w:tr w14:paraId="5C73C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36" w:type="dxa"/>
                  <w:vMerge w:val="continue"/>
                  <w:vAlign w:val="center"/>
                </w:tcPr>
                <w:p w14:paraId="6931F603">
                  <w:pPr>
                    <w:pStyle w:val="41"/>
                    <w:rPr>
                      <w:rFonts w:hint="default" w:ascii="Times New Roman" w:hAnsi="Times New Roman" w:eastAsia="宋体" w:cs="Times New Roman"/>
                      <w:color w:val="auto"/>
                      <w:sz w:val="20"/>
                      <w:szCs w:val="20"/>
                      <w:highlight w:val="none"/>
                      <w:lang w:eastAsia="zh-CN"/>
                    </w:rPr>
                  </w:pPr>
                </w:p>
              </w:tc>
              <w:tc>
                <w:tcPr>
                  <w:tcW w:w="1370" w:type="dxa"/>
                  <w:vAlign w:val="center"/>
                </w:tcPr>
                <w:p w14:paraId="3CB7BB44">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固废治理</w:t>
                  </w:r>
                </w:p>
              </w:tc>
              <w:tc>
                <w:tcPr>
                  <w:tcW w:w="4725" w:type="dxa"/>
                  <w:vAlign w:val="center"/>
                </w:tcPr>
                <w:p w14:paraId="6F97E1F0">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项目于车间内设置一般固废暂存区</w:t>
                  </w:r>
                  <w:r>
                    <w:rPr>
                      <w:rFonts w:hint="default" w:ascii="Times New Roman" w:hAnsi="Times New Roman" w:cs="Times New Roman"/>
                      <w:color w:val="auto"/>
                      <w:sz w:val="20"/>
                      <w:szCs w:val="20"/>
                      <w:highlight w:val="none"/>
                      <w:lang w:eastAsia="zh-CN"/>
                    </w:rPr>
                    <w:t>，</w:t>
                  </w:r>
                  <w:r>
                    <w:rPr>
                      <w:rFonts w:hint="default" w:ascii="Times New Roman" w:hAnsi="Times New Roman" w:eastAsia="宋体" w:cs="Times New Roman"/>
                      <w:color w:val="auto"/>
                      <w:sz w:val="20"/>
                      <w:szCs w:val="20"/>
                      <w:highlight w:val="none"/>
                      <w:lang w:eastAsia="zh-CN"/>
                    </w:rPr>
                    <w:t>占地面积共计</w:t>
                  </w:r>
                  <w:r>
                    <w:rPr>
                      <w:rFonts w:hint="eastAsia" w:ascii="Times New Roman" w:hAnsi="Times New Roman" w:cs="Times New Roman"/>
                      <w:color w:val="auto"/>
                      <w:sz w:val="20"/>
                      <w:szCs w:val="20"/>
                      <w:highlight w:val="none"/>
                      <w:lang w:val="en-US" w:eastAsia="zh-CN"/>
                    </w:rPr>
                    <w:t>30</w:t>
                  </w:r>
                  <w:r>
                    <w:rPr>
                      <w:rFonts w:hint="default" w:ascii="Times New Roman" w:hAnsi="Times New Roman" w:eastAsia="宋体" w:cs="Times New Roman"/>
                      <w:color w:val="auto"/>
                      <w:sz w:val="20"/>
                      <w:szCs w:val="20"/>
                      <w:highlight w:val="none"/>
                      <w:lang w:eastAsia="zh-CN"/>
                    </w:rPr>
                    <w:t>m</w:t>
                  </w:r>
                  <w:r>
                    <w:rPr>
                      <w:rFonts w:hint="default" w:ascii="Times New Roman" w:hAnsi="Times New Roman" w:eastAsia="宋体" w:cs="Times New Roman"/>
                      <w:color w:val="auto"/>
                      <w:sz w:val="20"/>
                      <w:szCs w:val="20"/>
                      <w:highlight w:val="none"/>
                      <w:vertAlign w:val="superscript"/>
                      <w:lang w:eastAsia="zh-CN"/>
                    </w:rPr>
                    <w:t>2</w:t>
                  </w:r>
                  <w:r>
                    <w:rPr>
                      <w:rFonts w:hint="default" w:ascii="Times New Roman" w:hAnsi="Times New Roman" w:eastAsia="宋体" w:cs="Times New Roman"/>
                      <w:color w:val="auto"/>
                      <w:sz w:val="20"/>
                      <w:szCs w:val="20"/>
                      <w:highlight w:val="none"/>
                      <w:lang w:eastAsia="zh-CN"/>
                    </w:rPr>
                    <w:t>，一般固废收集外卖综合利用；项目</w:t>
                  </w:r>
                  <w:r>
                    <w:rPr>
                      <w:rFonts w:hint="default" w:ascii="Times New Roman" w:hAnsi="Times New Roman" w:cs="Times New Roman"/>
                      <w:color w:val="auto"/>
                      <w:sz w:val="20"/>
                      <w:szCs w:val="20"/>
                      <w:highlight w:val="none"/>
                      <w:lang w:eastAsia="zh-CN"/>
                    </w:rPr>
                    <w:t>于</w:t>
                  </w:r>
                  <w:r>
                    <w:rPr>
                      <w:rFonts w:hint="eastAsia" w:ascii="Times New Roman" w:hAnsi="Times New Roman" w:cs="Times New Roman"/>
                      <w:color w:val="auto"/>
                      <w:sz w:val="20"/>
                      <w:szCs w:val="20"/>
                      <w:highlight w:val="none"/>
                      <w:lang w:eastAsia="zh-CN"/>
                    </w:rPr>
                    <w:t>车间内</w:t>
                  </w:r>
                  <w:r>
                    <w:rPr>
                      <w:rFonts w:hint="default" w:ascii="Times New Roman" w:hAnsi="Times New Roman" w:cs="Times New Roman"/>
                      <w:color w:val="auto"/>
                      <w:sz w:val="20"/>
                      <w:szCs w:val="20"/>
                      <w:highlight w:val="none"/>
                      <w:lang w:eastAsia="zh-CN"/>
                    </w:rPr>
                    <w:t>设置</w:t>
                  </w:r>
                  <w:r>
                    <w:rPr>
                      <w:rFonts w:hint="default" w:ascii="Times New Roman" w:hAnsi="Times New Roman" w:eastAsia="宋体" w:cs="Times New Roman"/>
                      <w:color w:val="auto"/>
                      <w:sz w:val="20"/>
                      <w:szCs w:val="20"/>
                      <w:highlight w:val="none"/>
                      <w:lang w:eastAsia="zh-CN"/>
                    </w:rPr>
                    <w:t>危废间1</w:t>
                  </w:r>
                  <w:r>
                    <w:rPr>
                      <w:rFonts w:hint="eastAsia" w:ascii="Times New Roman" w:hAnsi="Times New Roman" w:cs="Times New Roman"/>
                      <w:color w:val="auto"/>
                      <w:sz w:val="20"/>
                      <w:szCs w:val="20"/>
                      <w:highlight w:val="none"/>
                      <w:lang w:eastAsia="zh-CN"/>
                    </w:rPr>
                    <w:t>处</w:t>
                  </w:r>
                  <w:r>
                    <w:rPr>
                      <w:rFonts w:hint="default" w:ascii="Times New Roman" w:hAnsi="Times New Roman" w:eastAsia="宋体" w:cs="Times New Roman"/>
                      <w:color w:val="auto"/>
                      <w:sz w:val="20"/>
                      <w:szCs w:val="20"/>
                      <w:highlight w:val="none"/>
                      <w:lang w:eastAsia="zh-CN"/>
                    </w:rPr>
                    <w:t>，占地</w:t>
                  </w:r>
                  <w:r>
                    <w:rPr>
                      <w:rFonts w:hint="eastAsia" w:ascii="Times New Roman" w:hAnsi="Times New Roman" w:cs="Times New Roman"/>
                      <w:color w:val="auto"/>
                      <w:sz w:val="20"/>
                      <w:szCs w:val="20"/>
                      <w:highlight w:val="none"/>
                      <w:lang w:val="en-US" w:eastAsia="zh-CN"/>
                    </w:rPr>
                    <w:t>12</w:t>
                  </w:r>
                  <w:r>
                    <w:rPr>
                      <w:rFonts w:hint="default" w:ascii="Times New Roman" w:hAnsi="Times New Roman" w:eastAsia="宋体" w:cs="Times New Roman"/>
                      <w:color w:val="auto"/>
                      <w:sz w:val="20"/>
                      <w:szCs w:val="20"/>
                      <w:highlight w:val="none"/>
                      <w:lang w:eastAsia="zh-CN"/>
                    </w:rPr>
                    <w:t>m</w:t>
                  </w:r>
                  <w:r>
                    <w:rPr>
                      <w:rFonts w:hint="default" w:ascii="Times New Roman" w:hAnsi="Times New Roman" w:eastAsia="宋体" w:cs="Times New Roman"/>
                      <w:color w:val="auto"/>
                      <w:sz w:val="20"/>
                      <w:szCs w:val="20"/>
                      <w:highlight w:val="none"/>
                      <w:vertAlign w:val="superscript"/>
                      <w:lang w:eastAsia="zh-CN"/>
                    </w:rPr>
                    <w:t>2</w:t>
                  </w:r>
                  <w:r>
                    <w:rPr>
                      <w:rFonts w:hint="default" w:ascii="Times New Roman" w:hAnsi="Times New Roman" w:eastAsia="宋体" w:cs="Times New Roman"/>
                      <w:color w:val="auto"/>
                      <w:sz w:val="20"/>
                      <w:szCs w:val="20"/>
                      <w:highlight w:val="none"/>
                      <w:lang w:eastAsia="zh-CN"/>
                    </w:rPr>
                    <w:t>，</w:t>
                  </w:r>
                  <w:r>
                    <w:rPr>
                      <w:rFonts w:hint="eastAsia" w:ascii="Times New Roman" w:hAnsi="Times New Roman" w:cs="Times New Roman"/>
                      <w:color w:val="auto"/>
                      <w:sz w:val="20"/>
                      <w:szCs w:val="20"/>
                      <w:highlight w:val="none"/>
                      <w:lang w:eastAsia="zh-CN"/>
                    </w:rPr>
                    <w:t>项目产生危废暂存于危废间内，定期</w:t>
                  </w:r>
                  <w:r>
                    <w:rPr>
                      <w:rFonts w:hint="default" w:ascii="Times New Roman" w:hAnsi="Times New Roman" w:eastAsia="宋体" w:cs="Times New Roman"/>
                      <w:color w:val="auto"/>
                      <w:sz w:val="20"/>
                      <w:szCs w:val="20"/>
                      <w:highlight w:val="none"/>
                      <w:lang w:eastAsia="zh-CN"/>
                    </w:rPr>
                    <w:t>委托有资质单位处置</w:t>
                  </w:r>
                </w:p>
              </w:tc>
              <w:tc>
                <w:tcPr>
                  <w:tcW w:w="1494" w:type="dxa"/>
                  <w:vAlign w:val="center"/>
                </w:tcPr>
                <w:p w14:paraId="30C3A3E8">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新建</w:t>
                  </w:r>
                </w:p>
              </w:tc>
            </w:tr>
            <w:tr w14:paraId="6E44F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36" w:type="dxa"/>
                  <w:vMerge w:val="continue"/>
                  <w:vAlign w:val="center"/>
                </w:tcPr>
                <w:p w14:paraId="260B5ED6">
                  <w:pPr>
                    <w:pStyle w:val="41"/>
                    <w:rPr>
                      <w:rFonts w:hint="default" w:ascii="Times New Roman" w:hAnsi="Times New Roman" w:eastAsia="宋体" w:cs="Times New Roman"/>
                      <w:color w:val="auto"/>
                      <w:sz w:val="20"/>
                      <w:szCs w:val="20"/>
                      <w:highlight w:val="none"/>
                      <w:lang w:eastAsia="zh-CN"/>
                    </w:rPr>
                  </w:pPr>
                </w:p>
              </w:tc>
              <w:tc>
                <w:tcPr>
                  <w:tcW w:w="1370" w:type="dxa"/>
                  <w:vAlign w:val="center"/>
                </w:tcPr>
                <w:p w14:paraId="1D420B5D">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环境风险</w:t>
                  </w:r>
                </w:p>
              </w:tc>
              <w:tc>
                <w:tcPr>
                  <w:tcW w:w="4725" w:type="dxa"/>
                  <w:vAlign w:val="center"/>
                </w:tcPr>
                <w:p w14:paraId="09BABD8A">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厂内危废间地面整体防渗</w:t>
                  </w:r>
                </w:p>
              </w:tc>
              <w:tc>
                <w:tcPr>
                  <w:tcW w:w="1494" w:type="dxa"/>
                  <w:vAlign w:val="center"/>
                </w:tcPr>
                <w:p w14:paraId="5C0606F0">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新建</w:t>
                  </w:r>
                </w:p>
              </w:tc>
            </w:tr>
            <w:bookmarkEnd w:id="7"/>
          </w:tbl>
          <w:p w14:paraId="71BBBCAE">
            <w:pPr>
              <w:pStyle w:val="38"/>
              <w:ind w:firstLine="42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三、产品方案</w:t>
            </w:r>
          </w:p>
          <w:p w14:paraId="4A425992">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t>该项目产品方案见下表。</w:t>
            </w:r>
          </w:p>
          <w:p w14:paraId="6E730157">
            <w:pPr>
              <w:pStyle w:val="39"/>
              <w:rPr>
                <w:rFonts w:hint="default" w:ascii="Times New Roman" w:hAnsi="Times New Roman" w:cs="Times New Roman"/>
                <w:color w:val="auto"/>
                <w:kern w:val="0"/>
                <w:szCs w:val="21"/>
                <w:highlight w:val="none"/>
              </w:rPr>
            </w:pPr>
            <w:bookmarkStart w:id="9" w:name="_Hlk111014005"/>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1</w:t>
            </w: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rPr>
              <w:t xml:space="preserve"> </w:t>
            </w:r>
            <w:r>
              <w:rPr>
                <w:rFonts w:hint="default" w:ascii="Times New Roman" w:hAnsi="Times New Roman" w:cs="Times New Roman"/>
                <w:color w:val="auto"/>
                <w:kern w:val="0"/>
                <w:szCs w:val="21"/>
                <w:highlight w:val="none"/>
              </w:rPr>
              <w:t>项目产品方案</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6"/>
              <w:gridCol w:w="1816"/>
              <w:gridCol w:w="993"/>
              <w:gridCol w:w="1055"/>
              <w:gridCol w:w="2598"/>
              <w:gridCol w:w="1577"/>
            </w:tblGrid>
            <w:tr w14:paraId="02E5D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3" w:type="pct"/>
                  <w:vAlign w:val="center"/>
                </w:tcPr>
                <w:p w14:paraId="4D075580">
                  <w:pPr>
                    <w:pStyle w:val="41"/>
                    <w:rPr>
                      <w:rFonts w:hint="default" w:ascii="Times New Roman" w:hAnsi="Times New Roman" w:eastAsia="宋体" w:cs="Times New Roman"/>
                      <w:color w:val="auto"/>
                      <w:sz w:val="20"/>
                      <w:szCs w:val="20"/>
                      <w:highlight w:val="none"/>
                      <w:lang w:eastAsia="zh-CN"/>
                    </w:rPr>
                  </w:pPr>
                  <w:bookmarkStart w:id="10" w:name="_Hlk73965917"/>
                  <w:r>
                    <w:rPr>
                      <w:rFonts w:hint="default" w:ascii="Times New Roman" w:hAnsi="Times New Roman" w:eastAsia="宋体" w:cs="Times New Roman"/>
                      <w:color w:val="auto"/>
                      <w:sz w:val="20"/>
                      <w:szCs w:val="20"/>
                      <w:highlight w:val="none"/>
                      <w:lang w:eastAsia="zh-CN"/>
                    </w:rPr>
                    <w:t>序号</w:t>
                  </w:r>
                </w:p>
              </w:tc>
              <w:tc>
                <w:tcPr>
                  <w:tcW w:w="1040" w:type="pct"/>
                  <w:vAlign w:val="center"/>
                </w:tcPr>
                <w:p w14:paraId="2D67E2BF">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产品</w:t>
                  </w:r>
                </w:p>
              </w:tc>
              <w:tc>
                <w:tcPr>
                  <w:tcW w:w="569" w:type="pct"/>
                  <w:vAlign w:val="center"/>
                </w:tcPr>
                <w:p w14:paraId="05728BA9">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单位</w:t>
                  </w:r>
                </w:p>
              </w:tc>
              <w:tc>
                <w:tcPr>
                  <w:tcW w:w="604" w:type="pct"/>
                  <w:vAlign w:val="center"/>
                </w:tcPr>
                <w:p w14:paraId="166496CF">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产量</w:t>
                  </w:r>
                </w:p>
              </w:tc>
              <w:tc>
                <w:tcPr>
                  <w:tcW w:w="1488" w:type="pct"/>
                  <w:vAlign w:val="center"/>
                </w:tcPr>
                <w:p w14:paraId="2BFA3075">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工作制度、设计年生产时间</w:t>
                  </w:r>
                </w:p>
              </w:tc>
              <w:tc>
                <w:tcPr>
                  <w:tcW w:w="903" w:type="pct"/>
                  <w:vAlign w:val="center"/>
                </w:tcPr>
                <w:p w14:paraId="137D3128">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备注</w:t>
                  </w:r>
                </w:p>
              </w:tc>
            </w:tr>
            <w:tr w14:paraId="5F6EC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3" w:type="pct"/>
                  <w:vAlign w:val="center"/>
                </w:tcPr>
                <w:p w14:paraId="47A07426">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1</w:t>
                  </w:r>
                </w:p>
              </w:tc>
              <w:tc>
                <w:tcPr>
                  <w:tcW w:w="1040" w:type="pct"/>
                  <w:shd w:val="clear" w:color="auto" w:fill="auto"/>
                  <w:vAlign w:val="center"/>
                </w:tcPr>
                <w:p w14:paraId="7194B94F">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实验室装备</w:t>
                  </w:r>
                </w:p>
              </w:tc>
              <w:tc>
                <w:tcPr>
                  <w:tcW w:w="569" w:type="pct"/>
                  <w:vAlign w:val="center"/>
                </w:tcPr>
                <w:p w14:paraId="719604EE">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套</w:t>
                  </w:r>
                  <w:r>
                    <w:rPr>
                      <w:rFonts w:hint="default" w:ascii="Times New Roman" w:hAnsi="Times New Roman" w:eastAsia="宋体" w:cs="Times New Roman"/>
                      <w:color w:val="auto"/>
                      <w:sz w:val="20"/>
                      <w:szCs w:val="20"/>
                      <w:highlight w:val="none"/>
                      <w:lang w:val="en-US" w:eastAsia="zh-CN"/>
                    </w:rPr>
                    <w:t>/年</w:t>
                  </w:r>
                </w:p>
              </w:tc>
              <w:tc>
                <w:tcPr>
                  <w:tcW w:w="604" w:type="pct"/>
                  <w:shd w:val="clear" w:color="auto" w:fill="auto"/>
                  <w:vAlign w:val="center"/>
                </w:tcPr>
                <w:p w14:paraId="23481AC5">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1000</w:t>
                  </w:r>
                </w:p>
              </w:tc>
              <w:tc>
                <w:tcPr>
                  <w:tcW w:w="1488" w:type="pct"/>
                  <w:vAlign w:val="center"/>
                </w:tcPr>
                <w:p w14:paraId="2037B83B">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一班</w:t>
                  </w:r>
                  <w:r>
                    <w:rPr>
                      <w:rFonts w:hint="default" w:ascii="Times New Roman" w:hAnsi="Times New Roman" w:eastAsia="宋体" w:cs="Times New Roman"/>
                      <w:color w:val="auto"/>
                      <w:sz w:val="20"/>
                      <w:szCs w:val="20"/>
                      <w:highlight w:val="none"/>
                      <w:lang w:val="en-US" w:eastAsia="zh-CN"/>
                    </w:rPr>
                    <w:t>工作制、</w:t>
                  </w:r>
                  <w:r>
                    <w:rPr>
                      <w:rFonts w:hint="eastAsia" w:ascii="Times New Roman" w:hAnsi="Times New Roman" w:cs="Times New Roman"/>
                      <w:color w:val="auto"/>
                      <w:sz w:val="20"/>
                      <w:szCs w:val="20"/>
                      <w:highlight w:val="none"/>
                      <w:lang w:val="en-US" w:eastAsia="zh-CN"/>
                    </w:rPr>
                    <w:t>24</w:t>
                  </w:r>
                  <w:r>
                    <w:rPr>
                      <w:rFonts w:hint="default" w:ascii="Times New Roman" w:hAnsi="Times New Roman" w:eastAsia="宋体" w:cs="Times New Roman"/>
                      <w:color w:val="auto"/>
                      <w:sz w:val="20"/>
                      <w:szCs w:val="20"/>
                      <w:highlight w:val="none"/>
                      <w:lang w:val="en-US" w:eastAsia="zh-CN"/>
                    </w:rPr>
                    <w:t>00h/a</w:t>
                  </w:r>
                </w:p>
              </w:tc>
              <w:tc>
                <w:tcPr>
                  <w:tcW w:w="903" w:type="pct"/>
                  <w:vAlign w:val="center"/>
                </w:tcPr>
                <w:p w14:paraId="02518F2B">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实验台</w:t>
                  </w:r>
                </w:p>
              </w:tc>
            </w:tr>
            <w:bookmarkEnd w:id="9"/>
            <w:bookmarkEnd w:id="10"/>
          </w:tbl>
          <w:p w14:paraId="1D9261EE">
            <w:pPr>
              <w:pStyle w:val="38"/>
              <w:rPr>
                <w:rFonts w:hint="eastAsia" w:ascii="Times New Roman" w:hAnsi="Times New Roman" w:eastAsia="宋体" w:cs="Times New Roman"/>
                <w:color w:val="FF0000"/>
                <w:highlight w:val="none"/>
                <w:lang w:eastAsia="zh-CN"/>
              </w:rPr>
            </w:pPr>
            <w:r>
              <w:rPr>
                <w:rFonts w:hint="eastAsia" w:ascii="Times New Roman" w:hAnsi="Times New Roman" w:eastAsia="宋体" w:cs="Times New Roman"/>
                <w:color w:val="FF0000"/>
                <w:highlight w:val="none"/>
                <w:lang w:eastAsia="zh-CN"/>
              </w:rPr>
              <w:t>本项目产品主要用途为</w:t>
            </w:r>
            <w:r>
              <w:rPr>
                <w:rFonts w:hint="eastAsia" w:ascii="Times New Roman" w:hAnsi="Times New Roman" w:eastAsia="宋体" w:cs="Times New Roman"/>
                <w:color w:val="FF0000"/>
                <w:highlight w:val="none"/>
                <w:lang w:val="en-US" w:eastAsia="zh-CN"/>
              </w:rPr>
              <w:t>高校、科研院所、第三方检测机构及高科技企业等客户提供钢木、理化板实验台。产品照片如下所示。</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01"/>
              <w:gridCol w:w="4424"/>
            </w:tblGrid>
            <w:tr w14:paraId="3F1BD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8" w:hRule="atLeast"/>
              </w:trPr>
              <w:tc>
                <w:tcPr>
                  <w:tcW w:w="4313" w:type="dxa"/>
                  <w:tcBorders>
                    <w:tl2br w:val="nil"/>
                    <w:tr2bl w:val="nil"/>
                  </w:tcBorders>
                  <w:shd w:val="clear" w:color="auto" w:fill="F5F5F5"/>
                  <w:noWrap w:val="0"/>
                  <w:vAlign w:val="center"/>
                </w:tcPr>
                <w:p w14:paraId="41A47313">
                  <w:pPr>
                    <w:pStyle w:val="28"/>
                    <w:keepNext w:val="0"/>
                    <w:keepLines w:val="0"/>
                    <w:pageBreakBefore w:val="0"/>
                    <w:widowControl w:val="0"/>
                    <w:kinsoku/>
                    <w:wordWrap/>
                    <w:overflowPunct/>
                    <w:topLinePunct w:val="0"/>
                    <w:autoSpaceDE/>
                    <w:autoSpaceDN/>
                    <w:bidi w:val="0"/>
                    <w:adjustRightInd/>
                    <w:snapToGrid/>
                    <w:spacing w:after="0"/>
                    <w:ind w:left="-105" w:leftChars="-50" w:firstLine="0" w:firstLineChars="0"/>
                    <w:jc w:val="center"/>
                    <w:textAlignment w:val="auto"/>
                    <w:rPr>
                      <w:rFonts w:hint="default" w:ascii="Times New Roman" w:hAnsi="Times New Roman" w:eastAsia="宋体" w:cs="Times New Roman"/>
                      <w:color w:val="auto"/>
                      <w:sz w:val="21"/>
                      <w:szCs w:val="21"/>
                      <w:vertAlign w:val="baseline"/>
                      <w:lang w:eastAsia="zh-CN"/>
                    </w:rPr>
                  </w:pPr>
                  <w:r>
                    <w:drawing>
                      <wp:inline distT="0" distB="0" distL="114300" distR="114300">
                        <wp:extent cx="2571750" cy="2552700"/>
                        <wp:effectExtent l="0" t="0" r="0" b="0"/>
                        <wp:docPr id="4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4"/>
                                <pic:cNvPicPr>
                                  <a:picLocks noChangeAspect="1"/>
                                </pic:cNvPicPr>
                              </pic:nvPicPr>
                              <pic:blipFill>
                                <a:blip r:embed="rId24">
                                  <a:lum bright="12000"/>
                                </a:blip>
                                <a:stretch>
                                  <a:fillRect/>
                                </a:stretch>
                              </pic:blipFill>
                              <pic:spPr>
                                <a:xfrm>
                                  <a:off x="0" y="0"/>
                                  <a:ext cx="2571750" cy="2552700"/>
                                </a:xfrm>
                                <a:prstGeom prst="rect">
                                  <a:avLst/>
                                </a:prstGeom>
                                <a:noFill/>
                                <a:ln>
                                  <a:noFill/>
                                </a:ln>
                              </pic:spPr>
                            </pic:pic>
                          </a:graphicData>
                        </a:graphic>
                      </wp:inline>
                    </w:drawing>
                  </w:r>
                </w:p>
              </w:tc>
              <w:tc>
                <w:tcPr>
                  <w:tcW w:w="4442" w:type="dxa"/>
                  <w:tcBorders>
                    <w:tl2br w:val="nil"/>
                    <w:tr2bl w:val="nil"/>
                  </w:tcBorders>
                  <w:shd w:val="clear" w:color="auto" w:fill="F4F4F4"/>
                  <w:noWrap w:val="0"/>
                  <w:vAlign w:val="top"/>
                </w:tcPr>
                <w:p w14:paraId="3D6BC26E">
                  <w:pPr>
                    <w:pStyle w:val="28"/>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sz w:val="21"/>
                      <w:szCs w:val="21"/>
                      <w:vertAlign w:val="baseline"/>
                      <w:lang w:eastAsia="zh-CN"/>
                    </w:rPr>
                  </w:pPr>
                  <w:r>
                    <w:drawing>
                      <wp:inline distT="0" distB="0" distL="114300" distR="114300">
                        <wp:extent cx="2533015" cy="2454910"/>
                        <wp:effectExtent l="0" t="0" r="635" b="254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25"/>
                                <a:stretch>
                                  <a:fillRect/>
                                </a:stretch>
                              </pic:blipFill>
                              <pic:spPr>
                                <a:xfrm>
                                  <a:off x="0" y="0"/>
                                  <a:ext cx="2533015" cy="2454910"/>
                                </a:xfrm>
                                <a:prstGeom prst="rect">
                                  <a:avLst/>
                                </a:prstGeom>
                                <a:noFill/>
                                <a:ln>
                                  <a:noFill/>
                                </a:ln>
                              </pic:spPr>
                            </pic:pic>
                          </a:graphicData>
                        </a:graphic>
                      </wp:inline>
                    </w:drawing>
                  </w:r>
                </w:p>
              </w:tc>
            </w:tr>
          </w:tbl>
          <w:p w14:paraId="1932FAD7">
            <w:pPr>
              <w:pStyle w:val="39"/>
              <w:bidi w:val="0"/>
              <w:rPr>
                <w:rFonts w:hint="default" w:cs="Times New Roman"/>
                <w:color w:val="auto"/>
                <w:highlight w:val="none"/>
                <w:lang w:val="en-US" w:eastAsia="zh-CN"/>
              </w:rPr>
            </w:pPr>
            <w:r>
              <w:rPr>
                <w:rFonts w:hint="default" w:cs="Times New Roman"/>
                <w:color w:val="auto"/>
                <w:highlight w:val="none"/>
                <w:lang w:val="en-US" w:eastAsia="zh-CN"/>
              </w:rPr>
              <w:t>图</w:t>
            </w:r>
            <w:r>
              <w:rPr>
                <w:rFonts w:hint="eastAsia" w:cs="Times New Roman"/>
                <w:color w:val="auto"/>
                <w:highlight w:val="none"/>
                <w:lang w:val="en-US" w:eastAsia="zh-CN"/>
              </w:rPr>
              <w:t>1</w:t>
            </w:r>
            <w:r>
              <w:rPr>
                <w:rFonts w:hint="default" w:cs="Times New Roman"/>
                <w:color w:val="auto"/>
                <w:highlight w:val="none"/>
                <w:lang w:val="en-US" w:eastAsia="zh-CN"/>
              </w:rPr>
              <w:t xml:space="preserve"> </w:t>
            </w:r>
            <w:r>
              <w:rPr>
                <w:rFonts w:hint="eastAsia" w:cs="Times New Roman"/>
                <w:color w:val="auto"/>
                <w:highlight w:val="none"/>
                <w:lang w:val="en-US" w:eastAsia="zh-CN"/>
              </w:rPr>
              <w:t xml:space="preserve"> </w:t>
            </w:r>
            <w:r>
              <w:rPr>
                <w:rFonts w:hint="default" w:cs="Times New Roman"/>
                <w:color w:val="auto"/>
                <w:highlight w:val="none"/>
                <w:lang w:val="en-US" w:eastAsia="zh-CN"/>
              </w:rPr>
              <w:t>项目产品图</w:t>
            </w:r>
          </w:p>
          <w:p w14:paraId="16D5720A">
            <w:pPr>
              <w:pStyle w:val="38"/>
              <w:ind w:firstLine="422"/>
              <w:rPr>
                <w:rFonts w:hint="default" w:ascii="Times New Roman" w:hAnsi="Times New Roman" w:cs="Times New Roman"/>
                <w:color w:val="auto"/>
                <w:highlight w:val="none"/>
              </w:rPr>
            </w:pPr>
            <w:r>
              <w:rPr>
                <w:rFonts w:hint="default" w:ascii="Times New Roman" w:hAnsi="Times New Roman" w:cs="Times New Roman"/>
                <w:b/>
                <w:bCs/>
                <w:color w:val="auto"/>
                <w:highlight w:val="none"/>
              </w:rPr>
              <w:t>四、生产设备</w:t>
            </w:r>
          </w:p>
          <w:p w14:paraId="1584976B">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本</w:t>
            </w:r>
            <w:r>
              <w:rPr>
                <w:rFonts w:hint="default" w:ascii="Times New Roman" w:hAnsi="Times New Roman" w:cs="Times New Roman"/>
                <w:color w:val="auto"/>
                <w:highlight w:val="none"/>
              </w:rPr>
              <w:t>项目主要</w:t>
            </w:r>
            <w:r>
              <w:rPr>
                <w:rFonts w:hint="default" w:ascii="Times New Roman" w:hAnsi="Times New Roman" w:cs="Times New Roman"/>
                <w:color w:val="auto"/>
                <w:highlight w:val="none"/>
                <w:lang w:eastAsia="zh-CN"/>
              </w:rPr>
              <w:t>设备设施</w:t>
            </w:r>
            <w:r>
              <w:rPr>
                <w:rFonts w:hint="default" w:ascii="Times New Roman" w:hAnsi="Times New Roman" w:cs="Times New Roman"/>
                <w:color w:val="auto"/>
                <w:highlight w:val="none"/>
              </w:rPr>
              <w:t>见下表。</w:t>
            </w:r>
          </w:p>
          <w:p w14:paraId="1AB196AD">
            <w:pPr>
              <w:pStyle w:val="39"/>
              <w:rPr>
                <w:rFonts w:hint="default" w:ascii="Times New Roman" w:hAnsi="Times New Roman" w:cs="Times New Roman"/>
                <w:color w:val="auto"/>
                <w:highlight w:val="none"/>
              </w:rPr>
            </w:pPr>
            <w:bookmarkStart w:id="11" w:name="_Hlk111709220"/>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1</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rPr>
              <w:t xml:space="preserve"> 项目生产设备一览表</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1"/>
              <w:gridCol w:w="2773"/>
              <w:gridCol w:w="1939"/>
              <w:gridCol w:w="1249"/>
            </w:tblGrid>
            <w:tr w14:paraId="273BB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82" w:type="pct"/>
                  <w:shd w:val="clear" w:color="auto" w:fill="auto"/>
                  <w:vAlign w:val="center"/>
                </w:tcPr>
                <w:p w14:paraId="680AD48C">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设备</w:t>
                  </w:r>
                </w:p>
              </w:tc>
              <w:tc>
                <w:tcPr>
                  <w:tcW w:w="1589" w:type="pct"/>
                  <w:shd w:val="clear" w:color="auto" w:fill="auto"/>
                  <w:vAlign w:val="center"/>
                </w:tcPr>
                <w:p w14:paraId="0288E66A">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型号/参数</w:t>
                  </w:r>
                </w:p>
              </w:tc>
              <w:tc>
                <w:tcPr>
                  <w:tcW w:w="1111" w:type="pct"/>
                  <w:shd w:val="clear" w:color="auto" w:fill="auto"/>
                  <w:vAlign w:val="center"/>
                </w:tcPr>
                <w:p w14:paraId="77BAF4E1">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数量</w:t>
                  </w:r>
                </w:p>
                <w:p w14:paraId="58FC2508">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（台/套/座）</w:t>
                  </w:r>
                </w:p>
              </w:tc>
              <w:tc>
                <w:tcPr>
                  <w:tcW w:w="716" w:type="pct"/>
                  <w:shd w:val="clear" w:color="auto" w:fill="auto"/>
                  <w:vAlign w:val="center"/>
                </w:tcPr>
                <w:p w14:paraId="5C258A69">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备注</w:t>
                  </w:r>
                </w:p>
              </w:tc>
            </w:tr>
            <w:tr w14:paraId="439F4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82" w:type="pct"/>
                  <w:shd w:val="clear" w:color="auto" w:fill="auto"/>
                  <w:vAlign w:val="center"/>
                </w:tcPr>
                <w:p w14:paraId="16AD8A96">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精密推台锯</w:t>
                  </w:r>
                </w:p>
              </w:tc>
              <w:tc>
                <w:tcPr>
                  <w:tcW w:w="1589" w:type="pct"/>
                  <w:shd w:val="clear" w:color="auto" w:fill="auto"/>
                  <w:vAlign w:val="center"/>
                </w:tcPr>
                <w:p w14:paraId="1AAA6626">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MJ90-28Y</w:t>
                  </w:r>
                </w:p>
              </w:tc>
              <w:tc>
                <w:tcPr>
                  <w:tcW w:w="1111" w:type="pct"/>
                  <w:shd w:val="clear" w:color="auto" w:fill="auto"/>
                  <w:vAlign w:val="center"/>
                </w:tcPr>
                <w:p w14:paraId="161D887D">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w:t>
                  </w:r>
                </w:p>
              </w:tc>
              <w:tc>
                <w:tcPr>
                  <w:tcW w:w="716" w:type="pct"/>
                  <w:shd w:val="clear" w:color="auto" w:fill="auto"/>
                  <w:vAlign w:val="center"/>
                </w:tcPr>
                <w:p w14:paraId="0609DE3C">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r>
            <w:tr w14:paraId="31920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82" w:type="pct"/>
                  <w:shd w:val="clear" w:color="auto" w:fill="auto"/>
                  <w:vAlign w:val="center"/>
                </w:tcPr>
                <w:p w14:paraId="12AFDED3">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数控木工加工中心</w:t>
                  </w:r>
                </w:p>
              </w:tc>
              <w:tc>
                <w:tcPr>
                  <w:tcW w:w="1589" w:type="pct"/>
                  <w:shd w:val="clear" w:color="auto" w:fill="auto"/>
                  <w:vAlign w:val="center"/>
                </w:tcPr>
                <w:p w14:paraId="0003EDA4">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YM1328</w:t>
                  </w:r>
                </w:p>
              </w:tc>
              <w:tc>
                <w:tcPr>
                  <w:tcW w:w="1111" w:type="pct"/>
                  <w:shd w:val="clear" w:color="auto" w:fill="auto"/>
                  <w:vAlign w:val="center"/>
                </w:tcPr>
                <w:p w14:paraId="31C06DC4">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w:t>
                  </w:r>
                </w:p>
              </w:tc>
              <w:tc>
                <w:tcPr>
                  <w:tcW w:w="716" w:type="pct"/>
                  <w:shd w:val="clear" w:color="auto" w:fill="auto"/>
                  <w:vAlign w:val="center"/>
                </w:tcPr>
                <w:p w14:paraId="3E3FD318">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r>
            <w:tr w14:paraId="3019C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82" w:type="pct"/>
                  <w:shd w:val="clear" w:color="auto" w:fill="auto"/>
                  <w:vAlign w:val="center"/>
                </w:tcPr>
                <w:p w14:paraId="508919E8">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多排台钻</w:t>
                  </w:r>
                </w:p>
              </w:tc>
              <w:tc>
                <w:tcPr>
                  <w:tcW w:w="1589" w:type="pct"/>
                  <w:shd w:val="clear" w:color="auto" w:fill="auto"/>
                  <w:vAlign w:val="center"/>
                </w:tcPr>
                <w:p w14:paraId="56B397BF">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MZ-7316</w:t>
                  </w:r>
                </w:p>
              </w:tc>
              <w:tc>
                <w:tcPr>
                  <w:tcW w:w="1111" w:type="pct"/>
                  <w:shd w:val="clear" w:color="auto" w:fill="auto"/>
                  <w:vAlign w:val="center"/>
                </w:tcPr>
                <w:p w14:paraId="286FE389">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w:t>
                  </w:r>
                </w:p>
              </w:tc>
              <w:tc>
                <w:tcPr>
                  <w:tcW w:w="716" w:type="pct"/>
                  <w:shd w:val="clear" w:color="auto" w:fill="auto"/>
                  <w:vAlign w:val="center"/>
                </w:tcPr>
                <w:p w14:paraId="675CF386">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r>
            <w:tr w14:paraId="08F30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82" w:type="pct"/>
                  <w:shd w:val="clear" w:color="auto" w:fill="auto"/>
                  <w:vAlign w:val="center"/>
                </w:tcPr>
                <w:p w14:paraId="28A716F4">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封边机</w:t>
                  </w:r>
                </w:p>
              </w:tc>
              <w:tc>
                <w:tcPr>
                  <w:tcW w:w="1589" w:type="pct"/>
                  <w:shd w:val="clear" w:color="auto" w:fill="auto"/>
                  <w:vAlign w:val="center"/>
                </w:tcPr>
                <w:p w14:paraId="4125B706">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SFQ-ms288js</w:t>
                  </w:r>
                </w:p>
              </w:tc>
              <w:tc>
                <w:tcPr>
                  <w:tcW w:w="1111" w:type="pct"/>
                  <w:shd w:val="clear" w:color="auto" w:fill="auto"/>
                  <w:vAlign w:val="center"/>
                </w:tcPr>
                <w:p w14:paraId="79496A3B">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w:t>
                  </w:r>
                </w:p>
              </w:tc>
              <w:tc>
                <w:tcPr>
                  <w:tcW w:w="716" w:type="pct"/>
                  <w:shd w:val="clear" w:color="auto" w:fill="auto"/>
                  <w:vAlign w:val="center"/>
                </w:tcPr>
                <w:p w14:paraId="285AA970">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r>
            <w:tr w14:paraId="6227E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82" w:type="pct"/>
                  <w:shd w:val="clear" w:color="auto" w:fill="auto"/>
                  <w:vAlign w:val="center"/>
                </w:tcPr>
                <w:p w14:paraId="38C5EFCD">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二氧化碳保护焊机</w:t>
                  </w:r>
                </w:p>
              </w:tc>
              <w:tc>
                <w:tcPr>
                  <w:tcW w:w="1589" w:type="pct"/>
                  <w:shd w:val="clear" w:color="auto" w:fill="auto"/>
                  <w:vAlign w:val="center"/>
                </w:tcPr>
                <w:p w14:paraId="1D4DA030">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NBC-250</w:t>
                  </w:r>
                </w:p>
              </w:tc>
              <w:tc>
                <w:tcPr>
                  <w:tcW w:w="1111" w:type="pct"/>
                  <w:shd w:val="clear" w:color="auto" w:fill="auto"/>
                  <w:vAlign w:val="center"/>
                </w:tcPr>
                <w:p w14:paraId="2079D50F">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w:t>
                  </w:r>
                </w:p>
              </w:tc>
              <w:tc>
                <w:tcPr>
                  <w:tcW w:w="716" w:type="pct"/>
                  <w:shd w:val="clear" w:color="auto" w:fill="auto"/>
                  <w:vAlign w:val="center"/>
                </w:tcPr>
                <w:p w14:paraId="480C8E0B">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r>
            <w:tr w14:paraId="5DF39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82" w:type="pct"/>
                  <w:shd w:val="clear" w:color="auto" w:fill="auto"/>
                  <w:vAlign w:val="center"/>
                </w:tcPr>
                <w:p w14:paraId="6DA3D0B4">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二氧化碳保护焊机</w:t>
                  </w:r>
                </w:p>
              </w:tc>
              <w:tc>
                <w:tcPr>
                  <w:tcW w:w="1589" w:type="pct"/>
                  <w:shd w:val="clear" w:color="auto" w:fill="auto"/>
                  <w:vAlign w:val="center"/>
                </w:tcPr>
                <w:p w14:paraId="64BF38E1">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NBC-250</w:t>
                  </w:r>
                  <w:r>
                    <w:rPr>
                      <w:rFonts w:hint="default" w:ascii="Times New Roman" w:hAnsi="Times New Roman" w:eastAsia="宋体" w:cs="Times New Roman"/>
                      <w:color w:val="auto"/>
                      <w:sz w:val="20"/>
                      <w:szCs w:val="20"/>
                      <w:highlight w:val="none"/>
                      <w:lang w:val="en-US" w:eastAsia="zh-CN"/>
                    </w:rPr>
                    <w:t>WF-21</w:t>
                  </w:r>
                </w:p>
              </w:tc>
              <w:tc>
                <w:tcPr>
                  <w:tcW w:w="1111" w:type="pct"/>
                  <w:shd w:val="clear" w:color="auto" w:fill="auto"/>
                  <w:vAlign w:val="center"/>
                </w:tcPr>
                <w:p w14:paraId="2661D75B">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w:t>
                  </w:r>
                </w:p>
              </w:tc>
              <w:tc>
                <w:tcPr>
                  <w:tcW w:w="716" w:type="pct"/>
                  <w:shd w:val="clear" w:color="auto" w:fill="auto"/>
                  <w:vAlign w:val="center"/>
                </w:tcPr>
                <w:p w14:paraId="2D033F4D">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r>
            <w:tr w14:paraId="36FD0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82" w:type="pct"/>
                  <w:shd w:val="clear" w:color="auto" w:fill="auto"/>
                  <w:vAlign w:val="center"/>
                </w:tcPr>
                <w:p w14:paraId="33BCA7F1">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台钻</w:t>
                  </w:r>
                </w:p>
              </w:tc>
              <w:tc>
                <w:tcPr>
                  <w:tcW w:w="1589" w:type="pct"/>
                  <w:shd w:val="clear" w:color="auto" w:fill="auto"/>
                  <w:vAlign w:val="center"/>
                </w:tcPr>
                <w:p w14:paraId="7EA4EABB">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Z516</w:t>
                  </w:r>
                </w:p>
              </w:tc>
              <w:tc>
                <w:tcPr>
                  <w:tcW w:w="1111" w:type="pct"/>
                  <w:shd w:val="clear" w:color="auto" w:fill="auto"/>
                  <w:vAlign w:val="center"/>
                </w:tcPr>
                <w:p w14:paraId="53421C94">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w:t>
                  </w:r>
                </w:p>
              </w:tc>
              <w:tc>
                <w:tcPr>
                  <w:tcW w:w="716" w:type="pct"/>
                  <w:shd w:val="clear" w:color="auto" w:fill="auto"/>
                  <w:vAlign w:val="center"/>
                </w:tcPr>
                <w:p w14:paraId="74CF0EDE">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r>
            <w:tr w14:paraId="53DD0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82" w:type="pct"/>
                  <w:shd w:val="clear" w:color="auto" w:fill="auto"/>
                  <w:vAlign w:val="center"/>
                </w:tcPr>
                <w:p w14:paraId="298E9753">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切割锯</w:t>
                  </w:r>
                </w:p>
              </w:tc>
              <w:tc>
                <w:tcPr>
                  <w:tcW w:w="1589" w:type="pct"/>
                  <w:shd w:val="clear" w:color="auto" w:fill="auto"/>
                  <w:vAlign w:val="center"/>
                </w:tcPr>
                <w:p w14:paraId="3E7F6FBA">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J3G-T400</w:t>
                  </w:r>
                </w:p>
              </w:tc>
              <w:tc>
                <w:tcPr>
                  <w:tcW w:w="1111" w:type="pct"/>
                  <w:shd w:val="clear" w:color="auto" w:fill="auto"/>
                  <w:vAlign w:val="center"/>
                </w:tcPr>
                <w:p w14:paraId="3E313902">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w:t>
                  </w:r>
                </w:p>
              </w:tc>
              <w:tc>
                <w:tcPr>
                  <w:tcW w:w="716" w:type="pct"/>
                  <w:shd w:val="clear" w:color="auto" w:fill="auto"/>
                  <w:vAlign w:val="center"/>
                </w:tcPr>
                <w:p w14:paraId="793F8913">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r>
            <w:tr w14:paraId="43D0D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82" w:type="pct"/>
                  <w:shd w:val="clear" w:color="auto" w:fill="auto"/>
                  <w:vAlign w:val="center"/>
                </w:tcPr>
                <w:p w14:paraId="5082753E">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空压机组</w:t>
                  </w:r>
                </w:p>
              </w:tc>
              <w:tc>
                <w:tcPr>
                  <w:tcW w:w="1589" w:type="pct"/>
                  <w:shd w:val="clear" w:color="auto" w:fill="auto"/>
                  <w:vAlign w:val="center"/>
                </w:tcPr>
                <w:p w14:paraId="0D350CFB">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1000L</w:t>
                  </w:r>
                </w:p>
              </w:tc>
              <w:tc>
                <w:tcPr>
                  <w:tcW w:w="1111" w:type="pct"/>
                  <w:shd w:val="clear" w:color="auto" w:fill="auto"/>
                  <w:vAlign w:val="center"/>
                </w:tcPr>
                <w:p w14:paraId="17298304">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w:t>
                  </w:r>
                </w:p>
              </w:tc>
              <w:tc>
                <w:tcPr>
                  <w:tcW w:w="716" w:type="pct"/>
                  <w:shd w:val="clear" w:color="auto" w:fill="auto"/>
                  <w:vAlign w:val="center"/>
                </w:tcPr>
                <w:p w14:paraId="70F3B216">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r>
            <w:tr w14:paraId="54FCA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82" w:type="pct"/>
                  <w:shd w:val="clear" w:color="auto" w:fill="auto"/>
                  <w:vAlign w:val="center"/>
                </w:tcPr>
                <w:p w14:paraId="2A4E6EB7">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立铣机</w:t>
                  </w:r>
                </w:p>
              </w:tc>
              <w:tc>
                <w:tcPr>
                  <w:tcW w:w="1589" w:type="pct"/>
                  <w:shd w:val="clear" w:color="auto" w:fill="auto"/>
                  <w:vAlign w:val="center"/>
                </w:tcPr>
                <w:p w14:paraId="3ADD9097">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MX5117B</w:t>
                  </w:r>
                </w:p>
              </w:tc>
              <w:tc>
                <w:tcPr>
                  <w:tcW w:w="1111" w:type="pct"/>
                  <w:shd w:val="clear" w:color="auto" w:fill="auto"/>
                  <w:vAlign w:val="center"/>
                </w:tcPr>
                <w:p w14:paraId="2F37B454">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w:t>
                  </w:r>
                </w:p>
              </w:tc>
              <w:tc>
                <w:tcPr>
                  <w:tcW w:w="716" w:type="pct"/>
                  <w:shd w:val="clear" w:color="auto" w:fill="auto"/>
                  <w:vAlign w:val="center"/>
                </w:tcPr>
                <w:p w14:paraId="37592F02">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r>
            <w:tr w14:paraId="5131C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82" w:type="pct"/>
                  <w:shd w:val="clear" w:color="auto" w:fill="auto"/>
                  <w:vAlign w:val="center"/>
                </w:tcPr>
                <w:p w14:paraId="30EE9387">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打孔机</w:t>
                  </w:r>
                </w:p>
              </w:tc>
              <w:tc>
                <w:tcPr>
                  <w:tcW w:w="1589" w:type="pct"/>
                  <w:shd w:val="clear" w:color="auto" w:fill="auto"/>
                  <w:vAlign w:val="center"/>
                </w:tcPr>
                <w:p w14:paraId="37BDDCE7">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SDBONSJX</w:t>
                  </w:r>
                </w:p>
              </w:tc>
              <w:tc>
                <w:tcPr>
                  <w:tcW w:w="1111" w:type="pct"/>
                  <w:shd w:val="clear" w:color="auto" w:fill="auto"/>
                  <w:vAlign w:val="center"/>
                </w:tcPr>
                <w:p w14:paraId="49C0E2BF">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w:t>
                  </w:r>
                </w:p>
              </w:tc>
              <w:tc>
                <w:tcPr>
                  <w:tcW w:w="716" w:type="pct"/>
                  <w:shd w:val="clear" w:color="auto" w:fill="auto"/>
                  <w:vAlign w:val="center"/>
                </w:tcPr>
                <w:p w14:paraId="0805BD29">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r>
            <w:tr w14:paraId="1E921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82" w:type="pct"/>
                  <w:shd w:val="clear" w:color="auto" w:fill="auto"/>
                  <w:vAlign w:val="center"/>
                </w:tcPr>
                <w:p w14:paraId="7BA5C6A3">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切割机</w:t>
                  </w:r>
                </w:p>
              </w:tc>
              <w:tc>
                <w:tcPr>
                  <w:tcW w:w="1589" w:type="pct"/>
                  <w:shd w:val="clear" w:color="auto" w:fill="auto"/>
                  <w:vAlign w:val="center"/>
                </w:tcPr>
                <w:p w14:paraId="4E6C41FD">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255</w:t>
                  </w:r>
                </w:p>
              </w:tc>
              <w:tc>
                <w:tcPr>
                  <w:tcW w:w="1111" w:type="pct"/>
                  <w:shd w:val="clear" w:color="auto" w:fill="auto"/>
                  <w:vAlign w:val="center"/>
                </w:tcPr>
                <w:p w14:paraId="1E7424C6">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w:t>
                  </w:r>
                </w:p>
              </w:tc>
              <w:tc>
                <w:tcPr>
                  <w:tcW w:w="716" w:type="pct"/>
                  <w:shd w:val="clear" w:color="auto" w:fill="auto"/>
                  <w:vAlign w:val="center"/>
                </w:tcPr>
                <w:p w14:paraId="10EEB5A8">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r>
            <w:tr w14:paraId="2E551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82" w:type="pct"/>
                  <w:shd w:val="clear" w:color="auto" w:fill="auto"/>
                  <w:vAlign w:val="center"/>
                </w:tcPr>
                <w:p w14:paraId="71C0FAA3">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sz w:val="20"/>
                      <w:szCs w:val="20"/>
                      <w:highlight w:val="none"/>
                      <w:lang w:eastAsia="zh-CN"/>
                    </w:rPr>
                    <w:t>二级</w:t>
                  </w:r>
                  <w:r>
                    <w:rPr>
                      <w:rFonts w:hint="default" w:ascii="Times New Roman" w:hAnsi="Times New Roman" w:eastAsia="宋体" w:cs="Times New Roman"/>
                      <w:color w:val="auto"/>
                      <w:sz w:val="20"/>
                      <w:szCs w:val="20"/>
                      <w:highlight w:val="none"/>
                      <w:lang w:eastAsia="zh-CN"/>
                    </w:rPr>
                    <w:t>活性炭吸附装置</w:t>
                  </w:r>
                </w:p>
              </w:tc>
              <w:tc>
                <w:tcPr>
                  <w:tcW w:w="1589" w:type="pct"/>
                  <w:shd w:val="clear" w:color="auto" w:fill="auto"/>
                  <w:vAlign w:val="center"/>
                </w:tcPr>
                <w:p w14:paraId="135C31EF">
                  <w:pPr>
                    <w:pStyle w:val="41"/>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color w:val="auto"/>
                      <w:sz w:val="20"/>
                      <w:szCs w:val="20"/>
                      <w:highlight w:val="none"/>
                      <w:lang w:eastAsia="zh-CN"/>
                    </w:rPr>
                    <w:t>/</w:t>
                  </w:r>
                </w:p>
              </w:tc>
              <w:tc>
                <w:tcPr>
                  <w:tcW w:w="1111" w:type="pct"/>
                  <w:shd w:val="clear" w:color="auto" w:fill="auto"/>
                  <w:vAlign w:val="center"/>
                </w:tcPr>
                <w:p w14:paraId="52F454E5">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sz w:val="20"/>
                      <w:szCs w:val="20"/>
                      <w:highlight w:val="none"/>
                      <w:lang w:val="en-US" w:eastAsia="zh-CN"/>
                    </w:rPr>
                    <w:t>1</w:t>
                  </w:r>
                </w:p>
              </w:tc>
              <w:tc>
                <w:tcPr>
                  <w:tcW w:w="716" w:type="pct"/>
                  <w:shd w:val="clear" w:color="auto" w:fill="auto"/>
                  <w:vAlign w:val="center"/>
                </w:tcPr>
                <w:p w14:paraId="0269C271">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kern w:val="2"/>
                      <w:sz w:val="20"/>
                      <w:szCs w:val="20"/>
                      <w:highlight w:val="none"/>
                      <w:lang w:val="en-US" w:eastAsia="zh-CN" w:bidi="ar-SA"/>
                    </w:rPr>
                    <w:t>/</w:t>
                  </w:r>
                </w:p>
              </w:tc>
            </w:tr>
            <w:tr w14:paraId="0CC98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82" w:type="pct"/>
                  <w:shd w:val="clear" w:color="auto" w:fill="auto"/>
                  <w:vAlign w:val="center"/>
                </w:tcPr>
                <w:p w14:paraId="7FA6490A">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引风机</w:t>
                  </w:r>
                </w:p>
              </w:tc>
              <w:tc>
                <w:tcPr>
                  <w:tcW w:w="1589" w:type="pct"/>
                  <w:shd w:val="clear" w:color="auto" w:fill="auto"/>
                  <w:vAlign w:val="center"/>
                </w:tcPr>
                <w:p w14:paraId="4CFA13F3">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w:t>
                  </w:r>
                </w:p>
              </w:tc>
              <w:tc>
                <w:tcPr>
                  <w:tcW w:w="1111" w:type="pct"/>
                  <w:shd w:val="clear" w:color="auto" w:fill="auto"/>
                  <w:vAlign w:val="center"/>
                </w:tcPr>
                <w:p w14:paraId="365DA133">
                  <w:pPr>
                    <w:pStyle w:val="41"/>
                    <w:rPr>
                      <w:rFonts w:hint="default" w:ascii="Times New Roman" w:hAnsi="Times New Roman"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1</w:t>
                  </w:r>
                </w:p>
              </w:tc>
              <w:tc>
                <w:tcPr>
                  <w:tcW w:w="716" w:type="pct"/>
                  <w:shd w:val="clear" w:color="auto" w:fill="auto"/>
                  <w:vAlign w:val="center"/>
                </w:tcPr>
                <w:p w14:paraId="22161743">
                  <w:pPr>
                    <w:pStyle w:val="41"/>
                    <w:rPr>
                      <w:rFonts w:hint="default" w:ascii="Times New Roman" w:hAnsi="Times New Roman" w:cs="Times New Roman"/>
                      <w:color w:val="auto"/>
                      <w:kern w:val="2"/>
                      <w:sz w:val="20"/>
                      <w:szCs w:val="20"/>
                      <w:highlight w:val="none"/>
                      <w:lang w:val="en-US" w:eastAsia="zh-CN" w:bidi="ar-SA"/>
                    </w:rPr>
                  </w:pPr>
                  <w:r>
                    <w:rPr>
                      <w:rFonts w:hint="eastAsia" w:ascii="Times New Roman" w:hAnsi="Times New Roman" w:cs="Times New Roman"/>
                      <w:color w:val="auto"/>
                      <w:kern w:val="2"/>
                      <w:sz w:val="20"/>
                      <w:szCs w:val="20"/>
                      <w:highlight w:val="none"/>
                      <w:lang w:val="en-US" w:eastAsia="zh-CN" w:bidi="ar-SA"/>
                    </w:rPr>
                    <w:t>/</w:t>
                  </w:r>
                </w:p>
              </w:tc>
            </w:tr>
            <w:tr w14:paraId="17D7A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82" w:type="pct"/>
                  <w:shd w:val="clear" w:color="auto" w:fill="auto"/>
                  <w:vAlign w:val="center"/>
                </w:tcPr>
                <w:p w14:paraId="18F3A9AB">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移动式布袋除尘器</w:t>
                  </w:r>
                </w:p>
              </w:tc>
              <w:tc>
                <w:tcPr>
                  <w:tcW w:w="1589" w:type="pct"/>
                  <w:shd w:val="clear" w:color="auto" w:fill="auto"/>
                  <w:vAlign w:val="center"/>
                </w:tcPr>
                <w:p w14:paraId="52BDB400">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w:t>
                  </w:r>
                </w:p>
              </w:tc>
              <w:tc>
                <w:tcPr>
                  <w:tcW w:w="1111" w:type="pct"/>
                  <w:shd w:val="clear" w:color="auto" w:fill="auto"/>
                  <w:vAlign w:val="center"/>
                </w:tcPr>
                <w:p w14:paraId="0431AF42">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3</w:t>
                  </w:r>
                </w:p>
              </w:tc>
              <w:tc>
                <w:tcPr>
                  <w:tcW w:w="716" w:type="pct"/>
                  <w:shd w:val="clear" w:color="auto" w:fill="auto"/>
                  <w:vAlign w:val="center"/>
                </w:tcPr>
                <w:p w14:paraId="61A0997F">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w:t>
                  </w:r>
                </w:p>
              </w:tc>
            </w:tr>
            <w:tr w14:paraId="1CF2A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82" w:type="pct"/>
                  <w:shd w:val="clear" w:color="auto" w:fill="auto"/>
                  <w:vAlign w:val="center"/>
                </w:tcPr>
                <w:p w14:paraId="7F866773">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焊烟净化器</w:t>
                  </w:r>
                </w:p>
              </w:tc>
              <w:tc>
                <w:tcPr>
                  <w:tcW w:w="1589" w:type="pct"/>
                  <w:shd w:val="clear" w:color="auto" w:fill="auto"/>
                  <w:vAlign w:val="center"/>
                </w:tcPr>
                <w:p w14:paraId="07BF9855">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w:t>
                  </w:r>
                </w:p>
              </w:tc>
              <w:tc>
                <w:tcPr>
                  <w:tcW w:w="1111" w:type="pct"/>
                  <w:shd w:val="clear" w:color="auto" w:fill="auto"/>
                  <w:vAlign w:val="center"/>
                </w:tcPr>
                <w:p w14:paraId="21CD6C03">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2</w:t>
                  </w:r>
                </w:p>
              </w:tc>
              <w:tc>
                <w:tcPr>
                  <w:tcW w:w="716" w:type="pct"/>
                  <w:shd w:val="clear" w:color="auto" w:fill="auto"/>
                  <w:vAlign w:val="center"/>
                </w:tcPr>
                <w:p w14:paraId="436CB7DF">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w:t>
                  </w:r>
                </w:p>
              </w:tc>
            </w:tr>
            <w:bookmarkEnd w:id="11"/>
          </w:tbl>
          <w:p w14:paraId="4C3CF6F7">
            <w:pPr>
              <w:pStyle w:val="38"/>
              <w:ind w:firstLine="42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五、原辅材料消耗</w:t>
            </w:r>
          </w:p>
          <w:p w14:paraId="4D242124">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t>该项目主要原辅材料用量见下表。</w:t>
            </w:r>
            <w:bookmarkStart w:id="12" w:name="_Hlk110956806"/>
          </w:p>
          <w:p w14:paraId="4D2CA352">
            <w:pPr>
              <w:pStyle w:val="39"/>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1</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 xml:space="preserve"> </w:t>
            </w:r>
            <w:r>
              <w:rPr>
                <w:rFonts w:hint="default" w:ascii="Times New Roman" w:hAnsi="Times New Roman" w:cs="Times New Roman"/>
                <w:color w:val="auto"/>
                <w:kern w:val="0"/>
                <w:szCs w:val="21"/>
                <w:highlight w:val="none"/>
              </w:rPr>
              <w:t>拟建项目</w:t>
            </w:r>
            <w:r>
              <w:rPr>
                <w:rFonts w:hint="default" w:ascii="Times New Roman" w:hAnsi="Times New Roman" w:cs="Times New Roman"/>
                <w:color w:val="auto"/>
                <w:kern w:val="0"/>
                <w:szCs w:val="21"/>
                <w:highlight w:val="none"/>
                <w:lang w:eastAsia="zh-CN"/>
              </w:rPr>
              <w:t>主要</w:t>
            </w:r>
            <w:r>
              <w:rPr>
                <w:rFonts w:hint="default" w:ascii="Times New Roman" w:hAnsi="Times New Roman" w:cs="Times New Roman"/>
                <w:color w:val="auto"/>
                <w:kern w:val="0"/>
                <w:szCs w:val="21"/>
                <w:highlight w:val="none"/>
              </w:rPr>
              <w:t>原辅材料</w:t>
            </w:r>
            <w:r>
              <w:rPr>
                <w:rFonts w:hint="default" w:ascii="Times New Roman" w:hAnsi="Times New Roman" w:cs="Times New Roman"/>
                <w:color w:val="auto"/>
                <w:kern w:val="0"/>
                <w:szCs w:val="21"/>
                <w:highlight w:val="none"/>
                <w:lang w:eastAsia="zh-CN"/>
              </w:rPr>
              <w:t>用量表</w:t>
            </w:r>
          </w:p>
          <w:tbl>
            <w:tblPr>
              <w:tblStyle w:val="29"/>
              <w:tblW w:w="4991"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2390"/>
              <w:gridCol w:w="1581"/>
              <w:gridCol w:w="1520"/>
              <w:gridCol w:w="1520"/>
              <w:gridCol w:w="1703"/>
            </w:tblGrid>
            <w:tr w14:paraId="5988DDC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371" w:type="pct"/>
                  <w:vAlign w:val="center"/>
                </w:tcPr>
                <w:p w14:paraId="448250D0">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原辅料名称</w:t>
                  </w:r>
                </w:p>
              </w:tc>
              <w:tc>
                <w:tcPr>
                  <w:tcW w:w="907" w:type="pct"/>
                  <w:vAlign w:val="center"/>
                </w:tcPr>
                <w:p w14:paraId="5663151A">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cs="Times New Roman"/>
                      <w:color w:val="auto"/>
                      <w:sz w:val="20"/>
                      <w:szCs w:val="20"/>
                      <w:highlight w:val="none"/>
                      <w:lang w:eastAsia="zh-CN"/>
                    </w:rPr>
                    <w:t>形态</w:t>
                  </w:r>
                </w:p>
              </w:tc>
              <w:tc>
                <w:tcPr>
                  <w:tcW w:w="872" w:type="pct"/>
                  <w:vAlign w:val="center"/>
                </w:tcPr>
                <w:p w14:paraId="3966DFC7">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单位</w:t>
                  </w:r>
                </w:p>
              </w:tc>
              <w:tc>
                <w:tcPr>
                  <w:tcW w:w="872" w:type="pct"/>
                  <w:vAlign w:val="center"/>
                </w:tcPr>
                <w:p w14:paraId="322D629C">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消耗量</w:t>
                  </w:r>
                </w:p>
              </w:tc>
              <w:tc>
                <w:tcPr>
                  <w:tcW w:w="976" w:type="pct"/>
                  <w:vAlign w:val="center"/>
                </w:tcPr>
                <w:p w14:paraId="122CBE2F">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备注</w:t>
                  </w:r>
                </w:p>
              </w:tc>
            </w:tr>
            <w:tr w14:paraId="17BD449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371" w:type="pct"/>
                  <w:shd w:val="clear" w:color="auto" w:fill="auto"/>
                  <w:vAlign w:val="center"/>
                </w:tcPr>
                <w:p w14:paraId="100B5E7A">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理化板</w:t>
                  </w:r>
                </w:p>
              </w:tc>
              <w:tc>
                <w:tcPr>
                  <w:tcW w:w="907" w:type="pct"/>
                  <w:vAlign w:val="center"/>
                </w:tcPr>
                <w:p w14:paraId="1F3421CC">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固态</w:t>
                  </w:r>
                </w:p>
              </w:tc>
              <w:tc>
                <w:tcPr>
                  <w:tcW w:w="872" w:type="pct"/>
                  <w:shd w:val="clear" w:color="auto" w:fill="auto"/>
                  <w:vAlign w:val="center"/>
                </w:tcPr>
                <w:p w14:paraId="3954F727">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张/年</w:t>
                  </w:r>
                </w:p>
              </w:tc>
              <w:tc>
                <w:tcPr>
                  <w:tcW w:w="872" w:type="pct"/>
                  <w:shd w:val="clear" w:color="auto" w:fill="auto"/>
                  <w:vAlign w:val="center"/>
                </w:tcPr>
                <w:p w14:paraId="2E0160C8">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500</w:t>
                  </w:r>
                </w:p>
              </w:tc>
              <w:tc>
                <w:tcPr>
                  <w:tcW w:w="976" w:type="pct"/>
                  <w:vAlign w:val="center"/>
                </w:tcPr>
                <w:p w14:paraId="05EAB20D">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100kg/张</w:t>
                  </w:r>
                </w:p>
              </w:tc>
            </w:tr>
            <w:tr w14:paraId="06FF1A9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371" w:type="pct"/>
                  <w:shd w:val="clear" w:color="auto" w:fill="auto"/>
                  <w:vAlign w:val="center"/>
                </w:tcPr>
                <w:p w14:paraId="3FD8AE5F">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方钢管</w:t>
                  </w:r>
                </w:p>
              </w:tc>
              <w:tc>
                <w:tcPr>
                  <w:tcW w:w="907" w:type="pct"/>
                  <w:vAlign w:val="center"/>
                </w:tcPr>
                <w:p w14:paraId="272919A0">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固态</w:t>
                  </w:r>
                </w:p>
              </w:tc>
              <w:tc>
                <w:tcPr>
                  <w:tcW w:w="872" w:type="pct"/>
                  <w:shd w:val="clear" w:color="auto" w:fill="auto"/>
                  <w:vAlign w:val="center"/>
                </w:tcPr>
                <w:p w14:paraId="051044E0">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根/年</w:t>
                  </w:r>
                </w:p>
              </w:tc>
              <w:tc>
                <w:tcPr>
                  <w:tcW w:w="872" w:type="pct"/>
                  <w:shd w:val="clear" w:color="auto" w:fill="auto"/>
                  <w:vAlign w:val="center"/>
                </w:tcPr>
                <w:p w14:paraId="529255B4">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3000</w:t>
                  </w:r>
                </w:p>
              </w:tc>
              <w:tc>
                <w:tcPr>
                  <w:tcW w:w="976" w:type="pct"/>
                  <w:vAlign w:val="center"/>
                </w:tcPr>
                <w:p w14:paraId="39EC453B">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w:t>
                  </w:r>
                </w:p>
              </w:tc>
            </w:tr>
            <w:tr w14:paraId="6C30D06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371" w:type="pct"/>
                  <w:shd w:val="clear" w:color="auto" w:fill="auto"/>
                  <w:vAlign w:val="center"/>
                </w:tcPr>
                <w:p w14:paraId="05147204">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三聚氰胺板</w:t>
                  </w:r>
                </w:p>
              </w:tc>
              <w:tc>
                <w:tcPr>
                  <w:tcW w:w="907" w:type="pct"/>
                  <w:vAlign w:val="center"/>
                </w:tcPr>
                <w:p w14:paraId="695E9088">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固态</w:t>
                  </w:r>
                </w:p>
              </w:tc>
              <w:tc>
                <w:tcPr>
                  <w:tcW w:w="872" w:type="pct"/>
                  <w:shd w:val="clear" w:color="auto" w:fill="auto"/>
                  <w:vAlign w:val="center"/>
                </w:tcPr>
                <w:p w14:paraId="41A15CA6">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张/年</w:t>
                  </w:r>
                </w:p>
              </w:tc>
              <w:tc>
                <w:tcPr>
                  <w:tcW w:w="872" w:type="pct"/>
                  <w:shd w:val="clear" w:color="auto" w:fill="auto"/>
                  <w:vAlign w:val="center"/>
                </w:tcPr>
                <w:p w14:paraId="0EBC59C2">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2000</w:t>
                  </w:r>
                </w:p>
              </w:tc>
              <w:tc>
                <w:tcPr>
                  <w:tcW w:w="976" w:type="pct"/>
                  <w:vAlign w:val="center"/>
                </w:tcPr>
                <w:p w14:paraId="382D756F">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25kg/张</w:t>
                  </w:r>
                </w:p>
              </w:tc>
            </w:tr>
            <w:tr w14:paraId="545935F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371" w:type="pct"/>
                  <w:shd w:val="clear" w:color="auto" w:fill="auto"/>
                  <w:vAlign w:val="center"/>
                </w:tcPr>
                <w:p w14:paraId="6F2E2E51">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热熔胶</w:t>
                  </w:r>
                </w:p>
              </w:tc>
              <w:tc>
                <w:tcPr>
                  <w:tcW w:w="907" w:type="pct"/>
                  <w:vAlign w:val="center"/>
                </w:tcPr>
                <w:p w14:paraId="72923E33">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固态</w:t>
                  </w:r>
                </w:p>
              </w:tc>
              <w:tc>
                <w:tcPr>
                  <w:tcW w:w="872" w:type="pct"/>
                  <w:shd w:val="clear" w:color="auto" w:fill="auto"/>
                  <w:vAlign w:val="center"/>
                </w:tcPr>
                <w:p w14:paraId="09FA3AE6">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kern w:val="2"/>
                      <w:sz w:val="20"/>
                      <w:szCs w:val="20"/>
                      <w:highlight w:val="none"/>
                      <w:lang w:val="en-US" w:eastAsia="zh-CN" w:bidi="ar-SA"/>
                    </w:rPr>
                    <w:t>吨/年</w:t>
                  </w:r>
                </w:p>
              </w:tc>
              <w:tc>
                <w:tcPr>
                  <w:tcW w:w="872" w:type="pct"/>
                  <w:shd w:val="clear" w:color="auto" w:fill="auto"/>
                  <w:vAlign w:val="center"/>
                </w:tcPr>
                <w:p w14:paraId="15CF4B6C">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0.3</w:t>
                  </w:r>
                </w:p>
              </w:tc>
              <w:tc>
                <w:tcPr>
                  <w:tcW w:w="976" w:type="pct"/>
                  <w:vAlign w:val="center"/>
                </w:tcPr>
                <w:p w14:paraId="619A60D5">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w:t>
                  </w:r>
                </w:p>
              </w:tc>
            </w:tr>
            <w:tr w14:paraId="36291C4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371" w:type="pct"/>
                  <w:shd w:val="clear" w:color="auto" w:fill="auto"/>
                  <w:vAlign w:val="center"/>
                </w:tcPr>
                <w:p w14:paraId="3348AF62">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二氧化碳</w:t>
                  </w:r>
                </w:p>
              </w:tc>
              <w:tc>
                <w:tcPr>
                  <w:tcW w:w="907" w:type="pct"/>
                  <w:vAlign w:val="center"/>
                </w:tcPr>
                <w:p w14:paraId="66A57FC3">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液态/气态</w:t>
                  </w:r>
                </w:p>
              </w:tc>
              <w:tc>
                <w:tcPr>
                  <w:tcW w:w="872" w:type="pct"/>
                  <w:shd w:val="clear" w:color="auto" w:fill="auto"/>
                  <w:vAlign w:val="center"/>
                </w:tcPr>
                <w:p w14:paraId="1E5FA811">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kern w:val="2"/>
                      <w:sz w:val="20"/>
                      <w:szCs w:val="20"/>
                      <w:highlight w:val="none"/>
                      <w:lang w:val="en-US" w:eastAsia="zh-CN" w:bidi="ar-SA"/>
                    </w:rPr>
                    <w:t>罐/年</w:t>
                  </w:r>
                </w:p>
              </w:tc>
              <w:tc>
                <w:tcPr>
                  <w:tcW w:w="872" w:type="pct"/>
                  <w:shd w:val="clear" w:color="auto" w:fill="auto"/>
                  <w:vAlign w:val="center"/>
                </w:tcPr>
                <w:p w14:paraId="7EC2C47D">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24</w:t>
                  </w:r>
                </w:p>
              </w:tc>
              <w:tc>
                <w:tcPr>
                  <w:tcW w:w="976" w:type="pct"/>
                  <w:vAlign w:val="center"/>
                </w:tcPr>
                <w:p w14:paraId="227E1051">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w:t>
                  </w:r>
                </w:p>
              </w:tc>
            </w:tr>
            <w:tr w14:paraId="319E575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371" w:type="pct"/>
                  <w:shd w:val="clear" w:color="auto" w:fill="auto"/>
                  <w:vAlign w:val="center"/>
                </w:tcPr>
                <w:p w14:paraId="1FACA0A2">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焊条</w:t>
                  </w:r>
                </w:p>
              </w:tc>
              <w:tc>
                <w:tcPr>
                  <w:tcW w:w="907" w:type="pct"/>
                  <w:vAlign w:val="center"/>
                </w:tcPr>
                <w:p w14:paraId="3CA437D1">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固态</w:t>
                  </w:r>
                </w:p>
              </w:tc>
              <w:tc>
                <w:tcPr>
                  <w:tcW w:w="872" w:type="pct"/>
                  <w:shd w:val="clear" w:color="auto" w:fill="auto"/>
                  <w:vAlign w:val="center"/>
                </w:tcPr>
                <w:p w14:paraId="1EB83A7E">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kern w:val="2"/>
                      <w:sz w:val="20"/>
                      <w:szCs w:val="20"/>
                      <w:highlight w:val="none"/>
                      <w:lang w:val="en-US" w:eastAsia="zh-CN" w:bidi="ar-SA"/>
                    </w:rPr>
                    <w:t>吨/年</w:t>
                  </w:r>
                </w:p>
              </w:tc>
              <w:tc>
                <w:tcPr>
                  <w:tcW w:w="872" w:type="pct"/>
                  <w:shd w:val="clear" w:color="auto" w:fill="auto"/>
                  <w:vAlign w:val="center"/>
                </w:tcPr>
                <w:p w14:paraId="660EC0BC">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0.1</w:t>
                  </w:r>
                </w:p>
              </w:tc>
              <w:tc>
                <w:tcPr>
                  <w:tcW w:w="976" w:type="pct"/>
                  <w:shd w:val="clear" w:color="auto" w:fill="auto"/>
                  <w:vAlign w:val="center"/>
                </w:tcPr>
                <w:p w14:paraId="5DBA7D35">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w:t>
                  </w:r>
                </w:p>
              </w:tc>
            </w:tr>
            <w:tr w14:paraId="4F1BAD7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371" w:type="pct"/>
                  <w:shd w:val="clear" w:color="auto" w:fill="auto"/>
                  <w:vAlign w:val="center"/>
                </w:tcPr>
                <w:p w14:paraId="4F47029D">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配件</w:t>
                  </w:r>
                </w:p>
              </w:tc>
              <w:tc>
                <w:tcPr>
                  <w:tcW w:w="907" w:type="pct"/>
                  <w:vAlign w:val="center"/>
                </w:tcPr>
                <w:p w14:paraId="0597E1CA">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固态</w:t>
                  </w:r>
                </w:p>
              </w:tc>
              <w:tc>
                <w:tcPr>
                  <w:tcW w:w="872" w:type="pct"/>
                  <w:shd w:val="clear" w:color="auto" w:fill="auto"/>
                  <w:vAlign w:val="center"/>
                </w:tcPr>
                <w:p w14:paraId="04B64420">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套/年</w:t>
                  </w:r>
                </w:p>
              </w:tc>
              <w:tc>
                <w:tcPr>
                  <w:tcW w:w="872" w:type="pct"/>
                  <w:shd w:val="clear" w:color="auto" w:fill="auto"/>
                  <w:vAlign w:val="center"/>
                </w:tcPr>
                <w:p w14:paraId="3449D969">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1000</w:t>
                  </w:r>
                </w:p>
              </w:tc>
              <w:tc>
                <w:tcPr>
                  <w:tcW w:w="976" w:type="pct"/>
                  <w:shd w:val="clear" w:color="auto" w:fill="auto"/>
                  <w:vAlign w:val="center"/>
                </w:tcPr>
                <w:p w14:paraId="11780929">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w:t>
                  </w:r>
                </w:p>
              </w:tc>
            </w:tr>
            <w:bookmarkEnd w:id="12"/>
          </w:tbl>
          <w:p w14:paraId="400CEC04">
            <w:pPr>
              <w:pStyle w:val="38"/>
              <w:bidi w:val="0"/>
              <w:rPr>
                <w:rFonts w:hint="default"/>
                <w:color w:val="auto"/>
                <w:highlight w:val="none"/>
                <w:lang w:eastAsia="zh-CN"/>
              </w:rPr>
            </w:pPr>
            <w:r>
              <w:rPr>
                <w:rFonts w:hint="default"/>
                <w:color w:val="auto"/>
                <w:highlight w:val="none"/>
                <w:lang w:eastAsia="zh-CN"/>
              </w:rPr>
              <w:t>项目主要原辅料理化性质简述如下：</w:t>
            </w:r>
          </w:p>
          <w:p w14:paraId="1CA5EA53">
            <w:pPr>
              <w:pStyle w:val="38"/>
              <w:bidi w:val="0"/>
              <w:rPr>
                <w:rFonts w:hint="eastAsia"/>
                <w:color w:val="auto"/>
                <w:highlight w:val="none"/>
                <w:lang w:eastAsia="zh-CN"/>
              </w:rPr>
            </w:pPr>
            <w:r>
              <w:rPr>
                <w:rFonts w:hint="eastAsia"/>
                <w:color w:val="auto"/>
                <w:highlight w:val="none"/>
                <w:lang w:eastAsia="zh-CN"/>
              </w:rPr>
              <w:t>理化板：由多层牛皮纸浸渍酚醛树脂经高温高压热固成型，表面致密无孔。板材耐弱酸弱碱、耐多数有机溶剂、耐湿热、耐磨损、抗冲击、尺寸稳定，属于B1级防火环保材料；使用过程无有害物质释放，日常清洁维护简单，符合实验室安全与环保要求。</w:t>
            </w:r>
          </w:p>
          <w:p w14:paraId="3FBA454F">
            <w:pPr>
              <w:pStyle w:val="38"/>
              <w:bidi w:val="0"/>
              <w:rPr>
                <w:rFonts w:hint="eastAsia"/>
                <w:color w:val="auto"/>
                <w:highlight w:val="none"/>
                <w:lang w:eastAsia="zh-CN"/>
              </w:rPr>
            </w:pPr>
            <w:r>
              <w:rPr>
                <w:rFonts w:hint="eastAsia"/>
                <w:color w:val="auto"/>
                <w:highlight w:val="none"/>
                <w:lang w:eastAsia="zh-CN"/>
              </w:rPr>
              <w:t>三聚氰胺板：以刨花板或密度板为基材，表面覆三聚氰胺树脂胶膜纸经热压成型的装饰板材。产品表面硬度高、耐磨损、耐弱酸弱碱、易清洁、尺寸稳定性较好，常温下性能稳定、无挥发性有机物释放，主要用于实验台柜体及辅助结构件。</w:t>
            </w:r>
          </w:p>
          <w:p w14:paraId="2C7381F4">
            <w:pPr>
              <w:pStyle w:val="38"/>
              <w:bidi w:val="0"/>
              <w:rPr>
                <w:rFonts w:hint="eastAsia"/>
                <w:color w:val="auto"/>
                <w:highlight w:val="none"/>
                <w:lang w:eastAsia="zh-CN"/>
              </w:rPr>
            </w:pPr>
            <w:r>
              <w:rPr>
                <w:rFonts w:hint="eastAsia"/>
                <w:color w:val="auto"/>
                <w:highlight w:val="none"/>
                <w:lang w:eastAsia="zh-CN"/>
              </w:rPr>
              <w:t>热熔胶：本项目用热熔胶为EVA热熔胶，主要成分为乙烯</w:t>
            </w:r>
            <w:r>
              <w:rPr>
                <w:rFonts w:hint="eastAsia"/>
                <w:color w:val="auto"/>
                <w:highlight w:val="none"/>
                <w:lang w:val="en-US" w:eastAsia="zh-CN"/>
              </w:rPr>
              <w:t>-</w:t>
            </w:r>
            <w:r>
              <w:rPr>
                <w:rFonts w:hint="eastAsia"/>
                <w:color w:val="auto"/>
                <w:highlight w:val="none"/>
                <w:lang w:eastAsia="zh-CN"/>
              </w:rPr>
              <w:t>醋酸乙烯酯共聚物，常温下为固态，不含挥发性有机溶剂，加热熔融后冷却固化。产品化学稳定性较好，常温下无有害物质释放，仅在高温熔融时产生微量挥发性有机物，属于低VOC环保型胶粘剂。</w:t>
            </w:r>
          </w:p>
          <w:p w14:paraId="255C0989">
            <w:pPr>
              <w:pStyle w:val="38"/>
              <w:ind w:firstLine="42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六、公用工程</w:t>
            </w:r>
          </w:p>
          <w:p w14:paraId="56E6941A">
            <w:pPr>
              <w:pStyle w:val="38"/>
              <w:ind w:firstLine="42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1、给水</w:t>
            </w:r>
          </w:p>
          <w:p w14:paraId="2CCF624B">
            <w:pPr>
              <w:pStyle w:val="38"/>
              <w:bidi w:val="0"/>
              <w:rPr>
                <w:color w:val="auto"/>
                <w:highlight w:val="none"/>
              </w:rPr>
            </w:pPr>
            <w:r>
              <w:rPr>
                <w:rFonts w:hint="eastAsia"/>
                <w:color w:val="auto"/>
                <w:highlight w:val="none"/>
              </w:rPr>
              <w:t>本</w:t>
            </w:r>
            <w:r>
              <w:rPr>
                <w:color w:val="auto"/>
                <w:highlight w:val="none"/>
              </w:rPr>
              <w:t>项目</w:t>
            </w:r>
            <w:r>
              <w:rPr>
                <w:rFonts w:hint="eastAsia"/>
                <w:color w:val="auto"/>
                <w:highlight w:val="none"/>
              </w:rPr>
              <w:t>无生产用水，</w:t>
            </w:r>
            <w:r>
              <w:rPr>
                <w:color w:val="auto"/>
                <w:highlight w:val="none"/>
              </w:rPr>
              <w:t>主要用水为职工生活用水。项目共有员工及管理人员</w:t>
            </w:r>
            <w:r>
              <w:rPr>
                <w:rFonts w:hint="eastAsia"/>
                <w:color w:val="auto"/>
                <w:highlight w:val="none"/>
                <w:lang w:val="en-US" w:eastAsia="zh-CN"/>
              </w:rPr>
              <w:t>12</w:t>
            </w:r>
            <w:r>
              <w:rPr>
                <w:color w:val="auto"/>
                <w:highlight w:val="none"/>
              </w:rPr>
              <w:t>人，年工作300天，项目不设员工食堂宿舍，根据《建筑给水排水设计规范》（GB50015-20</w:t>
            </w:r>
            <w:r>
              <w:rPr>
                <w:rFonts w:hint="eastAsia"/>
                <w:color w:val="auto"/>
                <w:highlight w:val="none"/>
              </w:rPr>
              <w:t>19</w:t>
            </w:r>
            <w:r>
              <w:rPr>
                <w:color w:val="auto"/>
                <w:highlight w:val="none"/>
              </w:rPr>
              <w:t>）职工生活用水按</w:t>
            </w:r>
            <w:r>
              <w:rPr>
                <w:rFonts w:hint="eastAsia"/>
                <w:color w:val="auto"/>
                <w:highlight w:val="none"/>
              </w:rPr>
              <w:t>50</w:t>
            </w:r>
            <w:r>
              <w:rPr>
                <w:color w:val="auto"/>
                <w:highlight w:val="none"/>
              </w:rPr>
              <w:t>L/d·人计，则生活用水总量为</w:t>
            </w:r>
            <w:r>
              <w:rPr>
                <w:rFonts w:hint="eastAsia"/>
                <w:color w:val="auto"/>
                <w:highlight w:val="none"/>
                <w:lang w:val="en-US" w:eastAsia="zh-CN"/>
              </w:rPr>
              <w:t>180</w:t>
            </w:r>
            <w:r>
              <w:rPr>
                <w:color w:val="auto"/>
                <w:highlight w:val="none"/>
              </w:rPr>
              <w:t>m</w:t>
            </w:r>
            <w:r>
              <w:rPr>
                <w:color w:val="auto"/>
                <w:highlight w:val="none"/>
                <w:vertAlign w:val="superscript"/>
              </w:rPr>
              <w:t>3</w:t>
            </w:r>
            <w:r>
              <w:rPr>
                <w:color w:val="auto"/>
                <w:highlight w:val="none"/>
              </w:rPr>
              <w:t>/a。</w:t>
            </w:r>
          </w:p>
          <w:p w14:paraId="162B4890">
            <w:pPr>
              <w:pStyle w:val="38"/>
              <w:bidi w:val="0"/>
              <w:rPr>
                <w:rFonts w:hint="default"/>
                <w:color w:val="auto"/>
                <w:highlight w:val="none"/>
                <w:lang w:eastAsia="zh-CN"/>
              </w:rPr>
            </w:pPr>
            <w:r>
              <w:rPr>
                <w:rFonts w:hint="eastAsia"/>
                <w:color w:val="auto"/>
                <w:highlight w:val="none"/>
              </w:rPr>
              <w:t>因此</w:t>
            </w:r>
            <w:r>
              <w:rPr>
                <w:color w:val="auto"/>
                <w:highlight w:val="none"/>
              </w:rPr>
              <w:t>，本项目用水量为</w:t>
            </w:r>
            <w:r>
              <w:rPr>
                <w:rFonts w:hint="eastAsia"/>
                <w:color w:val="auto"/>
                <w:highlight w:val="none"/>
                <w:lang w:val="en-US" w:eastAsia="zh-CN"/>
              </w:rPr>
              <w:t>180</w:t>
            </w:r>
            <w:r>
              <w:rPr>
                <w:color w:val="auto"/>
                <w:highlight w:val="none"/>
              </w:rPr>
              <w:t>m</w:t>
            </w:r>
            <w:r>
              <w:rPr>
                <w:color w:val="auto"/>
                <w:highlight w:val="none"/>
                <w:vertAlign w:val="superscript"/>
              </w:rPr>
              <w:t>3</w:t>
            </w:r>
            <w:r>
              <w:rPr>
                <w:color w:val="auto"/>
                <w:highlight w:val="none"/>
              </w:rPr>
              <w:t>/a，由</w:t>
            </w:r>
            <w:r>
              <w:rPr>
                <w:rFonts w:hint="eastAsia"/>
                <w:color w:val="auto"/>
                <w:highlight w:val="none"/>
              </w:rPr>
              <w:t>淄博经济开发区</w:t>
            </w:r>
            <w:r>
              <w:rPr>
                <w:color w:val="auto"/>
                <w:highlight w:val="none"/>
              </w:rPr>
              <w:t>供水管网供给</w:t>
            </w:r>
            <w:r>
              <w:rPr>
                <w:rFonts w:hint="default"/>
                <w:color w:val="auto"/>
                <w:highlight w:val="none"/>
                <w:lang w:val="en-US" w:eastAsia="zh-CN"/>
              </w:rPr>
              <w:t>。</w:t>
            </w:r>
          </w:p>
          <w:p w14:paraId="3D6F5B40">
            <w:pPr>
              <w:pStyle w:val="38"/>
              <w:ind w:firstLine="42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2、排水</w:t>
            </w:r>
          </w:p>
          <w:p w14:paraId="0A21A738">
            <w:pPr>
              <w:pStyle w:val="38"/>
              <w:bidi w:val="0"/>
              <w:rPr>
                <w:rFonts w:hint="default"/>
                <w:color w:val="auto"/>
                <w:highlight w:val="none"/>
                <w:lang w:val="en-US" w:eastAsia="zh-CN"/>
              </w:rPr>
            </w:pPr>
            <w:r>
              <w:rPr>
                <w:rFonts w:hint="default"/>
                <w:color w:val="auto"/>
                <w:highlight w:val="none"/>
                <w:lang w:val="en-US" w:eastAsia="zh-CN"/>
              </w:rPr>
              <w:t>本项目排水采用雨、污分流制，雨水经汇水沟渠就近排入雨水管网。</w:t>
            </w:r>
          </w:p>
          <w:p w14:paraId="3E8C43E7">
            <w:pPr>
              <w:pStyle w:val="38"/>
              <w:bidi w:val="0"/>
              <w:rPr>
                <w:rFonts w:hint="default"/>
                <w:color w:val="auto"/>
                <w:highlight w:val="none"/>
                <w:lang w:val="en-US" w:eastAsia="zh-CN"/>
              </w:rPr>
            </w:pPr>
            <w:r>
              <w:rPr>
                <w:rFonts w:hint="default"/>
                <w:color w:val="auto"/>
                <w:highlight w:val="none"/>
              </w:rPr>
              <w:t>本项目产生废水主要为生活</w:t>
            </w:r>
            <w:r>
              <w:rPr>
                <w:rFonts w:hint="default"/>
                <w:color w:val="auto"/>
                <w:highlight w:val="none"/>
                <w:lang w:val="en-US" w:eastAsia="zh-CN"/>
              </w:rPr>
              <w:t>废</w:t>
            </w:r>
            <w:r>
              <w:rPr>
                <w:rFonts w:hint="default"/>
                <w:color w:val="auto"/>
                <w:highlight w:val="none"/>
              </w:rPr>
              <w:t>水</w:t>
            </w:r>
            <w:r>
              <w:rPr>
                <w:rFonts w:hint="default"/>
                <w:color w:val="auto"/>
                <w:highlight w:val="none"/>
                <w:lang w:eastAsia="zh-CN"/>
              </w:rPr>
              <w:t>，</w:t>
            </w:r>
            <w:r>
              <w:rPr>
                <w:rFonts w:hint="default"/>
                <w:color w:val="auto"/>
                <w:highlight w:val="none"/>
                <w:lang w:val="en-US" w:eastAsia="zh-CN"/>
              </w:rPr>
              <w:t>产生量</w:t>
            </w:r>
            <w:r>
              <w:rPr>
                <w:rFonts w:hint="default"/>
                <w:color w:val="auto"/>
                <w:highlight w:val="none"/>
              </w:rPr>
              <w:t>按生活用水量的80%计，则生活</w:t>
            </w:r>
            <w:r>
              <w:rPr>
                <w:rFonts w:hint="default"/>
                <w:color w:val="auto"/>
                <w:highlight w:val="none"/>
                <w:lang w:val="en-US" w:eastAsia="zh-CN"/>
              </w:rPr>
              <w:t>废水</w:t>
            </w:r>
            <w:r>
              <w:rPr>
                <w:rFonts w:hint="default"/>
                <w:color w:val="auto"/>
                <w:highlight w:val="none"/>
              </w:rPr>
              <w:t>产生量为</w:t>
            </w:r>
            <w:r>
              <w:rPr>
                <w:rFonts w:hint="eastAsia"/>
                <w:color w:val="auto"/>
                <w:highlight w:val="none"/>
                <w:lang w:val="en-US" w:eastAsia="zh-CN"/>
              </w:rPr>
              <w:t>144</w:t>
            </w:r>
            <w:r>
              <w:rPr>
                <w:rFonts w:hint="default"/>
                <w:color w:val="auto"/>
                <w:highlight w:val="none"/>
              </w:rPr>
              <w:t>m</w:t>
            </w:r>
            <w:r>
              <w:rPr>
                <w:rFonts w:hint="default"/>
                <w:color w:val="auto"/>
                <w:highlight w:val="none"/>
                <w:vertAlign w:val="superscript"/>
              </w:rPr>
              <w:t>3</w:t>
            </w:r>
            <w:r>
              <w:rPr>
                <w:rFonts w:hint="default"/>
                <w:color w:val="auto"/>
                <w:highlight w:val="none"/>
              </w:rPr>
              <w:t>/a</w:t>
            </w:r>
            <w:r>
              <w:rPr>
                <w:rFonts w:hint="default"/>
                <w:color w:val="auto"/>
                <w:highlight w:val="none"/>
                <w:lang w:eastAsia="zh-CN"/>
              </w:rPr>
              <w:t>，</w:t>
            </w:r>
            <w:r>
              <w:rPr>
                <w:rFonts w:hint="default"/>
                <w:color w:val="auto"/>
                <w:highlight w:val="none"/>
                <w:lang w:val="en-US" w:eastAsia="zh-CN"/>
              </w:rPr>
              <w:t>经</w:t>
            </w:r>
            <w:r>
              <w:rPr>
                <w:rFonts w:hint="eastAsia"/>
                <w:color w:val="auto"/>
                <w:highlight w:val="none"/>
                <w:lang w:val="en-US" w:eastAsia="zh-CN"/>
              </w:rPr>
              <w:t>化粪池暂存</w:t>
            </w:r>
            <w:r>
              <w:rPr>
                <w:rFonts w:hint="default"/>
                <w:color w:val="auto"/>
                <w:highlight w:val="none"/>
                <w:lang w:val="en-US" w:eastAsia="zh-CN"/>
              </w:rPr>
              <w:t>后，</w:t>
            </w:r>
            <w:r>
              <w:rPr>
                <w:rFonts w:hint="eastAsia"/>
                <w:color w:val="auto"/>
                <w:highlight w:val="none"/>
                <w:lang w:val="en-US" w:eastAsia="zh-CN"/>
              </w:rPr>
              <w:t>由环卫部门定期清运</w:t>
            </w:r>
            <w:r>
              <w:rPr>
                <w:rFonts w:hint="default"/>
                <w:color w:val="auto"/>
                <w:highlight w:val="none"/>
                <w:lang w:val="en-US" w:eastAsia="zh-CN"/>
              </w:rPr>
              <w:t>。</w:t>
            </w:r>
          </w:p>
          <w:p w14:paraId="2C24A378">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pict>
                <v:shape id="_x0000_s2057" o:spid="_x0000_s2057" o:spt="75" type="#_x0000_t75" style="position:absolute;left:0pt;margin-left:47.25pt;margin-top:16.2pt;height:45.8pt;width:322.3pt;z-index:-251637760;mso-width-relative:page;mso-height-relative:page;" o:ole="t" filled="f" o:preferrelative="t" stroked="f" coordsize="21600,21600">
                  <v:path/>
                  <v:fill on="f" focussize="0,0"/>
                  <v:stroke on="f"/>
                  <v:imagedata r:id="rId27" o:title=""/>
                  <o:lock v:ext="edit" aspectratio="f"/>
                </v:shape>
                <o:OLEObject Type="Embed" ProgID="Visio.Drawing.11" ShapeID="_x0000_s2057" DrawAspect="Content" ObjectID="_1468075725" r:id="rId26">
                  <o:LockedField>false</o:LockedField>
                </o:OLEObject>
              </w:pict>
            </w:r>
            <w:r>
              <w:rPr>
                <w:rFonts w:hint="default" w:ascii="Times New Roman" w:hAnsi="Times New Roman" w:cs="Times New Roman"/>
                <w:color w:val="auto"/>
                <w:highlight w:val="none"/>
              </w:rPr>
              <w:t>拟建项目水平衡见下图</w:t>
            </w:r>
          </w:p>
          <w:p w14:paraId="3C13E5EF">
            <w:pPr>
              <w:pStyle w:val="38"/>
              <w:rPr>
                <w:rFonts w:hint="default" w:ascii="Times New Roman" w:hAnsi="Times New Roman" w:cs="Times New Roman"/>
                <w:color w:val="auto"/>
                <w:highlight w:val="none"/>
              </w:rPr>
            </w:pPr>
          </w:p>
          <w:p w14:paraId="59ECA874">
            <w:pPr>
              <w:pStyle w:val="38"/>
              <w:rPr>
                <w:rFonts w:hint="default" w:ascii="Times New Roman" w:hAnsi="Times New Roman" w:cs="Times New Roman"/>
                <w:color w:val="auto"/>
                <w:highlight w:val="none"/>
              </w:rPr>
            </w:pPr>
          </w:p>
          <w:p w14:paraId="17871473">
            <w:pPr>
              <w:pStyle w:val="38"/>
              <w:rPr>
                <w:rFonts w:hint="default" w:ascii="Times New Roman" w:hAnsi="Times New Roman" w:cs="Times New Roman"/>
                <w:color w:val="auto"/>
                <w:highlight w:val="none"/>
              </w:rPr>
            </w:pPr>
          </w:p>
          <w:p w14:paraId="537163D6">
            <w:pPr>
              <w:pStyle w:val="39"/>
              <w:bidi w:val="0"/>
              <w:rPr>
                <w:rFonts w:hint="default" w:ascii="Times New Roman" w:hAnsi="Times New Roman" w:cs="Times New Roman"/>
                <w:color w:val="auto"/>
                <w:highlight w:val="none"/>
              </w:rPr>
            </w:pPr>
            <w:r>
              <w:rPr>
                <w:rFonts w:hint="default"/>
                <w:color w:val="auto"/>
                <w:highlight w:val="none"/>
                <w:lang w:val="en-US" w:eastAsia="zh-CN"/>
              </w:rPr>
              <w:t>图</w:t>
            </w:r>
            <w:r>
              <w:rPr>
                <w:rFonts w:hint="eastAsia"/>
                <w:color w:val="auto"/>
                <w:highlight w:val="none"/>
                <w:lang w:val="en-US" w:eastAsia="zh-CN"/>
              </w:rPr>
              <w:t>2</w:t>
            </w:r>
            <w:r>
              <w:rPr>
                <w:rFonts w:hint="default"/>
                <w:color w:val="auto"/>
                <w:highlight w:val="none"/>
                <w:lang w:val="en-US" w:eastAsia="zh-CN"/>
              </w:rPr>
              <w:t xml:space="preserve">  本项目水平衡图  m</w:t>
            </w:r>
            <w:r>
              <w:rPr>
                <w:rFonts w:hint="default"/>
                <w:color w:val="auto"/>
                <w:highlight w:val="none"/>
                <w:vertAlign w:val="superscript"/>
                <w:lang w:val="en-US" w:eastAsia="zh-CN"/>
              </w:rPr>
              <w:t>3</w:t>
            </w:r>
            <w:r>
              <w:rPr>
                <w:rFonts w:hint="default"/>
                <w:color w:val="auto"/>
                <w:highlight w:val="none"/>
                <w:lang w:val="en-US" w:eastAsia="zh-CN"/>
              </w:rPr>
              <w:t>/a</w:t>
            </w:r>
          </w:p>
          <w:p w14:paraId="12E9C814">
            <w:pPr>
              <w:pStyle w:val="38"/>
              <w:keepNext w:val="0"/>
              <w:keepLines w:val="0"/>
              <w:pageBreakBefore w:val="0"/>
              <w:widowControl w:val="0"/>
              <w:kinsoku/>
              <w:wordWrap/>
              <w:overflowPunct/>
              <w:topLinePunct w:val="0"/>
              <w:autoSpaceDE w:val="0"/>
              <w:autoSpaceDN w:val="0"/>
              <w:bidi w:val="0"/>
              <w:adjustRightInd/>
              <w:snapToGrid/>
              <w:spacing w:line="360" w:lineRule="exact"/>
              <w:ind w:firstLine="422"/>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3、供电</w:t>
            </w:r>
          </w:p>
          <w:p w14:paraId="4F0DEF13">
            <w:pPr>
              <w:pStyle w:val="38"/>
              <w:keepNext w:val="0"/>
              <w:keepLines w:val="0"/>
              <w:pageBreakBefore w:val="0"/>
              <w:widowControl w:val="0"/>
              <w:kinsoku/>
              <w:wordWrap/>
              <w:overflowPunct/>
              <w:topLinePunct w:val="0"/>
              <w:autoSpaceDE w:val="0"/>
              <w:autoSpaceDN w:val="0"/>
              <w:bidi w:val="0"/>
              <w:adjustRightInd/>
              <w:snapToGrid/>
              <w:spacing w:line="36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项目用电由市政供电系统提供，年用电量约为</w:t>
            </w:r>
            <w:r>
              <w:rPr>
                <w:rFonts w:hint="eastAsia" w:cs="Times New Roman"/>
                <w:color w:val="auto"/>
                <w:highlight w:val="none"/>
                <w:lang w:val="en-US" w:eastAsia="zh-CN"/>
              </w:rPr>
              <w:t>2</w:t>
            </w:r>
            <w:r>
              <w:rPr>
                <w:rFonts w:hint="default" w:ascii="Times New Roman" w:hAnsi="Times New Roman" w:cs="Times New Roman"/>
                <w:color w:val="auto"/>
                <w:highlight w:val="none"/>
              </w:rPr>
              <w:t>万kW·h。</w:t>
            </w:r>
          </w:p>
          <w:p w14:paraId="562F3CD6">
            <w:pPr>
              <w:pStyle w:val="38"/>
              <w:keepNext w:val="0"/>
              <w:keepLines w:val="0"/>
              <w:pageBreakBefore w:val="0"/>
              <w:widowControl w:val="0"/>
              <w:kinsoku/>
              <w:wordWrap/>
              <w:overflowPunct/>
              <w:topLinePunct w:val="0"/>
              <w:bidi w:val="0"/>
              <w:spacing w:line="360" w:lineRule="exact"/>
              <w:ind w:firstLine="422"/>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4、制冷、供热</w:t>
            </w:r>
          </w:p>
          <w:p w14:paraId="18E1F2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420" w:firstLineChars="200"/>
              <w:jc w:val="left"/>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rPr>
              <w:t>项目</w:t>
            </w:r>
            <w:r>
              <w:rPr>
                <w:rFonts w:hint="eastAsia" w:cs="Times New Roman"/>
                <w:color w:val="auto"/>
                <w:highlight w:val="none"/>
                <w:lang w:eastAsia="zh-CN"/>
              </w:rPr>
              <w:t>办公</w:t>
            </w:r>
            <w:r>
              <w:rPr>
                <w:rFonts w:hint="default" w:ascii="Times New Roman" w:hAnsi="Times New Roman" w:cs="Times New Roman"/>
                <w:color w:val="auto"/>
                <w:highlight w:val="none"/>
              </w:rPr>
              <w:t>采用空调</w:t>
            </w:r>
            <w:r>
              <w:rPr>
                <w:rFonts w:hint="default" w:ascii="Times New Roman" w:hAnsi="Times New Roman" w:cs="Times New Roman"/>
                <w:color w:val="auto"/>
                <w:highlight w:val="none"/>
                <w:lang w:eastAsia="zh-CN"/>
              </w:rPr>
              <w:t>制冷及</w:t>
            </w:r>
            <w:r>
              <w:rPr>
                <w:rFonts w:hint="default" w:ascii="Times New Roman" w:hAnsi="Times New Roman" w:cs="Times New Roman"/>
                <w:color w:val="auto"/>
                <w:highlight w:val="none"/>
              </w:rPr>
              <w:t>供暖</w:t>
            </w:r>
            <w:r>
              <w:rPr>
                <w:rFonts w:hint="default" w:ascii="Times New Roman" w:hAnsi="Times New Roman" w:eastAsia="宋体" w:cs="Times New Roman"/>
                <w:color w:val="auto"/>
                <w:kern w:val="0"/>
                <w:sz w:val="21"/>
                <w:szCs w:val="21"/>
                <w:highlight w:val="none"/>
                <w:lang w:val="en-US" w:eastAsia="zh-CN" w:bidi="ar-SA"/>
              </w:rPr>
              <w:t>。</w:t>
            </w:r>
          </w:p>
          <w:p w14:paraId="64998BA9">
            <w:pPr>
              <w:pStyle w:val="38"/>
              <w:ind w:firstLine="422"/>
              <w:rPr>
                <w:rFonts w:hint="default" w:ascii="Times New Roman" w:hAnsi="Times New Roman" w:cs="Times New Roman"/>
                <w:b/>
                <w:bCs/>
                <w:color w:val="auto"/>
                <w:highlight w:val="none"/>
              </w:rPr>
            </w:pPr>
            <w:r>
              <w:rPr>
                <w:rFonts w:hint="eastAsia" w:cs="Times New Roman"/>
                <w:b/>
                <w:bCs/>
                <w:color w:val="auto"/>
                <w:highlight w:val="none"/>
                <w:lang w:eastAsia="zh-CN"/>
              </w:rPr>
              <w:t>七</w:t>
            </w:r>
            <w:r>
              <w:rPr>
                <w:rFonts w:hint="default" w:ascii="Times New Roman" w:hAnsi="Times New Roman" w:cs="Times New Roman"/>
                <w:b/>
                <w:bCs/>
                <w:color w:val="auto"/>
                <w:highlight w:val="none"/>
              </w:rPr>
              <w:t>、劳动定员及工作制度</w:t>
            </w:r>
          </w:p>
          <w:p w14:paraId="718FB17A">
            <w:pPr>
              <w:pStyle w:val="38"/>
              <w:rPr>
                <w:rFonts w:hint="default" w:ascii="Times New Roman" w:hAnsi="Times New Roman" w:cs="Times New Roman"/>
                <w:color w:val="auto"/>
                <w:highlight w:val="none"/>
              </w:rPr>
            </w:pPr>
            <w:r>
              <w:rPr>
                <w:rFonts w:hint="eastAsia" w:cs="Times New Roman"/>
                <w:color w:val="auto"/>
                <w:highlight w:val="none"/>
                <w:lang w:eastAsia="zh-CN"/>
              </w:rPr>
              <w:t>本项目</w:t>
            </w:r>
            <w:r>
              <w:rPr>
                <w:rFonts w:hint="default" w:ascii="Times New Roman" w:hAnsi="Times New Roman" w:cs="Times New Roman"/>
                <w:color w:val="auto"/>
                <w:highlight w:val="none"/>
              </w:rPr>
              <w:t>劳动定员</w:t>
            </w:r>
            <w:r>
              <w:rPr>
                <w:rFonts w:hint="eastAsia" w:cs="Times New Roman"/>
                <w:color w:val="auto"/>
                <w:highlight w:val="none"/>
                <w:lang w:val="en-US" w:eastAsia="zh-CN"/>
              </w:rPr>
              <w:t>12</w:t>
            </w:r>
            <w:r>
              <w:rPr>
                <w:rFonts w:hint="default" w:ascii="Times New Roman" w:hAnsi="Times New Roman" w:cs="Times New Roman"/>
                <w:color w:val="auto"/>
                <w:highlight w:val="none"/>
              </w:rPr>
              <w:t>人，年工作300天，实行</w:t>
            </w:r>
            <w:r>
              <w:rPr>
                <w:rFonts w:hint="eastAsia" w:cs="Times New Roman"/>
                <w:color w:val="auto"/>
                <w:highlight w:val="none"/>
                <w:lang w:val="en-US" w:eastAsia="zh-CN"/>
              </w:rPr>
              <w:t>一</w:t>
            </w:r>
            <w:r>
              <w:rPr>
                <w:rFonts w:hint="default" w:ascii="Times New Roman" w:hAnsi="Times New Roman" w:cs="Times New Roman"/>
                <w:color w:val="auto"/>
                <w:highlight w:val="none"/>
              </w:rPr>
              <w:t>班制，每班工作8小时。</w:t>
            </w:r>
          </w:p>
          <w:p w14:paraId="7BBCC2A9">
            <w:pPr>
              <w:pStyle w:val="38"/>
              <w:bidi w:val="0"/>
              <w:rPr>
                <w:rFonts w:hint="default" w:ascii="Times New Roman" w:hAnsi="Times New Roman" w:cs="Times New Roman"/>
                <w:color w:val="auto"/>
                <w:highlight w:val="none"/>
              </w:rPr>
            </w:pPr>
            <w:r>
              <w:rPr>
                <w:rFonts w:hint="eastAsia" w:cs="Times New Roman"/>
                <w:b/>
                <w:bCs/>
                <w:color w:val="auto"/>
                <w:highlight w:val="none"/>
                <w:lang w:eastAsia="zh-CN"/>
              </w:rPr>
              <w:t>八</w:t>
            </w:r>
            <w:r>
              <w:rPr>
                <w:rFonts w:hint="default" w:ascii="Times New Roman" w:hAnsi="Times New Roman" w:cs="Times New Roman"/>
                <w:b/>
                <w:bCs/>
                <w:color w:val="auto"/>
                <w:highlight w:val="none"/>
              </w:rPr>
              <w:t>、厂区平面布置</w:t>
            </w:r>
          </w:p>
          <w:p w14:paraId="1B39A014">
            <w:pPr>
              <w:pStyle w:val="38"/>
              <w:bidi w:val="0"/>
              <w:rPr>
                <w:rFonts w:hint="default" w:ascii="Times New Roman" w:hAnsi="Times New Roman" w:cs="Times New Roman"/>
                <w:color w:val="auto"/>
                <w:highlight w:val="none"/>
              </w:rPr>
            </w:pPr>
            <w:r>
              <w:rPr>
                <w:rFonts w:hint="eastAsia" w:ascii="宋体" w:hAnsi="宋体"/>
                <w:color w:val="auto"/>
                <w:sz w:val="21"/>
                <w:szCs w:val="21"/>
                <w:highlight w:val="none"/>
                <w:lang w:eastAsia="zh-CN"/>
              </w:rPr>
              <w:t>淄博美嘉洁实验室装备有限公司</w:t>
            </w:r>
            <w:r>
              <w:rPr>
                <w:rFonts w:hint="default" w:ascii="Times New Roman" w:hAnsi="Times New Roman" w:cs="Times New Roman"/>
                <w:color w:val="auto"/>
                <w:highlight w:val="none"/>
              </w:rPr>
              <w:t>厂区位于</w:t>
            </w:r>
            <w:r>
              <w:rPr>
                <w:rFonts w:hint="eastAsia" w:ascii="宋体" w:hAnsi="宋体" w:cs="Times New Roman"/>
                <w:color w:val="auto"/>
                <w:sz w:val="21"/>
                <w:szCs w:val="21"/>
                <w:highlight w:val="none"/>
                <w:lang w:eastAsia="zh-CN"/>
              </w:rPr>
              <w:t>山东省淄博市淄博经济开发区傅家镇双杨管区天津路与梁牛路路口西150米路北院内东侧第二间车间</w:t>
            </w:r>
            <w:r>
              <w:rPr>
                <w:rFonts w:hint="default" w:ascii="Times New Roman" w:hAnsi="Times New Roman" w:cs="Times New Roman"/>
                <w:color w:val="auto"/>
                <w:highlight w:val="none"/>
              </w:rPr>
              <w:t>，</w:t>
            </w:r>
            <w:r>
              <w:rPr>
                <w:rFonts w:hint="eastAsia" w:cs="Times New Roman"/>
                <w:color w:val="auto"/>
                <w:highlight w:val="none"/>
                <w:lang w:eastAsia="zh-CN"/>
              </w:rPr>
              <w:t>项目办公区位于</w:t>
            </w:r>
            <w:r>
              <w:rPr>
                <w:rFonts w:hint="eastAsia" w:ascii="宋体" w:hAnsi="宋体" w:cs="Times New Roman"/>
                <w:color w:val="auto"/>
                <w:sz w:val="21"/>
                <w:szCs w:val="21"/>
                <w:highlight w:val="none"/>
                <w:lang w:eastAsia="zh-CN"/>
              </w:rPr>
              <w:t>天津路与梁牛路路口西</w:t>
            </w:r>
            <w:r>
              <w:rPr>
                <w:rFonts w:hint="eastAsia" w:ascii="宋体" w:hAnsi="宋体" w:cs="Times New Roman"/>
                <w:color w:val="auto"/>
                <w:sz w:val="21"/>
                <w:szCs w:val="21"/>
                <w:highlight w:val="none"/>
                <w:lang w:val="en-US" w:eastAsia="zh-CN"/>
              </w:rPr>
              <w:t>50m北侧。</w:t>
            </w:r>
            <w:r>
              <w:rPr>
                <w:rFonts w:hint="eastAsia" w:cs="Times New Roman"/>
                <w:color w:val="auto"/>
                <w:highlight w:val="none"/>
                <w:lang w:eastAsia="zh-CN"/>
              </w:rPr>
              <w:t>项目生产车间</w:t>
            </w:r>
            <w:r>
              <w:rPr>
                <w:rFonts w:hint="default" w:ascii="Times New Roman" w:hAnsi="Times New Roman" w:cs="Times New Roman"/>
                <w:color w:val="auto"/>
                <w:highlight w:val="none"/>
              </w:rPr>
              <w:t>近似规则矩形，</w:t>
            </w:r>
            <w:r>
              <w:rPr>
                <w:rFonts w:hint="eastAsia" w:ascii="Times New Roman" w:hAnsi="Times New Roman" w:eastAsia="宋体" w:cs="Times New Roman"/>
                <w:color w:val="auto"/>
                <w:sz w:val="20"/>
                <w:szCs w:val="20"/>
                <w:highlight w:val="none"/>
                <w:lang w:val="en-US" w:eastAsia="zh-CN"/>
              </w:rPr>
              <w:t>主要布置金属加工中心、木工加工中心及</w:t>
            </w:r>
            <w:r>
              <w:rPr>
                <w:rFonts w:hint="eastAsia" w:ascii="Times New Roman" w:hAnsi="Times New Roman" w:eastAsia="宋体" w:cs="Times New Roman"/>
                <w:color w:val="auto"/>
                <w:sz w:val="20"/>
                <w:szCs w:val="20"/>
                <w:highlight w:val="none"/>
                <w:lang w:eastAsia="zh-CN"/>
              </w:rPr>
              <w:t>封边机（含回转线）等生产内容</w:t>
            </w:r>
            <w:r>
              <w:rPr>
                <w:rFonts w:hint="eastAsia" w:cs="Times New Roman"/>
                <w:color w:val="auto"/>
                <w:sz w:val="20"/>
                <w:szCs w:val="20"/>
                <w:highlight w:val="none"/>
                <w:lang w:eastAsia="zh-CN"/>
              </w:rPr>
              <w:t>，相关生产区域用原辅料于对应生产区就近布置。</w:t>
            </w:r>
            <w:r>
              <w:rPr>
                <w:rFonts w:hint="default" w:ascii="Times New Roman" w:hAnsi="Times New Roman" w:cs="Times New Roman"/>
                <w:color w:val="auto"/>
                <w:highlight w:val="none"/>
                <w:lang w:val="en-US" w:eastAsia="zh-CN"/>
              </w:rPr>
              <w:t>项目</w:t>
            </w:r>
            <w:r>
              <w:rPr>
                <w:rFonts w:hint="eastAsia" w:cs="Times New Roman"/>
                <w:color w:val="auto"/>
                <w:highlight w:val="none"/>
                <w:lang w:val="en-US" w:eastAsia="zh-CN"/>
              </w:rPr>
              <w:t>生产</w:t>
            </w:r>
            <w:r>
              <w:rPr>
                <w:rFonts w:hint="default" w:ascii="Times New Roman" w:hAnsi="Times New Roman" w:cs="Times New Roman"/>
                <w:color w:val="auto"/>
                <w:highlight w:val="none"/>
                <w:lang w:val="en-US" w:eastAsia="zh-CN"/>
              </w:rPr>
              <w:t>车间内</w:t>
            </w:r>
            <w:r>
              <w:rPr>
                <w:rFonts w:hint="default" w:ascii="Times New Roman" w:hAnsi="Times New Roman" w:cs="Times New Roman"/>
                <w:color w:val="auto"/>
                <w:highlight w:val="none"/>
              </w:rPr>
              <w:t>各生产环节连接紧凑，便于节能降耗，减小占地面积，提高生产效率，方便管理，</w:t>
            </w:r>
            <w:r>
              <w:rPr>
                <w:rFonts w:hint="eastAsia" w:ascii="Times New Roman" w:hAnsi="Times New Roman" w:cs="Times New Roman"/>
                <w:color w:val="auto"/>
                <w:highlight w:val="none"/>
                <w:lang w:eastAsia="zh-CN"/>
              </w:rPr>
              <w:t>配套设施邻近车间布置，</w:t>
            </w:r>
            <w:r>
              <w:rPr>
                <w:rFonts w:hint="default" w:ascii="Times New Roman" w:hAnsi="Times New Roman" w:cs="Times New Roman"/>
                <w:color w:val="auto"/>
                <w:highlight w:val="none"/>
              </w:rPr>
              <w:t>同时便于废气管线布置及环保设备安装。</w:t>
            </w:r>
          </w:p>
          <w:p w14:paraId="3ABCBBD7">
            <w:pPr>
              <w:pStyle w:val="3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拟建项目平面布置附图3。</w:t>
            </w:r>
          </w:p>
          <w:p w14:paraId="50EC541E">
            <w:pPr>
              <w:pStyle w:val="38"/>
              <w:ind w:firstLine="422"/>
              <w:rPr>
                <w:rFonts w:hint="default" w:ascii="Times New Roman" w:hAnsi="Times New Roman" w:cs="Times New Roman"/>
                <w:b/>
                <w:bCs/>
                <w:color w:val="auto"/>
                <w:kern w:val="2"/>
                <w:highlight w:val="none"/>
              </w:rPr>
            </w:pPr>
            <w:r>
              <w:rPr>
                <w:rFonts w:hint="eastAsia" w:cs="Times New Roman"/>
                <w:b/>
                <w:bCs/>
                <w:color w:val="auto"/>
                <w:kern w:val="2"/>
                <w:highlight w:val="none"/>
                <w:lang w:eastAsia="zh-CN"/>
              </w:rPr>
              <w:t>九</w:t>
            </w:r>
            <w:r>
              <w:rPr>
                <w:rFonts w:hint="default" w:ascii="Times New Roman" w:hAnsi="Times New Roman" w:cs="Times New Roman"/>
                <w:b/>
                <w:bCs/>
                <w:color w:val="auto"/>
                <w:kern w:val="2"/>
                <w:highlight w:val="none"/>
              </w:rPr>
              <w:t>、</w:t>
            </w:r>
            <w:r>
              <w:rPr>
                <w:rFonts w:hint="default" w:ascii="Times New Roman" w:hAnsi="Times New Roman" w:cs="Times New Roman"/>
                <w:b/>
                <w:bCs/>
                <w:color w:val="auto"/>
                <w:kern w:val="2"/>
                <w:highlight w:val="none"/>
                <w:lang w:eastAsia="zh-CN"/>
              </w:rPr>
              <w:t>环保投资</w:t>
            </w:r>
            <w:r>
              <w:rPr>
                <w:rFonts w:hint="default" w:ascii="Times New Roman" w:hAnsi="Times New Roman" w:cs="Times New Roman"/>
                <w:b/>
                <w:bCs/>
                <w:color w:val="auto"/>
                <w:kern w:val="2"/>
                <w:highlight w:val="none"/>
              </w:rPr>
              <w:t>分析</w:t>
            </w:r>
          </w:p>
          <w:p w14:paraId="35F9B37D">
            <w:pPr>
              <w:pStyle w:val="3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本项目总投资</w:t>
            </w:r>
            <w:r>
              <w:rPr>
                <w:rFonts w:hint="eastAsia" w:cs="Times New Roman"/>
                <w:color w:val="auto"/>
                <w:highlight w:val="none"/>
                <w:lang w:val="en-US" w:eastAsia="zh-CN"/>
              </w:rPr>
              <w:t>500</w:t>
            </w:r>
            <w:r>
              <w:rPr>
                <w:rFonts w:hint="default" w:ascii="Times New Roman" w:hAnsi="Times New Roman" w:cs="Times New Roman"/>
                <w:color w:val="auto"/>
                <w:highlight w:val="none"/>
                <w:lang w:val="en-US" w:eastAsia="zh-CN"/>
              </w:rPr>
              <w:t>万元，其中环保投资</w:t>
            </w:r>
            <w:r>
              <w:rPr>
                <w:rFonts w:hint="eastAsia" w:cs="Times New Roman"/>
                <w:color w:val="auto"/>
                <w:highlight w:val="none"/>
                <w:lang w:val="en-US" w:eastAsia="zh-CN"/>
              </w:rPr>
              <w:t>30</w:t>
            </w:r>
            <w:r>
              <w:rPr>
                <w:rFonts w:hint="default" w:ascii="Times New Roman" w:hAnsi="Times New Roman" w:cs="Times New Roman"/>
                <w:color w:val="auto"/>
                <w:highlight w:val="none"/>
                <w:lang w:val="en-US" w:eastAsia="zh-CN"/>
              </w:rPr>
              <w:t>万元，占总投资的</w:t>
            </w:r>
            <w:r>
              <w:rPr>
                <w:rFonts w:hint="eastAsia" w:cs="Times New Roman"/>
                <w:color w:val="auto"/>
                <w:highlight w:val="none"/>
                <w:lang w:val="en-US" w:eastAsia="zh-CN"/>
              </w:rPr>
              <w:t>6</w:t>
            </w:r>
            <w:r>
              <w:rPr>
                <w:rFonts w:hint="default" w:ascii="Times New Roman" w:hAnsi="Times New Roman" w:cs="Times New Roman"/>
                <w:color w:val="auto"/>
                <w:highlight w:val="none"/>
                <w:lang w:val="en-US" w:eastAsia="zh-CN"/>
              </w:rPr>
              <w:t>%，主要用于营运期废气、废水、噪声、固体废物治理等。项目环保投资情况见下表：</w:t>
            </w:r>
          </w:p>
          <w:p w14:paraId="6B5CDAB2">
            <w:pPr>
              <w:pStyle w:val="39"/>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1</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rPr>
              <w:t xml:space="preserve"> 项目环保投资一览表</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3"/>
              <w:gridCol w:w="1136"/>
              <w:gridCol w:w="5397"/>
              <w:gridCol w:w="1456"/>
            </w:tblGrid>
            <w:tr w14:paraId="24CBC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0" w:type="pct"/>
                  <w:noWrap w:val="0"/>
                  <w:vAlign w:val="center"/>
                </w:tcPr>
                <w:p w14:paraId="24313336">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序号</w:t>
                  </w:r>
                </w:p>
              </w:tc>
              <w:tc>
                <w:tcPr>
                  <w:tcW w:w="651" w:type="pct"/>
                  <w:noWrap w:val="0"/>
                  <w:vAlign w:val="center"/>
                </w:tcPr>
                <w:p w14:paraId="12978E71">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项目</w:t>
                  </w:r>
                </w:p>
              </w:tc>
              <w:tc>
                <w:tcPr>
                  <w:tcW w:w="3093" w:type="pct"/>
                  <w:noWrap w:val="0"/>
                  <w:vAlign w:val="center"/>
                </w:tcPr>
                <w:p w14:paraId="2B647FE5">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环保措施</w:t>
                  </w:r>
                </w:p>
              </w:tc>
              <w:tc>
                <w:tcPr>
                  <w:tcW w:w="834" w:type="pct"/>
                  <w:noWrap w:val="0"/>
                  <w:vAlign w:val="center"/>
                </w:tcPr>
                <w:p w14:paraId="2BE74C82">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投资（万元）</w:t>
                  </w:r>
                </w:p>
              </w:tc>
            </w:tr>
            <w:tr w14:paraId="52879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0" w:type="pct"/>
                  <w:noWrap w:val="0"/>
                  <w:vAlign w:val="center"/>
                </w:tcPr>
                <w:p w14:paraId="0AAB408D">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1</w:t>
                  </w:r>
                </w:p>
              </w:tc>
              <w:tc>
                <w:tcPr>
                  <w:tcW w:w="651" w:type="pct"/>
                  <w:noWrap w:val="0"/>
                  <w:vAlign w:val="center"/>
                </w:tcPr>
                <w:p w14:paraId="607665FF">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废气治理</w:t>
                  </w:r>
                </w:p>
              </w:tc>
              <w:tc>
                <w:tcPr>
                  <w:tcW w:w="3093" w:type="pct"/>
                  <w:noWrap w:val="0"/>
                  <w:vAlign w:val="center"/>
                </w:tcPr>
                <w:p w14:paraId="5CC4A77E">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eastAsia="zh-CN"/>
                    </w:rPr>
                    <w:t>生产废气收集系统、</w:t>
                  </w:r>
                  <w:r>
                    <w:rPr>
                      <w:rFonts w:hint="eastAsia" w:ascii="Times New Roman" w:hAnsi="Times New Roman" w:cs="Times New Roman"/>
                      <w:color w:val="auto"/>
                      <w:sz w:val="20"/>
                      <w:szCs w:val="20"/>
                      <w:highlight w:val="none"/>
                      <w:lang w:eastAsia="zh-CN"/>
                    </w:rPr>
                    <w:t>二级</w:t>
                  </w:r>
                  <w:r>
                    <w:rPr>
                      <w:rFonts w:hint="default" w:ascii="Times New Roman" w:hAnsi="Times New Roman" w:eastAsia="宋体" w:cs="Times New Roman"/>
                      <w:color w:val="auto"/>
                      <w:sz w:val="20"/>
                      <w:szCs w:val="20"/>
                      <w:highlight w:val="none"/>
                      <w:lang w:val="en-US" w:eastAsia="zh-CN"/>
                    </w:rPr>
                    <w:t>活性炭吸附废气处理设施、排气筒</w:t>
                  </w:r>
                  <w:r>
                    <w:rPr>
                      <w:rFonts w:hint="eastAsia" w:ascii="Times New Roman" w:hAnsi="Times New Roman" w:cs="Times New Roman"/>
                      <w:color w:val="auto"/>
                      <w:sz w:val="20"/>
                      <w:szCs w:val="20"/>
                      <w:highlight w:val="none"/>
                      <w:lang w:val="en-US" w:eastAsia="zh-CN"/>
                    </w:rPr>
                    <w:t>、焊接烟尘净化器、移动式布袋除尘器</w:t>
                  </w:r>
                  <w:r>
                    <w:rPr>
                      <w:rFonts w:hint="default" w:ascii="Times New Roman" w:hAnsi="Times New Roman" w:eastAsia="宋体" w:cs="Times New Roman"/>
                      <w:color w:val="auto"/>
                      <w:sz w:val="20"/>
                      <w:szCs w:val="20"/>
                      <w:highlight w:val="none"/>
                      <w:lang w:val="en-US" w:eastAsia="zh-CN"/>
                    </w:rPr>
                    <w:t>等</w:t>
                  </w:r>
                </w:p>
              </w:tc>
              <w:tc>
                <w:tcPr>
                  <w:tcW w:w="834" w:type="pct"/>
                  <w:noWrap w:val="0"/>
                  <w:vAlign w:val="center"/>
                </w:tcPr>
                <w:p w14:paraId="13E1500E">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20</w:t>
                  </w:r>
                </w:p>
              </w:tc>
            </w:tr>
            <w:tr w14:paraId="4656C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0" w:type="pct"/>
                  <w:noWrap w:val="0"/>
                  <w:vAlign w:val="center"/>
                </w:tcPr>
                <w:p w14:paraId="01D6344B">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2</w:t>
                  </w:r>
                </w:p>
              </w:tc>
              <w:tc>
                <w:tcPr>
                  <w:tcW w:w="651" w:type="pct"/>
                  <w:noWrap w:val="0"/>
                  <w:vAlign w:val="center"/>
                </w:tcPr>
                <w:p w14:paraId="62E2B2E8">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噪声治理</w:t>
                  </w:r>
                </w:p>
              </w:tc>
              <w:tc>
                <w:tcPr>
                  <w:tcW w:w="3093" w:type="pct"/>
                  <w:noWrap w:val="0"/>
                  <w:vAlign w:val="center"/>
                </w:tcPr>
                <w:p w14:paraId="773E6BA3">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隔声、减震等设施措施</w:t>
                  </w:r>
                </w:p>
              </w:tc>
              <w:tc>
                <w:tcPr>
                  <w:tcW w:w="834" w:type="pct"/>
                  <w:noWrap w:val="0"/>
                  <w:vAlign w:val="center"/>
                </w:tcPr>
                <w:p w14:paraId="71FF88FC">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5</w:t>
                  </w:r>
                </w:p>
              </w:tc>
            </w:tr>
            <w:tr w14:paraId="0EB51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0" w:type="pct"/>
                  <w:noWrap w:val="0"/>
                  <w:vAlign w:val="center"/>
                </w:tcPr>
                <w:p w14:paraId="11F9D421">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3</w:t>
                  </w:r>
                </w:p>
              </w:tc>
              <w:tc>
                <w:tcPr>
                  <w:tcW w:w="651" w:type="pct"/>
                  <w:noWrap w:val="0"/>
                  <w:vAlign w:val="center"/>
                </w:tcPr>
                <w:p w14:paraId="7EA4CCFD">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废水治理</w:t>
                  </w:r>
                </w:p>
              </w:tc>
              <w:tc>
                <w:tcPr>
                  <w:tcW w:w="3093" w:type="pct"/>
                  <w:noWrap w:val="0"/>
                  <w:vAlign w:val="center"/>
                </w:tcPr>
                <w:p w14:paraId="51A24B99">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化粪池</w:t>
                  </w:r>
                </w:p>
              </w:tc>
              <w:tc>
                <w:tcPr>
                  <w:tcW w:w="834" w:type="pct"/>
                  <w:noWrap w:val="0"/>
                  <w:vAlign w:val="center"/>
                </w:tcPr>
                <w:p w14:paraId="16F5FFB9">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w:t>
                  </w:r>
                </w:p>
              </w:tc>
            </w:tr>
            <w:tr w14:paraId="27892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0" w:type="pct"/>
                  <w:noWrap w:val="0"/>
                  <w:vAlign w:val="center"/>
                </w:tcPr>
                <w:p w14:paraId="1246BD52">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4</w:t>
                  </w:r>
                </w:p>
              </w:tc>
              <w:tc>
                <w:tcPr>
                  <w:tcW w:w="651" w:type="pct"/>
                  <w:noWrap w:val="0"/>
                  <w:vAlign w:val="center"/>
                </w:tcPr>
                <w:p w14:paraId="3E9AEE9F">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固废治理</w:t>
                  </w:r>
                </w:p>
              </w:tc>
              <w:tc>
                <w:tcPr>
                  <w:tcW w:w="3093" w:type="pct"/>
                  <w:noWrap w:val="0"/>
                  <w:vAlign w:val="center"/>
                </w:tcPr>
                <w:p w14:paraId="7E70EEB5">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生活垃圾收集箱、一般固废暂存间、危废暂存间</w:t>
                  </w:r>
                </w:p>
              </w:tc>
              <w:tc>
                <w:tcPr>
                  <w:tcW w:w="834" w:type="pct"/>
                  <w:noWrap w:val="0"/>
                  <w:vAlign w:val="center"/>
                </w:tcPr>
                <w:p w14:paraId="6A467C98">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5</w:t>
                  </w:r>
                </w:p>
              </w:tc>
            </w:tr>
            <w:tr w14:paraId="7856C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0" w:type="pct"/>
                  <w:noWrap w:val="0"/>
                  <w:vAlign w:val="center"/>
                </w:tcPr>
                <w:p w14:paraId="2726965E">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5</w:t>
                  </w:r>
                </w:p>
              </w:tc>
              <w:tc>
                <w:tcPr>
                  <w:tcW w:w="651" w:type="pct"/>
                  <w:noWrap w:val="0"/>
                  <w:vAlign w:val="center"/>
                </w:tcPr>
                <w:p w14:paraId="1E136A64">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合计</w:t>
                  </w:r>
                </w:p>
              </w:tc>
              <w:tc>
                <w:tcPr>
                  <w:tcW w:w="3093" w:type="pct"/>
                  <w:noWrap w:val="0"/>
                  <w:vAlign w:val="center"/>
                </w:tcPr>
                <w:p w14:paraId="7FF15A25">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val="en-US" w:eastAsia="zh-CN"/>
                    </w:rPr>
                    <w:t>/</w:t>
                  </w:r>
                </w:p>
              </w:tc>
              <w:tc>
                <w:tcPr>
                  <w:tcW w:w="834" w:type="pct"/>
                  <w:noWrap w:val="0"/>
                  <w:vAlign w:val="center"/>
                </w:tcPr>
                <w:p w14:paraId="6987839C">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30</w:t>
                  </w:r>
                </w:p>
              </w:tc>
            </w:tr>
          </w:tbl>
          <w:p w14:paraId="138056A6">
            <w:pPr>
              <w:pStyle w:val="38"/>
              <w:rPr>
                <w:rFonts w:hint="default" w:ascii="Times New Roman" w:hAnsi="Times New Roman" w:cs="Times New Roman"/>
                <w:color w:val="auto"/>
                <w:highlight w:val="none"/>
                <w:lang w:eastAsia="zh-CN"/>
              </w:rPr>
            </w:pPr>
          </w:p>
          <w:p w14:paraId="2DCCD3FC">
            <w:pPr>
              <w:pStyle w:val="38"/>
              <w:rPr>
                <w:rFonts w:hint="default" w:ascii="Times New Roman" w:hAnsi="Times New Roman" w:cs="Times New Roman"/>
                <w:color w:val="auto"/>
                <w:highlight w:val="none"/>
                <w:lang w:eastAsia="zh-CN"/>
              </w:rPr>
            </w:pPr>
          </w:p>
          <w:p w14:paraId="1CCCB0C6">
            <w:pPr>
              <w:pStyle w:val="38"/>
              <w:rPr>
                <w:rFonts w:hint="eastAsia" w:cs="Times New Roman"/>
                <w:color w:val="auto"/>
                <w:highlight w:val="none"/>
                <w:lang w:val="en-US" w:eastAsia="zh-CN"/>
              </w:rPr>
            </w:pPr>
          </w:p>
          <w:p w14:paraId="5E146A3A">
            <w:pPr>
              <w:pStyle w:val="38"/>
              <w:rPr>
                <w:rFonts w:hint="eastAsia" w:cs="Times New Roman"/>
                <w:color w:val="auto"/>
                <w:highlight w:val="none"/>
                <w:lang w:val="en-US" w:eastAsia="zh-CN"/>
              </w:rPr>
            </w:pPr>
          </w:p>
          <w:p w14:paraId="188A252D">
            <w:pPr>
              <w:pStyle w:val="38"/>
              <w:rPr>
                <w:rFonts w:hint="eastAsia" w:cs="Times New Roman"/>
                <w:color w:val="auto"/>
                <w:highlight w:val="none"/>
                <w:lang w:eastAsia="zh-CN"/>
              </w:rPr>
            </w:pPr>
          </w:p>
          <w:p w14:paraId="736F5A1F">
            <w:pPr>
              <w:pStyle w:val="38"/>
              <w:rPr>
                <w:rFonts w:hint="default" w:ascii="Times New Roman" w:hAnsi="Times New Roman" w:eastAsia="宋体" w:cs="Times New Roman"/>
                <w:color w:val="auto"/>
                <w:highlight w:val="none"/>
                <w:lang w:eastAsia="zh-CN"/>
              </w:rPr>
            </w:pPr>
          </w:p>
        </w:tc>
      </w:tr>
      <w:tr w14:paraId="7C55B7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1" w:type="dxa"/>
            <w:vAlign w:val="center"/>
          </w:tcPr>
          <w:p w14:paraId="42015956">
            <w:pPr>
              <w:adjustRightIn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工艺流程和产排污环节</w:t>
            </w:r>
          </w:p>
        </w:tc>
        <w:tc>
          <w:tcPr>
            <w:tcW w:w="8951" w:type="dxa"/>
          </w:tcPr>
          <w:p w14:paraId="23654E60">
            <w:pPr>
              <w:pStyle w:val="38"/>
              <w:ind w:firstLine="422"/>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一</w:t>
            </w:r>
            <w:r>
              <w:rPr>
                <w:rFonts w:hint="default" w:ascii="Times New Roman" w:hAnsi="Times New Roman" w:cs="Times New Roman"/>
                <w:b/>
                <w:bCs/>
                <w:color w:val="auto"/>
                <w:kern w:val="2"/>
                <w:highlight w:val="none"/>
                <w:lang w:eastAsia="zh-CN"/>
              </w:rPr>
              <w:t>、</w:t>
            </w:r>
            <w:r>
              <w:rPr>
                <w:rFonts w:hint="default" w:ascii="Times New Roman" w:hAnsi="Times New Roman" w:cs="Times New Roman"/>
                <w:b/>
                <w:bCs/>
                <w:color w:val="auto"/>
                <w:kern w:val="2"/>
                <w:highlight w:val="none"/>
              </w:rPr>
              <w:t>施工期</w:t>
            </w:r>
          </w:p>
          <w:p w14:paraId="57B851C7">
            <w:pPr>
              <w:pStyle w:val="38"/>
              <w:bidi w:val="0"/>
              <w:rPr>
                <w:rFonts w:hint="eastAsia" w:eastAsia="宋体"/>
                <w:color w:val="auto"/>
                <w:highlight w:val="none"/>
                <w:lang w:val="en-US" w:eastAsia="zh-CN"/>
              </w:rPr>
            </w:pPr>
            <w:r>
              <w:rPr>
                <w:color w:val="auto"/>
                <w:highlight w:val="none"/>
              </w:rPr>
              <w:t>项目利用现有闲置</w:t>
            </w:r>
            <w:r>
              <w:rPr>
                <w:rFonts w:hint="eastAsia"/>
                <w:color w:val="auto"/>
                <w:highlight w:val="none"/>
                <w:lang w:val="en-US" w:eastAsia="zh-CN"/>
              </w:rPr>
              <w:t>空</w:t>
            </w:r>
            <w:r>
              <w:rPr>
                <w:color w:val="auto"/>
                <w:highlight w:val="none"/>
              </w:rPr>
              <w:t>厂房，不涉及拆除现有工程，施工期主要为设备的安装、调试等，对周围环境影响较小</w:t>
            </w:r>
            <w:r>
              <w:rPr>
                <w:rFonts w:hint="eastAsia"/>
                <w:color w:val="auto"/>
                <w:highlight w:val="none"/>
                <w:lang w:eastAsia="zh-CN"/>
              </w:rPr>
              <w:t>，</w:t>
            </w:r>
            <w:r>
              <w:rPr>
                <w:rFonts w:hint="default"/>
                <w:color w:val="auto"/>
                <w:highlight w:val="none"/>
              </w:rPr>
              <w:t>本</w:t>
            </w:r>
            <w:r>
              <w:rPr>
                <w:rFonts w:hint="eastAsia"/>
                <w:color w:val="auto"/>
                <w:highlight w:val="none"/>
                <w:lang w:eastAsia="zh-CN"/>
              </w:rPr>
              <w:t>次</w:t>
            </w:r>
            <w:r>
              <w:rPr>
                <w:rFonts w:hint="default"/>
                <w:color w:val="auto"/>
                <w:highlight w:val="none"/>
              </w:rPr>
              <w:t>环评不再对施工期进行环境影响分析</w:t>
            </w:r>
            <w:r>
              <w:rPr>
                <w:rFonts w:hint="eastAsia"/>
                <w:color w:val="auto"/>
                <w:highlight w:val="none"/>
                <w:lang w:eastAsia="zh-CN"/>
              </w:rPr>
              <w:t>。</w:t>
            </w:r>
          </w:p>
          <w:p w14:paraId="6C592454">
            <w:pPr>
              <w:pStyle w:val="38"/>
              <w:ind w:firstLine="422"/>
              <w:rPr>
                <w:rFonts w:hint="default" w:ascii="Times New Roman" w:hAnsi="Times New Roman" w:cs="Times New Roman"/>
                <w:b/>
                <w:bCs/>
                <w:color w:val="auto"/>
                <w:kern w:val="2"/>
                <w:highlight w:val="none"/>
              </w:rPr>
            </w:pPr>
            <w:bookmarkStart w:id="13" w:name="OLE_LINK4"/>
            <w:r>
              <w:rPr>
                <w:rFonts w:hint="default"/>
                <w:color w:val="auto"/>
                <w:highlight w:val="none"/>
                <w:lang w:val="en-US" w:eastAsia="zh-CN"/>
              </w:rPr>
              <w:pict>
                <v:shape id="_x0000_s2060" o:spid="_x0000_s2060" o:spt="75" type="#_x0000_t75" style="position:absolute;left:0pt;margin-left:3.5pt;margin-top:17.2pt;height:165.6pt;width:421.35pt;z-index:-251637760;mso-width-relative:page;mso-height-relative:page;" o:ole="t" filled="f" o:preferrelative="t" stroked="f" coordsize="21600,21600">
                  <v:path/>
                  <v:fill on="f" focussize="0,0"/>
                  <v:stroke on="f"/>
                  <v:imagedata r:id="rId29" o:title=""/>
                  <o:lock v:ext="edit" aspectratio="f"/>
                </v:shape>
                <o:OLEObject Type="Embed" ProgID="Visio.Drawing.11" ShapeID="_x0000_s2060" DrawAspect="Content" ObjectID="_1468075726" r:id="rId28">
                  <o:LockedField>false</o:LockedField>
                </o:OLEObject>
              </w:pict>
            </w:r>
            <w:r>
              <w:rPr>
                <w:rFonts w:hint="default" w:ascii="Times New Roman" w:hAnsi="Times New Roman" w:cs="Times New Roman"/>
                <w:b/>
                <w:bCs/>
                <w:color w:val="auto"/>
                <w:kern w:val="2"/>
                <w:highlight w:val="none"/>
              </w:rPr>
              <w:t>二</w:t>
            </w:r>
            <w:r>
              <w:rPr>
                <w:rFonts w:hint="default" w:ascii="Times New Roman" w:hAnsi="Times New Roman" w:cs="Times New Roman"/>
                <w:b/>
                <w:bCs/>
                <w:color w:val="auto"/>
                <w:kern w:val="2"/>
                <w:highlight w:val="none"/>
                <w:lang w:eastAsia="zh-CN"/>
              </w:rPr>
              <w:t>、</w:t>
            </w:r>
            <w:r>
              <w:rPr>
                <w:rFonts w:hint="default" w:ascii="Times New Roman" w:hAnsi="Times New Roman" w:cs="Times New Roman"/>
                <w:b/>
                <w:bCs/>
                <w:color w:val="auto"/>
                <w:kern w:val="2"/>
                <w:highlight w:val="none"/>
              </w:rPr>
              <w:t>营运期</w:t>
            </w:r>
          </w:p>
          <w:p w14:paraId="7E11D995">
            <w:pPr>
              <w:pStyle w:val="38"/>
              <w:bidi w:val="0"/>
              <w:rPr>
                <w:rFonts w:hint="default"/>
                <w:color w:val="auto"/>
                <w:highlight w:val="none"/>
                <w:lang w:val="en-US" w:eastAsia="zh-CN"/>
              </w:rPr>
            </w:pPr>
          </w:p>
          <w:p w14:paraId="330DE00F">
            <w:pPr>
              <w:pStyle w:val="38"/>
              <w:bidi w:val="0"/>
              <w:rPr>
                <w:rFonts w:hint="default"/>
                <w:color w:val="auto"/>
                <w:highlight w:val="none"/>
                <w:lang w:val="en-US" w:eastAsia="zh-CN"/>
              </w:rPr>
            </w:pPr>
          </w:p>
          <w:p w14:paraId="70FA434C">
            <w:pPr>
              <w:pStyle w:val="38"/>
              <w:bidi w:val="0"/>
              <w:rPr>
                <w:rFonts w:hint="default"/>
                <w:color w:val="auto"/>
                <w:highlight w:val="none"/>
                <w:lang w:val="en-US" w:eastAsia="zh-CN"/>
              </w:rPr>
            </w:pPr>
          </w:p>
          <w:p w14:paraId="6F1065D9">
            <w:pPr>
              <w:pStyle w:val="38"/>
              <w:bidi w:val="0"/>
              <w:rPr>
                <w:rFonts w:hint="default"/>
                <w:color w:val="auto"/>
                <w:highlight w:val="none"/>
                <w:lang w:val="en-US" w:eastAsia="zh-CN"/>
              </w:rPr>
            </w:pPr>
          </w:p>
          <w:p w14:paraId="3251E0BB">
            <w:pPr>
              <w:pStyle w:val="38"/>
              <w:bidi w:val="0"/>
              <w:rPr>
                <w:rFonts w:hint="default"/>
                <w:color w:val="auto"/>
                <w:highlight w:val="none"/>
                <w:lang w:val="en-US" w:eastAsia="zh-CN"/>
              </w:rPr>
            </w:pPr>
          </w:p>
          <w:p w14:paraId="57C685DD">
            <w:pPr>
              <w:pStyle w:val="38"/>
              <w:bidi w:val="0"/>
              <w:rPr>
                <w:rFonts w:hint="default"/>
                <w:color w:val="auto"/>
                <w:highlight w:val="none"/>
                <w:lang w:val="en-US" w:eastAsia="zh-CN"/>
              </w:rPr>
            </w:pPr>
          </w:p>
          <w:p w14:paraId="271D19E6">
            <w:pPr>
              <w:pStyle w:val="38"/>
              <w:bidi w:val="0"/>
              <w:rPr>
                <w:rFonts w:hint="default"/>
                <w:color w:val="auto"/>
                <w:highlight w:val="none"/>
                <w:lang w:val="en-US" w:eastAsia="zh-CN"/>
              </w:rPr>
            </w:pPr>
          </w:p>
          <w:p w14:paraId="5A07368D">
            <w:pPr>
              <w:pStyle w:val="38"/>
              <w:bidi w:val="0"/>
              <w:rPr>
                <w:rFonts w:hint="default"/>
                <w:color w:val="auto"/>
                <w:highlight w:val="none"/>
                <w:lang w:val="en-US" w:eastAsia="zh-CN"/>
              </w:rPr>
            </w:pPr>
          </w:p>
          <w:p w14:paraId="6B66CF0F">
            <w:pPr>
              <w:pStyle w:val="38"/>
              <w:bidi w:val="0"/>
              <w:rPr>
                <w:rFonts w:hint="default"/>
                <w:color w:val="auto"/>
                <w:highlight w:val="none"/>
                <w:lang w:val="en-US" w:eastAsia="zh-CN"/>
              </w:rPr>
            </w:pPr>
          </w:p>
          <w:p w14:paraId="660FABBE">
            <w:pPr>
              <w:pStyle w:val="39"/>
              <w:bidi w:val="0"/>
              <w:rPr>
                <w:rFonts w:hint="default"/>
                <w:color w:val="auto"/>
                <w:highlight w:val="none"/>
                <w:lang w:val="en-US" w:eastAsia="zh-CN"/>
              </w:rPr>
            </w:pPr>
            <w:r>
              <w:rPr>
                <w:rFonts w:hint="default"/>
                <w:color w:val="auto"/>
                <w:highlight w:val="none"/>
              </w:rPr>
              <w:t>图</w:t>
            </w:r>
            <w:r>
              <w:rPr>
                <w:rFonts w:hint="eastAsia"/>
                <w:color w:val="auto"/>
                <w:highlight w:val="none"/>
                <w:lang w:val="en-US" w:eastAsia="zh-CN"/>
              </w:rPr>
              <w:t xml:space="preserve">3 </w:t>
            </w:r>
            <w:r>
              <w:rPr>
                <w:rFonts w:hint="default"/>
                <w:color w:val="auto"/>
                <w:highlight w:val="none"/>
              </w:rPr>
              <w:t xml:space="preserve"> 项目</w:t>
            </w:r>
            <w:r>
              <w:rPr>
                <w:rFonts w:hint="eastAsia"/>
                <w:color w:val="auto"/>
                <w:highlight w:val="none"/>
                <w:lang w:eastAsia="zh-CN"/>
              </w:rPr>
              <w:t>生产</w:t>
            </w:r>
            <w:r>
              <w:rPr>
                <w:rFonts w:hint="default"/>
                <w:color w:val="auto"/>
                <w:highlight w:val="none"/>
              </w:rPr>
              <w:t>工艺流程及产污环节图</w:t>
            </w:r>
          </w:p>
          <w:p w14:paraId="534ECC3D">
            <w:pPr>
              <w:pStyle w:val="38"/>
              <w:bidi w:val="0"/>
              <w:rPr>
                <w:rFonts w:hint="eastAsia"/>
                <w:color w:val="auto"/>
                <w:highlight w:val="none"/>
                <w:lang w:eastAsia="zh-CN"/>
              </w:rPr>
            </w:pPr>
            <w:r>
              <w:rPr>
                <w:rFonts w:hint="default"/>
                <w:b/>
                <w:bCs/>
                <w:color w:val="auto"/>
                <w:highlight w:val="none"/>
                <w:lang w:val="en-US" w:eastAsia="zh-CN"/>
              </w:rPr>
              <w:t>1、</w:t>
            </w:r>
            <w:r>
              <w:rPr>
                <w:rFonts w:hint="default"/>
                <w:b/>
                <w:bCs/>
                <w:color w:val="auto"/>
                <w:highlight w:val="none"/>
              </w:rPr>
              <w:t>工艺流程</w:t>
            </w:r>
            <w:r>
              <w:rPr>
                <w:rFonts w:hint="eastAsia"/>
                <w:b/>
                <w:bCs/>
                <w:color w:val="auto"/>
                <w:highlight w:val="none"/>
                <w:lang w:eastAsia="zh-CN"/>
              </w:rPr>
              <w:t>叙述</w:t>
            </w:r>
          </w:p>
          <w:bookmarkEnd w:id="13"/>
          <w:p w14:paraId="38B0E2D6">
            <w:pPr>
              <w:pStyle w:val="38"/>
              <w:bidi w:val="0"/>
              <w:rPr>
                <w:rFonts w:hint="eastAsia"/>
                <w:color w:val="auto"/>
                <w:highlight w:val="none"/>
                <w:lang w:eastAsia="zh-CN"/>
              </w:rPr>
            </w:pPr>
            <w:r>
              <w:rPr>
                <w:color w:val="auto"/>
                <w:highlight w:val="none"/>
              </w:rPr>
              <w:t>本项目生产钢木结构实验室台，主要以方钢管、三聚氰胺板、理化板、EVA热熔胶及各类五金配件为原材料，生产工艺流程依次为原材料准备、钢管加工、板材加工、部件组装、检验修整及打包入库，具体如下：</w:t>
            </w:r>
          </w:p>
          <w:p w14:paraId="4D500157">
            <w:pPr>
              <w:pStyle w:val="38"/>
              <w:bidi w:val="0"/>
              <w:rPr>
                <w:rFonts w:hint="eastAsia"/>
                <w:color w:val="auto"/>
                <w:highlight w:val="none"/>
                <w:lang w:eastAsia="zh-CN"/>
              </w:rPr>
            </w:pPr>
            <w:r>
              <w:rPr>
                <w:color w:val="auto"/>
                <w:highlight w:val="none"/>
              </w:rPr>
              <w:t>钢管加工</w:t>
            </w:r>
            <w:r>
              <w:rPr>
                <w:rFonts w:hint="eastAsia"/>
                <w:color w:val="auto"/>
                <w:highlight w:val="none"/>
                <w:lang w:eastAsia="zh-CN"/>
              </w:rPr>
              <w:t>：</w:t>
            </w:r>
            <w:r>
              <w:rPr>
                <w:color w:val="auto"/>
                <w:highlight w:val="none"/>
              </w:rPr>
              <w:t>根据实验室台钢架设计尺寸，对方钢管进行下料</w:t>
            </w:r>
            <w:r>
              <w:rPr>
                <w:rFonts w:hint="eastAsia"/>
                <w:color w:val="auto"/>
                <w:highlight w:val="none"/>
                <w:lang w:eastAsia="zh-CN"/>
              </w:rPr>
              <w:t>切割，</w:t>
            </w:r>
            <w:r>
              <w:rPr>
                <w:color w:val="auto"/>
                <w:highlight w:val="none"/>
              </w:rPr>
              <w:t>切割完成后，按钢架组装要求，在指定位置进行钻孔、冲孔处理，为后续部件连接预留接口；随后采用二氧化碳气体保护焊，将切割、钻孔后的方钢管焊接成型，形成实验室台的支撑钢架主体</w:t>
            </w:r>
            <w:r>
              <w:rPr>
                <w:rFonts w:hint="eastAsia"/>
                <w:color w:val="auto"/>
                <w:highlight w:val="none"/>
                <w:lang w:eastAsia="zh-CN"/>
              </w:rPr>
              <w:t>。</w:t>
            </w:r>
          </w:p>
          <w:p w14:paraId="07058A4F">
            <w:pPr>
              <w:pStyle w:val="38"/>
              <w:bidi w:val="0"/>
              <w:rPr>
                <w:rFonts w:hint="eastAsia"/>
                <w:color w:val="auto"/>
                <w:highlight w:val="none"/>
                <w:lang w:eastAsia="zh-CN"/>
              </w:rPr>
            </w:pPr>
            <w:r>
              <w:rPr>
                <w:rFonts w:hint="eastAsia"/>
                <w:color w:val="auto"/>
                <w:highlight w:val="none"/>
                <w:lang w:eastAsia="zh-CN"/>
              </w:rPr>
              <w:t>板材加工：</w:t>
            </w:r>
            <w:r>
              <w:rPr>
                <w:color w:val="auto"/>
                <w:highlight w:val="none"/>
              </w:rPr>
              <w:t>对三聚氰胺板和理化板进行加工处理</w:t>
            </w:r>
            <w:r>
              <w:rPr>
                <w:rFonts w:hint="eastAsia"/>
                <w:color w:val="auto"/>
                <w:highlight w:val="none"/>
                <w:lang w:eastAsia="zh-CN"/>
              </w:rPr>
              <w:t>，</w:t>
            </w:r>
            <w:r>
              <w:rPr>
                <w:color w:val="auto"/>
                <w:highlight w:val="none"/>
              </w:rPr>
              <w:t>先根据柜体、台面设计尺寸，分别对三聚氰胺板、理化板进行下料裁切，将三聚氰胺板裁切成柜体板、侧板、门板、层板等所需规格，将理化板裁切成实验台台面所需尺寸；裁切完成后，对三聚氰胺板的切口进行封边处理，采用EVA热熔胶，通过封边机将封边条与板材切口紧密粘合，提升板材的防潮性和外观整洁度；随后对三聚氰胺板柜体部件进行木工加工，包括钻孔、开槽、铣型等工序，其中钻孔用于安装铰链、连接件等五金配件，开槽、铣型用于柜体拼接和结构适配</w:t>
            </w:r>
            <w:r>
              <w:rPr>
                <w:rFonts w:hint="eastAsia"/>
                <w:color w:val="auto"/>
                <w:highlight w:val="none"/>
                <w:lang w:eastAsia="zh-CN"/>
              </w:rPr>
              <w:t>。</w:t>
            </w:r>
          </w:p>
          <w:p w14:paraId="69C8FA2E">
            <w:pPr>
              <w:pStyle w:val="38"/>
              <w:bidi w:val="0"/>
              <w:rPr>
                <w:color w:val="auto"/>
                <w:highlight w:val="none"/>
              </w:rPr>
            </w:pPr>
            <w:r>
              <w:rPr>
                <w:color w:val="auto"/>
                <w:highlight w:val="none"/>
              </w:rPr>
              <w:t>部件组装</w:t>
            </w:r>
            <w:r>
              <w:rPr>
                <w:rFonts w:hint="eastAsia"/>
                <w:color w:val="auto"/>
                <w:highlight w:val="none"/>
                <w:lang w:eastAsia="zh-CN"/>
              </w:rPr>
              <w:t>：</w:t>
            </w:r>
            <w:r>
              <w:rPr>
                <w:color w:val="auto"/>
                <w:highlight w:val="none"/>
              </w:rPr>
              <w:t>将钢架放置在装配工位，通过螺丝、角码等连接件，将理化板台面固定在钢架上，确保台面与钢架连接牢固、表面水平；随后将经木工加工完成的三聚氰胺板柜体部件进行组装，安装铰链、拉手、抽屉等部件，形成完整柜体，再将组装好的柜体与钢架、台面进行整体装配；最后安装调整脚、线槽等五金配件，调整各部件位置，确保实验室台整体结构稳固、尺寸精准、使用便捷。</w:t>
            </w:r>
          </w:p>
          <w:p w14:paraId="67E421FF">
            <w:pPr>
              <w:pStyle w:val="38"/>
              <w:bidi w:val="0"/>
              <w:rPr>
                <w:rFonts w:hint="eastAsia" w:eastAsia="宋体"/>
                <w:color w:val="auto"/>
                <w:highlight w:val="none"/>
                <w:lang w:eastAsia="zh-CN"/>
              </w:rPr>
            </w:pPr>
            <w:r>
              <w:rPr>
                <w:color w:val="auto"/>
                <w:highlight w:val="none"/>
              </w:rPr>
              <w:t>组装完成后，进入检验修整环节，对实验室台的外观、尺寸、连接牢固度、台面平整度等进行全面检验，对存在的瑕疵及时进行修整、调试，确保产品符合既定质量标准；检验合格后入库待售</w:t>
            </w:r>
            <w:r>
              <w:rPr>
                <w:rFonts w:hint="eastAsia"/>
                <w:color w:val="auto"/>
                <w:highlight w:val="none"/>
                <w:lang w:eastAsia="zh-CN"/>
              </w:rPr>
              <w:t>。</w:t>
            </w:r>
          </w:p>
          <w:p w14:paraId="2B8E734B">
            <w:pPr>
              <w:pStyle w:val="38"/>
              <w:bidi w:val="0"/>
              <w:rPr>
                <w:rFonts w:hint="default"/>
                <w:color w:val="auto"/>
                <w:highlight w:val="none"/>
                <w:lang w:val="en-US" w:eastAsia="zh-CN"/>
              </w:rPr>
            </w:pPr>
            <w:r>
              <w:rPr>
                <w:rFonts w:hint="eastAsia"/>
                <w:b/>
                <w:bCs/>
                <w:color w:val="auto"/>
                <w:highlight w:val="none"/>
                <w:lang w:val="en-US" w:eastAsia="zh-CN"/>
              </w:rPr>
              <w:t>2、产污环节</w:t>
            </w:r>
          </w:p>
          <w:p w14:paraId="24E5E850">
            <w:pPr>
              <w:pStyle w:val="3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本项目营运期产生的污染物包括废水、废气、噪声及固体废物。</w:t>
            </w:r>
          </w:p>
          <w:p w14:paraId="3A7CAF16">
            <w:pPr>
              <w:pStyle w:val="3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（1）废水</w:t>
            </w:r>
          </w:p>
          <w:p w14:paraId="7D88CF46">
            <w:pPr>
              <w:pStyle w:val="3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项目废水主要包括生活污水。</w:t>
            </w:r>
          </w:p>
          <w:p w14:paraId="0DC68109">
            <w:pPr>
              <w:pStyle w:val="3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（2）废气</w:t>
            </w:r>
          </w:p>
          <w:p w14:paraId="55F6B3FF">
            <w:pPr>
              <w:pStyle w:val="3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项目废气主要为</w:t>
            </w:r>
            <w:r>
              <w:rPr>
                <w:rFonts w:hint="eastAsia" w:cs="Times New Roman"/>
                <w:color w:val="auto"/>
                <w:highlight w:val="none"/>
                <w:lang w:val="en-US" w:eastAsia="zh-CN"/>
              </w:rPr>
              <w:t>板材下料、木加工产生的颗粒物、封边产生的VOCs、钢管下料产生的颗粒物及焊接烟尘</w:t>
            </w:r>
            <w:r>
              <w:rPr>
                <w:rFonts w:hint="default" w:ascii="Times New Roman" w:hAnsi="Times New Roman" w:cs="Times New Roman"/>
                <w:color w:val="auto"/>
                <w:highlight w:val="none"/>
                <w:lang w:val="en-US" w:eastAsia="zh-CN"/>
              </w:rPr>
              <w:t>。</w:t>
            </w:r>
          </w:p>
          <w:p w14:paraId="755085B4">
            <w:pPr>
              <w:pStyle w:val="38"/>
              <w:bidi w:val="0"/>
              <w:rPr>
                <w:rFonts w:hint="default"/>
                <w:color w:val="auto"/>
                <w:highlight w:val="none"/>
                <w:lang w:val="en-US" w:eastAsia="zh-CN"/>
              </w:rPr>
            </w:pPr>
            <w:r>
              <w:rPr>
                <w:rFonts w:hint="default"/>
                <w:color w:val="auto"/>
                <w:highlight w:val="none"/>
                <w:lang w:val="en-US" w:eastAsia="zh-CN"/>
              </w:rPr>
              <w:t>（3）噪声</w:t>
            </w:r>
          </w:p>
          <w:p w14:paraId="23B10457">
            <w:pPr>
              <w:pStyle w:val="38"/>
              <w:bidi w:val="0"/>
              <w:rPr>
                <w:rFonts w:hint="default"/>
                <w:color w:val="auto"/>
                <w:highlight w:val="none"/>
                <w:lang w:val="en-US" w:eastAsia="zh-CN"/>
              </w:rPr>
            </w:pPr>
            <w:r>
              <w:rPr>
                <w:rFonts w:hint="eastAsia"/>
                <w:color w:val="auto"/>
                <w:highlight w:val="none"/>
              </w:rPr>
              <w:t>项目噪声主要来源于各生产设备及环保设备风机运转产生的机械噪声，各主要噪声设备均安置于车间内部，噪声级为70</w:t>
            </w:r>
            <w:r>
              <w:rPr>
                <w:color w:val="auto"/>
                <w:highlight w:val="none"/>
              </w:rPr>
              <w:t>~</w:t>
            </w:r>
            <w:r>
              <w:rPr>
                <w:rFonts w:hint="eastAsia"/>
                <w:color w:val="auto"/>
                <w:highlight w:val="none"/>
                <w:lang w:val="en-US" w:eastAsia="zh-CN"/>
              </w:rPr>
              <w:t>90</w:t>
            </w:r>
            <w:r>
              <w:rPr>
                <w:color w:val="auto"/>
                <w:highlight w:val="none"/>
              </w:rPr>
              <w:t>dB</w:t>
            </w:r>
            <w:r>
              <w:rPr>
                <w:rFonts w:hint="eastAsia"/>
                <w:color w:val="auto"/>
                <w:highlight w:val="none"/>
                <w:lang w:eastAsia="zh-CN"/>
              </w:rPr>
              <w:t>（</w:t>
            </w:r>
            <w:r>
              <w:rPr>
                <w:color w:val="auto"/>
                <w:highlight w:val="none"/>
              </w:rPr>
              <w:t>A</w:t>
            </w:r>
            <w:r>
              <w:rPr>
                <w:rFonts w:hint="eastAsia"/>
                <w:color w:val="auto"/>
                <w:highlight w:val="none"/>
                <w:lang w:eastAsia="zh-CN"/>
              </w:rPr>
              <w:t>）</w:t>
            </w:r>
            <w:r>
              <w:rPr>
                <w:rFonts w:hint="default"/>
                <w:color w:val="auto"/>
                <w:highlight w:val="none"/>
                <w:lang w:val="en-US" w:eastAsia="zh-CN"/>
              </w:rPr>
              <w:t>。</w:t>
            </w:r>
          </w:p>
          <w:p w14:paraId="5EC3A98C">
            <w:pPr>
              <w:pStyle w:val="3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（4）固体废物</w:t>
            </w:r>
          </w:p>
          <w:p w14:paraId="54EF6620">
            <w:pPr>
              <w:pStyle w:val="38"/>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项目产生的固体废物包括生活垃圾、一般工业固废及危险废物，其中一般工业固废为生产过程中产生的废外包装材料、生产过</w:t>
            </w:r>
            <w:r>
              <w:rPr>
                <w:rFonts w:hint="eastAsia" w:cs="Times New Roman"/>
                <w:color w:val="auto"/>
                <w:highlight w:val="none"/>
                <w:lang w:val="en-US" w:eastAsia="zh-CN"/>
              </w:rPr>
              <w:t>程中</w:t>
            </w:r>
            <w:r>
              <w:rPr>
                <w:rFonts w:hint="default" w:ascii="Times New Roman" w:hAnsi="Times New Roman" w:cs="Times New Roman"/>
                <w:color w:val="auto"/>
                <w:highlight w:val="none"/>
                <w:lang w:val="en-US" w:eastAsia="zh-CN"/>
              </w:rPr>
              <w:t>产生的废边角料</w:t>
            </w:r>
            <w:r>
              <w:rPr>
                <w:rFonts w:hint="eastAsia" w:cs="Times New Roman"/>
                <w:color w:val="auto"/>
                <w:highlight w:val="none"/>
                <w:lang w:val="en-US" w:eastAsia="zh-CN"/>
              </w:rPr>
              <w:t>、除尘器收集的粉尘、废布袋、焊接焊渣</w:t>
            </w:r>
            <w:r>
              <w:rPr>
                <w:rFonts w:hint="default" w:ascii="Times New Roman" w:hAnsi="Times New Roman" w:cs="Times New Roman"/>
                <w:color w:val="auto"/>
                <w:highlight w:val="none"/>
                <w:lang w:val="en-US" w:eastAsia="zh-CN"/>
              </w:rPr>
              <w:t>；危险废物包括废矿物油、废矿物油桶、废活性炭。</w:t>
            </w:r>
          </w:p>
          <w:p w14:paraId="4DC0F5E6">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t>拟建项目产污环节情况见下表。</w:t>
            </w:r>
          </w:p>
          <w:p w14:paraId="0B3BAF60">
            <w:pPr>
              <w:pStyle w:val="39"/>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1</w:t>
            </w:r>
            <w:r>
              <w:rPr>
                <w:rFonts w:hint="eastAsia" w:ascii="Times New Roman" w:hAnsi="Times New Roman" w:cs="Times New Roman"/>
                <w:color w:val="auto"/>
                <w:highlight w:val="none"/>
                <w:lang w:val="en-US" w:eastAsia="zh-CN"/>
              </w:rPr>
              <w:t>6</w:t>
            </w:r>
            <w:r>
              <w:rPr>
                <w:rFonts w:hint="default" w:ascii="Times New Roman" w:hAnsi="Times New Roman" w:cs="Times New Roman"/>
                <w:color w:val="auto"/>
                <w:highlight w:val="none"/>
              </w:rPr>
              <w:t xml:space="preserve"> 拟建项目产污环节表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700"/>
              <w:gridCol w:w="1761"/>
              <w:gridCol w:w="2009"/>
              <w:gridCol w:w="2911"/>
              <w:gridCol w:w="644"/>
            </w:tblGrid>
            <w:tr w14:paraId="23BF8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1" w:type="pct"/>
                  <w:tcBorders>
                    <w:tl2br w:val="nil"/>
                    <w:tr2bl w:val="nil"/>
                  </w:tcBorders>
                  <w:shd w:val="clear" w:color="auto" w:fill="auto"/>
                  <w:vAlign w:val="center"/>
                </w:tcPr>
                <w:p w14:paraId="6285AEA7">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类别</w:t>
                  </w:r>
                </w:p>
              </w:tc>
              <w:tc>
                <w:tcPr>
                  <w:tcW w:w="401" w:type="pct"/>
                  <w:tcBorders>
                    <w:tl2br w:val="nil"/>
                    <w:tr2bl w:val="nil"/>
                  </w:tcBorders>
                  <w:shd w:val="clear" w:color="auto" w:fill="auto"/>
                  <w:vAlign w:val="center"/>
                </w:tcPr>
                <w:p w14:paraId="478871B0">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编号</w:t>
                  </w:r>
                </w:p>
              </w:tc>
              <w:tc>
                <w:tcPr>
                  <w:tcW w:w="1009" w:type="pct"/>
                  <w:tcBorders>
                    <w:tl2br w:val="nil"/>
                    <w:tr2bl w:val="nil"/>
                  </w:tcBorders>
                  <w:shd w:val="clear" w:color="auto" w:fill="auto"/>
                  <w:vAlign w:val="center"/>
                </w:tcPr>
                <w:p w14:paraId="136A33C0">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产污环节</w:t>
                  </w:r>
                </w:p>
              </w:tc>
              <w:tc>
                <w:tcPr>
                  <w:tcW w:w="1151" w:type="pct"/>
                  <w:tcBorders>
                    <w:tl2br w:val="nil"/>
                    <w:tr2bl w:val="nil"/>
                  </w:tcBorders>
                  <w:shd w:val="clear" w:color="auto" w:fill="auto"/>
                  <w:vAlign w:val="center"/>
                </w:tcPr>
                <w:p w14:paraId="3ABF34DE">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污染物名称</w:t>
                  </w:r>
                </w:p>
              </w:tc>
              <w:tc>
                <w:tcPr>
                  <w:tcW w:w="1668" w:type="pct"/>
                  <w:tcBorders>
                    <w:tl2br w:val="nil"/>
                    <w:tr2bl w:val="nil"/>
                  </w:tcBorders>
                  <w:shd w:val="clear" w:color="auto" w:fill="auto"/>
                  <w:vAlign w:val="center"/>
                </w:tcPr>
                <w:p w14:paraId="1B6E9FD5">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污染物组成</w:t>
                  </w:r>
                </w:p>
              </w:tc>
              <w:tc>
                <w:tcPr>
                  <w:tcW w:w="369" w:type="pct"/>
                  <w:tcBorders>
                    <w:tl2br w:val="nil"/>
                    <w:tr2bl w:val="nil"/>
                  </w:tcBorders>
                  <w:shd w:val="clear" w:color="auto" w:fill="auto"/>
                  <w:vAlign w:val="center"/>
                </w:tcPr>
                <w:p w14:paraId="68CB60EF">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排放规律</w:t>
                  </w:r>
                </w:p>
              </w:tc>
            </w:tr>
            <w:tr w14:paraId="348D6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1" w:type="pct"/>
                  <w:vMerge w:val="restart"/>
                  <w:tcBorders>
                    <w:tl2br w:val="nil"/>
                    <w:tr2bl w:val="nil"/>
                  </w:tcBorders>
                  <w:shd w:val="clear" w:color="auto" w:fill="auto"/>
                  <w:vAlign w:val="center"/>
                </w:tcPr>
                <w:p w14:paraId="6B5104F1">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废气</w:t>
                  </w:r>
                </w:p>
              </w:tc>
              <w:tc>
                <w:tcPr>
                  <w:tcW w:w="401" w:type="pct"/>
                  <w:tcBorders>
                    <w:tl2br w:val="nil"/>
                    <w:tr2bl w:val="nil"/>
                  </w:tcBorders>
                  <w:shd w:val="clear" w:color="auto" w:fill="auto"/>
                  <w:vAlign w:val="center"/>
                </w:tcPr>
                <w:p w14:paraId="6491CCD2">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eastAsia="zh-CN"/>
                    </w:rPr>
                    <w:t>G1</w:t>
                  </w:r>
                </w:p>
              </w:tc>
              <w:tc>
                <w:tcPr>
                  <w:tcW w:w="1009" w:type="pct"/>
                  <w:tcBorders>
                    <w:tl2br w:val="nil"/>
                    <w:tr2bl w:val="nil"/>
                  </w:tcBorders>
                  <w:shd w:val="clear" w:color="auto" w:fill="auto"/>
                  <w:vAlign w:val="center"/>
                </w:tcPr>
                <w:p w14:paraId="1DD14B6B">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cs="Times New Roman"/>
                      <w:color w:val="auto"/>
                      <w:sz w:val="20"/>
                      <w:szCs w:val="20"/>
                      <w:highlight w:val="none"/>
                      <w:lang w:val="en-US" w:eastAsia="zh-CN"/>
                    </w:rPr>
                    <w:t>板材下料、木加工</w:t>
                  </w:r>
                </w:p>
              </w:tc>
              <w:tc>
                <w:tcPr>
                  <w:tcW w:w="1151" w:type="pct"/>
                  <w:tcBorders>
                    <w:tl2br w:val="nil"/>
                    <w:tr2bl w:val="nil"/>
                  </w:tcBorders>
                  <w:shd w:val="clear" w:color="auto" w:fill="auto"/>
                  <w:vAlign w:val="center"/>
                </w:tcPr>
                <w:p w14:paraId="4610A5B7">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下料、木加工废气</w:t>
                  </w:r>
                </w:p>
              </w:tc>
              <w:tc>
                <w:tcPr>
                  <w:tcW w:w="1668" w:type="pct"/>
                  <w:tcBorders>
                    <w:tl2br w:val="nil"/>
                    <w:tr2bl w:val="nil"/>
                  </w:tcBorders>
                  <w:shd w:val="clear" w:color="auto" w:fill="auto"/>
                  <w:vAlign w:val="center"/>
                </w:tcPr>
                <w:p w14:paraId="35263E00">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cs="Times New Roman"/>
                      <w:color w:val="auto"/>
                      <w:sz w:val="20"/>
                      <w:szCs w:val="20"/>
                      <w:highlight w:val="none"/>
                      <w:lang w:val="en-US" w:eastAsia="zh-CN"/>
                    </w:rPr>
                    <w:t>颗粒物</w:t>
                  </w:r>
                </w:p>
              </w:tc>
              <w:tc>
                <w:tcPr>
                  <w:tcW w:w="369" w:type="pct"/>
                  <w:tcBorders>
                    <w:tl2br w:val="nil"/>
                    <w:tr2bl w:val="nil"/>
                  </w:tcBorders>
                  <w:shd w:val="clear" w:color="auto" w:fill="auto"/>
                  <w:vAlign w:val="center"/>
                </w:tcPr>
                <w:p w14:paraId="1F99C671">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间歇</w:t>
                  </w:r>
                </w:p>
              </w:tc>
            </w:tr>
            <w:tr w14:paraId="16FF4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1" w:type="pct"/>
                  <w:vMerge w:val="continue"/>
                  <w:tcBorders>
                    <w:tl2br w:val="nil"/>
                    <w:tr2bl w:val="nil"/>
                  </w:tcBorders>
                  <w:shd w:val="clear" w:color="auto" w:fill="auto"/>
                  <w:vAlign w:val="center"/>
                </w:tcPr>
                <w:p w14:paraId="6F2202AE">
                  <w:pPr>
                    <w:pStyle w:val="41"/>
                    <w:rPr>
                      <w:rFonts w:hint="default" w:ascii="Times New Roman" w:hAnsi="Times New Roman" w:eastAsia="宋体" w:cs="Times New Roman"/>
                      <w:color w:val="auto"/>
                      <w:sz w:val="20"/>
                      <w:szCs w:val="20"/>
                      <w:highlight w:val="none"/>
                      <w:lang w:eastAsia="zh-CN"/>
                    </w:rPr>
                  </w:pPr>
                </w:p>
              </w:tc>
              <w:tc>
                <w:tcPr>
                  <w:tcW w:w="401" w:type="pct"/>
                  <w:tcBorders>
                    <w:tl2br w:val="nil"/>
                    <w:tr2bl w:val="nil"/>
                  </w:tcBorders>
                  <w:shd w:val="clear" w:color="auto" w:fill="auto"/>
                  <w:vAlign w:val="center"/>
                </w:tcPr>
                <w:p w14:paraId="2F6BA7AA">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G</w:t>
                  </w:r>
                  <w:r>
                    <w:rPr>
                      <w:rFonts w:hint="eastAsia" w:ascii="Times New Roman" w:hAnsi="Times New Roman" w:cs="Times New Roman"/>
                      <w:color w:val="auto"/>
                      <w:sz w:val="20"/>
                      <w:szCs w:val="20"/>
                      <w:highlight w:val="none"/>
                      <w:lang w:val="en-US" w:eastAsia="zh-CN"/>
                    </w:rPr>
                    <w:t>2</w:t>
                  </w:r>
                </w:p>
              </w:tc>
              <w:tc>
                <w:tcPr>
                  <w:tcW w:w="1009" w:type="pct"/>
                  <w:tcBorders>
                    <w:tl2br w:val="nil"/>
                    <w:tr2bl w:val="nil"/>
                  </w:tcBorders>
                  <w:shd w:val="clear" w:color="auto" w:fill="auto"/>
                  <w:vAlign w:val="center"/>
                </w:tcPr>
                <w:p w14:paraId="45FC19CF">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板材（三聚氰胺板）封边</w:t>
                  </w:r>
                </w:p>
              </w:tc>
              <w:tc>
                <w:tcPr>
                  <w:tcW w:w="1151" w:type="pct"/>
                  <w:tcBorders>
                    <w:tl2br w:val="nil"/>
                    <w:tr2bl w:val="nil"/>
                  </w:tcBorders>
                  <w:shd w:val="clear" w:color="auto" w:fill="auto"/>
                  <w:vAlign w:val="center"/>
                </w:tcPr>
                <w:p w14:paraId="2917D2F2">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封边废气</w:t>
                  </w:r>
                </w:p>
              </w:tc>
              <w:tc>
                <w:tcPr>
                  <w:tcW w:w="1668" w:type="pct"/>
                  <w:tcBorders>
                    <w:tl2br w:val="nil"/>
                    <w:tr2bl w:val="nil"/>
                  </w:tcBorders>
                  <w:shd w:val="clear" w:color="auto" w:fill="auto"/>
                  <w:vAlign w:val="center"/>
                </w:tcPr>
                <w:p w14:paraId="08755B2F">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cs="Times New Roman"/>
                      <w:color w:val="auto"/>
                      <w:sz w:val="20"/>
                      <w:szCs w:val="20"/>
                      <w:highlight w:val="none"/>
                      <w:lang w:val="en-US" w:eastAsia="zh-CN"/>
                    </w:rPr>
                    <w:t>VOCs</w:t>
                  </w:r>
                </w:p>
              </w:tc>
              <w:tc>
                <w:tcPr>
                  <w:tcW w:w="369" w:type="pct"/>
                  <w:tcBorders>
                    <w:tl2br w:val="nil"/>
                    <w:tr2bl w:val="nil"/>
                  </w:tcBorders>
                  <w:shd w:val="clear" w:color="auto" w:fill="auto"/>
                  <w:vAlign w:val="center"/>
                </w:tcPr>
                <w:p w14:paraId="72FD3FF4">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连续</w:t>
                  </w:r>
                </w:p>
              </w:tc>
            </w:tr>
            <w:tr w14:paraId="1FE54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1" w:type="pct"/>
                  <w:vMerge w:val="continue"/>
                  <w:tcBorders>
                    <w:tl2br w:val="nil"/>
                    <w:tr2bl w:val="nil"/>
                  </w:tcBorders>
                  <w:shd w:val="clear" w:color="auto" w:fill="auto"/>
                  <w:vAlign w:val="center"/>
                </w:tcPr>
                <w:p w14:paraId="7FADC6CF">
                  <w:pPr>
                    <w:pStyle w:val="41"/>
                    <w:rPr>
                      <w:rFonts w:hint="default" w:ascii="Times New Roman" w:hAnsi="Times New Roman" w:eastAsia="宋体" w:cs="Times New Roman"/>
                      <w:color w:val="auto"/>
                      <w:sz w:val="20"/>
                      <w:szCs w:val="20"/>
                      <w:highlight w:val="none"/>
                      <w:lang w:eastAsia="zh-CN"/>
                    </w:rPr>
                  </w:pPr>
                </w:p>
              </w:tc>
              <w:tc>
                <w:tcPr>
                  <w:tcW w:w="401" w:type="pct"/>
                  <w:tcBorders>
                    <w:tl2br w:val="nil"/>
                    <w:tr2bl w:val="nil"/>
                  </w:tcBorders>
                  <w:shd w:val="clear" w:color="auto" w:fill="auto"/>
                  <w:vAlign w:val="center"/>
                </w:tcPr>
                <w:p w14:paraId="4F849883">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sz w:val="20"/>
                      <w:szCs w:val="20"/>
                      <w:highlight w:val="none"/>
                      <w:lang w:val="en-US" w:eastAsia="zh-CN"/>
                    </w:rPr>
                    <w:t>G3</w:t>
                  </w:r>
                </w:p>
              </w:tc>
              <w:tc>
                <w:tcPr>
                  <w:tcW w:w="1009" w:type="pct"/>
                  <w:tcBorders>
                    <w:tl2br w:val="nil"/>
                    <w:tr2bl w:val="nil"/>
                  </w:tcBorders>
                  <w:shd w:val="clear" w:color="auto" w:fill="auto"/>
                  <w:vAlign w:val="center"/>
                </w:tcPr>
                <w:p w14:paraId="2D622C79">
                  <w:pPr>
                    <w:pStyle w:val="41"/>
                    <w:rPr>
                      <w:rFonts w:hint="eastAsia"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sz w:val="20"/>
                      <w:szCs w:val="20"/>
                      <w:highlight w:val="none"/>
                      <w:lang w:val="en-US" w:eastAsia="zh-CN"/>
                    </w:rPr>
                    <w:t>钢管下料</w:t>
                  </w:r>
                </w:p>
              </w:tc>
              <w:tc>
                <w:tcPr>
                  <w:tcW w:w="1151" w:type="pct"/>
                  <w:tcBorders>
                    <w:tl2br w:val="nil"/>
                    <w:tr2bl w:val="nil"/>
                  </w:tcBorders>
                  <w:shd w:val="clear" w:color="auto" w:fill="auto"/>
                  <w:vAlign w:val="center"/>
                </w:tcPr>
                <w:p w14:paraId="6BBD501D">
                  <w:pPr>
                    <w:pStyle w:val="41"/>
                    <w:rPr>
                      <w:rFonts w:hint="default" w:ascii="Times New Roman" w:hAnsi="Times New Roman"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钢管下料废气</w:t>
                  </w:r>
                </w:p>
              </w:tc>
              <w:tc>
                <w:tcPr>
                  <w:tcW w:w="1668" w:type="pct"/>
                  <w:tcBorders>
                    <w:tl2br w:val="nil"/>
                    <w:tr2bl w:val="nil"/>
                  </w:tcBorders>
                  <w:shd w:val="clear" w:color="auto" w:fill="auto"/>
                  <w:vAlign w:val="center"/>
                </w:tcPr>
                <w:p w14:paraId="0F4FAD56">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sz w:val="20"/>
                      <w:szCs w:val="20"/>
                      <w:highlight w:val="none"/>
                      <w:lang w:val="en-US" w:eastAsia="zh-CN"/>
                    </w:rPr>
                    <w:t>颗粒物</w:t>
                  </w:r>
                </w:p>
              </w:tc>
              <w:tc>
                <w:tcPr>
                  <w:tcW w:w="369" w:type="pct"/>
                  <w:tcBorders>
                    <w:tl2br w:val="nil"/>
                    <w:tr2bl w:val="nil"/>
                  </w:tcBorders>
                  <w:shd w:val="clear" w:color="auto" w:fill="auto"/>
                  <w:vAlign w:val="center"/>
                </w:tcPr>
                <w:p w14:paraId="4AA4DE2E">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sz w:val="20"/>
                      <w:szCs w:val="20"/>
                      <w:highlight w:val="none"/>
                      <w:lang w:eastAsia="zh-CN"/>
                    </w:rPr>
                    <w:t>间歇</w:t>
                  </w:r>
                </w:p>
              </w:tc>
            </w:tr>
            <w:tr w14:paraId="70259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1" w:type="pct"/>
                  <w:vMerge w:val="continue"/>
                  <w:tcBorders>
                    <w:tl2br w:val="nil"/>
                    <w:tr2bl w:val="nil"/>
                  </w:tcBorders>
                  <w:shd w:val="clear" w:color="auto" w:fill="auto"/>
                  <w:vAlign w:val="center"/>
                </w:tcPr>
                <w:p w14:paraId="640D3828">
                  <w:pPr>
                    <w:pStyle w:val="41"/>
                    <w:rPr>
                      <w:rFonts w:hint="default" w:ascii="Times New Roman" w:hAnsi="Times New Roman" w:eastAsia="宋体" w:cs="Times New Roman"/>
                      <w:color w:val="auto"/>
                      <w:sz w:val="20"/>
                      <w:szCs w:val="20"/>
                      <w:highlight w:val="none"/>
                      <w:lang w:eastAsia="zh-CN"/>
                    </w:rPr>
                  </w:pPr>
                </w:p>
              </w:tc>
              <w:tc>
                <w:tcPr>
                  <w:tcW w:w="401" w:type="pct"/>
                  <w:tcBorders>
                    <w:tl2br w:val="nil"/>
                    <w:tr2bl w:val="nil"/>
                  </w:tcBorders>
                  <w:shd w:val="clear" w:color="auto" w:fill="auto"/>
                  <w:vAlign w:val="center"/>
                </w:tcPr>
                <w:p w14:paraId="64BCD5CB">
                  <w:pPr>
                    <w:pStyle w:val="41"/>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color w:val="auto"/>
                      <w:sz w:val="20"/>
                      <w:szCs w:val="20"/>
                      <w:highlight w:val="none"/>
                      <w:lang w:val="en-US" w:eastAsia="zh-CN"/>
                    </w:rPr>
                    <w:t>G</w:t>
                  </w:r>
                  <w:r>
                    <w:rPr>
                      <w:rFonts w:hint="eastAsia" w:ascii="Times New Roman" w:hAnsi="Times New Roman" w:cs="Times New Roman"/>
                      <w:color w:val="auto"/>
                      <w:sz w:val="20"/>
                      <w:szCs w:val="20"/>
                      <w:highlight w:val="none"/>
                      <w:lang w:val="en-US" w:eastAsia="zh-CN"/>
                    </w:rPr>
                    <w:t>4</w:t>
                  </w:r>
                </w:p>
              </w:tc>
              <w:tc>
                <w:tcPr>
                  <w:tcW w:w="1009" w:type="pct"/>
                  <w:tcBorders>
                    <w:tl2br w:val="nil"/>
                    <w:tr2bl w:val="nil"/>
                  </w:tcBorders>
                  <w:shd w:val="clear" w:color="auto" w:fill="auto"/>
                  <w:vAlign w:val="center"/>
                </w:tcPr>
                <w:p w14:paraId="59FB785A">
                  <w:pPr>
                    <w:pStyle w:val="41"/>
                    <w:rPr>
                      <w:rFonts w:hint="eastAsia"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sz w:val="20"/>
                      <w:szCs w:val="20"/>
                      <w:highlight w:val="none"/>
                      <w:lang w:val="en-US" w:eastAsia="zh-CN"/>
                    </w:rPr>
                    <w:t>钢管焊接</w:t>
                  </w:r>
                </w:p>
              </w:tc>
              <w:tc>
                <w:tcPr>
                  <w:tcW w:w="1151" w:type="pct"/>
                  <w:tcBorders>
                    <w:tl2br w:val="nil"/>
                    <w:tr2bl w:val="nil"/>
                  </w:tcBorders>
                  <w:shd w:val="clear" w:color="auto" w:fill="auto"/>
                  <w:vAlign w:val="center"/>
                </w:tcPr>
                <w:p w14:paraId="4528730E">
                  <w:pPr>
                    <w:pStyle w:val="41"/>
                    <w:rPr>
                      <w:rFonts w:hint="eastAsia" w:ascii="Times New Roman" w:hAnsi="Times New Roman"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焊接废气</w:t>
                  </w:r>
                </w:p>
              </w:tc>
              <w:tc>
                <w:tcPr>
                  <w:tcW w:w="1668" w:type="pct"/>
                  <w:tcBorders>
                    <w:tl2br w:val="nil"/>
                    <w:tr2bl w:val="nil"/>
                  </w:tcBorders>
                  <w:shd w:val="clear" w:color="auto" w:fill="auto"/>
                  <w:vAlign w:val="center"/>
                </w:tcPr>
                <w:p w14:paraId="79280A31">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sz w:val="20"/>
                      <w:szCs w:val="20"/>
                      <w:highlight w:val="none"/>
                      <w:lang w:val="en-US" w:eastAsia="zh-CN"/>
                    </w:rPr>
                    <w:t>颗粒物</w:t>
                  </w:r>
                </w:p>
              </w:tc>
              <w:tc>
                <w:tcPr>
                  <w:tcW w:w="369" w:type="pct"/>
                  <w:tcBorders>
                    <w:tl2br w:val="nil"/>
                    <w:tr2bl w:val="nil"/>
                  </w:tcBorders>
                  <w:shd w:val="clear" w:color="auto" w:fill="auto"/>
                  <w:vAlign w:val="center"/>
                </w:tcPr>
                <w:p w14:paraId="6E3E65EE">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sz w:val="20"/>
                      <w:szCs w:val="20"/>
                      <w:highlight w:val="none"/>
                      <w:lang w:eastAsia="zh-CN"/>
                    </w:rPr>
                    <w:t>间歇</w:t>
                  </w:r>
                </w:p>
              </w:tc>
            </w:tr>
            <w:tr w14:paraId="5A5A9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1" w:type="pct"/>
                  <w:tcBorders>
                    <w:tl2br w:val="nil"/>
                    <w:tr2bl w:val="nil"/>
                  </w:tcBorders>
                  <w:shd w:val="clear" w:color="auto" w:fill="auto"/>
                  <w:vAlign w:val="center"/>
                </w:tcPr>
                <w:p w14:paraId="6DF9B291">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废水</w:t>
                  </w:r>
                </w:p>
              </w:tc>
              <w:tc>
                <w:tcPr>
                  <w:tcW w:w="401" w:type="pct"/>
                  <w:tcBorders>
                    <w:tl2br w:val="nil"/>
                    <w:tr2bl w:val="nil"/>
                  </w:tcBorders>
                  <w:shd w:val="clear" w:color="auto" w:fill="auto"/>
                  <w:vAlign w:val="center"/>
                </w:tcPr>
                <w:p w14:paraId="6FB2522F">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W1</w:t>
                  </w:r>
                </w:p>
              </w:tc>
              <w:tc>
                <w:tcPr>
                  <w:tcW w:w="1009" w:type="pct"/>
                  <w:tcBorders>
                    <w:tl2br w:val="nil"/>
                    <w:tr2bl w:val="nil"/>
                  </w:tcBorders>
                  <w:shd w:val="clear" w:color="auto" w:fill="auto"/>
                  <w:vAlign w:val="center"/>
                </w:tcPr>
                <w:p w14:paraId="19241694">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职工生活</w:t>
                  </w:r>
                </w:p>
              </w:tc>
              <w:tc>
                <w:tcPr>
                  <w:tcW w:w="1151" w:type="pct"/>
                  <w:tcBorders>
                    <w:tl2br w:val="nil"/>
                    <w:tr2bl w:val="nil"/>
                  </w:tcBorders>
                  <w:shd w:val="clear" w:color="auto" w:fill="auto"/>
                  <w:vAlign w:val="center"/>
                </w:tcPr>
                <w:p w14:paraId="42AE5768">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生活废水</w:t>
                  </w:r>
                </w:p>
              </w:tc>
              <w:tc>
                <w:tcPr>
                  <w:tcW w:w="1668" w:type="pct"/>
                  <w:tcBorders>
                    <w:tl2br w:val="nil"/>
                    <w:tr2bl w:val="nil"/>
                  </w:tcBorders>
                  <w:shd w:val="clear" w:color="auto" w:fill="auto"/>
                  <w:vAlign w:val="center"/>
                </w:tcPr>
                <w:p w14:paraId="5131F099">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COD、NH</w:t>
                  </w:r>
                  <w:r>
                    <w:rPr>
                      <w:rFonts w:hint="default" w:ascii="Times New Roman" w:hAnsi="Times New Roman" w:eastAsia="宋体" w:cs="Times New Roman"/>
                      <w:color w:val="auto"/>
                      <w:sz w:val="20"/>
                      <w:szCs w:val="20"/>
                      <w:highlight w:val="none"/>
                      <w:vertAlign w:val="subscript"/>
                      <w:lang w:eastAsia="zh-CN"/>
                    </w:rPr>
                    <w:t>3</w:t>
                  </w:r>
                  <w:r>
                    <w:rPr>
                      <w:rFonts w:hint="default" w:ascii="Times New Roman" w:hAnsi="Times New Roman" w:eastAsia="宋体" w:cs="Times New Roman"/>
                      <w:color w:val="auto"/>
                      <w:sz w:val="20"/>
                      <w:szCs w:val="20"/>
                      <w:highlight w:val="none"/>
                      <w:lang w:eastAsia="zh-CN"/>
                    </w:rPr>
                    <w:t>-N、BOD</w:t>
                  </w:r>
                  <w:r>
                    <w:rPr>
                      <w:rFonts w:hint="default" w:ascii="Times New Roman" w:hAnsi="Times New Roman" w:eastAsia="宋体" w:cs="Times New Roman"/>
                      <w:color w:val="auto"/>
                      <w:sz w:val="20"/>
                      <w:szCs w:val="20"/>
                      <w:highlight w:val="none"/>
                      <w:vertAlign w:val="subscript"/>
                      <w:lang w:eastAsia="zh-CN"/>
                    </w:rPr>
                    <w:t>5</w:t>
                  </w:r>
                  <w:r>
                    <w:rPr>
                      <w:rFonts w:hint="default" w:ascii="Times New Roman" w:hAnsi="Times New Roman" w:eastAsia="宋体" w:cs="Times New Roman"/>
                      <w:color w:val="auto"/>
                      <w:sz w:val="20"/>
                      <w:szCs w:val="20"/>
                      <w:highlight w:val="none"/>
                      <w:lang w:eastAsia="zh-CN"/>
                    </w:rPr>
                    <w:t>、SS、总磷、总氮</w:t>
                  </w:r>
                </w:p>
              </w:tc>
              <w:tc>
                <w:tcPr>
                  <w:tcW w:w="369" w:type="pct"/>
                  <w:tcBorders>
                    <w:tl2br w:val="nil"/>
                    <w:tr2bl w:val="nil"/>
                  </w:tcBorders>
                  <w:shd w:val="clear" w:color="auto" w:fill="auto"/>
                  <w:vAlign w:val="center"/>
                </w:tcPr>
                <w:p w14:paraId="6D8C2768">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间歇</w:t>
                  </w:r>
                </w:p>
              </w:tc>
            </w:tr>
            <w:tr w14:paraId="3892F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1" w:type="pct"/>
                  <w:vMerge w:val="restart"/>
                  <w:tcBorders>
                    <w:tl2br w:val="nil"/>
                    <w:tr2bl w:val="nil"/>
                  </w:tcBorders>
                  <w:shd w:val="clear" w:color="auto" w:fill="auto"/>
                  <w:vAlign w:val="center"/>
                </w:tcPr>
                <w:p w14:paraId="18876760">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固废</w:t>
                  </w:r>
                </w:p>
              </w:tc>
              <w:tc>
                <w:tcPr>
                  <w:tcW w:w="401" w:type="pct"/>
                  <w:tcBorders>
                    <w:tl2br w:val="nil"/>
                    <w:tr2bl w:val="nil"/>
                  </w:tcBorders>
                  <w:shd w:val="clear" w:color="auto" w:fill="auto"/>
                  <w:vAlign w:val="center"/>
                </w:tcPr>
                <w:p w14:paraId="0771E47E">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S1</w:t>
                  </w:r>
                </w:p>
              </w:tc>
              <w:tc>
                <w:tcPr>
                  <w:tcW w:w="1009" w:type="pct"/>
                  <w:tcBorders>
                    <w:tl2br w:val="nil"/>
                    <w:tr2bl w:val="nil"/>
                  </w:tcBorders>
                  <w:shd w:val="clear" w:color="auto" w:fill="auto"/>
                  <w:vAlign w:val="center"/>
                </w:tcPr>
                <w:p w14:paraId="23A42A0C">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职工生活</w:t>
                  </w:r>
                </w:p>
              </w:tc>
              <w:tc>
                <w:tcPr>
                  <w:tcW w:w="1151" w:type="pct"/>
                  <w:tcBorders>
                    <w:tl2br w:val="nil"/>
                    <w:tr2bl w:val="nil"/>
                  </w:tcBorders>
                  <w:shd w:val="clear" w:color="auto" w:fill="auto"/>
                  <w:vAlign w:val="center"/>
                </w:tcPr>
                <w:p w14:paraId="5AD0BF25">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生活垃圾</w:t>
                  </w:r>
                </w:p>
              </w:tc>
              <w:tc>
                <w:tcPr>
                  <w:tcW w:w="1668" w:type="pct"/>
                  <w:tcBorders>
                    <w:tl2br w:val="nil"/>
                    <w:tr2bl w:val="nil"/>
                  </w:tcBorders>
                  <w:shd w:val="clear" w:color="auto" w:fill="auto"/>
                  <w:vAlign w:val="center"/>
                </w:tcPr>
                <w:p w14:paraId="769F012F">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纸屑、果核、塑料等</w:t>
                  </w:r>
                </w:p>
              </w:tc>
              <w:tc>
                <w:tcPr>
                  <w:tcW w:w="369" w:type="pct"/>
                  <w:tcBorders>
                    <w:tl2br w:val="nil"/>
                    <w:tr2bl w:val="nil"/>
                  </w:tcBorders>
                  <w:shd w:val="clear" w:color="auto" w:fill="auto"/>
                  <w:vAlign w:val="center"/>
                </w:tcPr>
                <w:p w14:paraId="6D57B458">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间歇</w:t>
                  </w:r>
                </w:p>
              </w:tc>
            </w:tr>
            <w:tr w14:paraId="388F2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1" w:type="pct"/>
                  <w:vMerge w:val="continue"/>
                  <w:tcBorders>
                    <w:tl2br w:val="nil"/>
                    <w:tr2bl w:val="nil"/>
                  </w:tcBorders>
                  <w:shd w:val="clear" w:color="auto" w:fill="auto"/>
                  <w:vAlign w:val="center"/>
                </w:tcPr>
                <w:p w14:paraId="7682A2DE">
                  <w:pPr>
                    <w:pStyle w:val="41"/>
                    <w:rPr>
                      <w:rFonts w:hint="default" w:ascii="Times New Roman" w:hAnsi="Times New Roman" w:eastAsia="宋体" w:cs="Times New Roman"/>
                      <w:color w:val="auto"/>
                      <w:sz w:val="20"/>
                      <w:szCs w:val="20"/>
                      <w:highlight w:val="none"/>
                      <w:lang w:eastAsia="zh-CN"/>
                    </w:rPr>
                  </w:pPr>
                </w:p>
              </w:tc>
              <w:tc>
                <w:tcPr>
                  <w:tcW w:w="401" w:type="pct"/>
                  <w:tcBorders>
                    <w:tl2br w:val="nil"/>
                    <w:tr2bl w:val="nil"/>
                  </w:tcBorders>
                  <w:shd w:val="clear" w:color="auto" w:fill="auto"/>
                  <w:vAlign w:val="center"/>
                </w:tcPr>
                <w:p w14:paraId="076FCCCA">
                  <w:pPr>
                    <w:pStyle w:val="41"/>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cs="Times New Roman"/>
                      <w:color w:val="auto"/>
                      <w:sz w:val="20"/>
                      <w:szCs w:val="20"/>
                      <w:highlight w:val="none"/>
                      <w:lang w:val="en-US" w:eastAsia="zh-CN"/>
                    </w:rPr>
                    <w:t>S</w:t>
                  </w:r>
                  <w:r>
                    <w:rPr>
                      <w:rFonts w:hint="eastAsia" w:ascii="Times New Roman" w:hAnsi="Times New Roman" w:cs="Times New Roman"/>
                      <w:color w:val="auto"/>
                      <w:sz w:val="20"/>
                      <w:szCs w:val="20"/>
                      <w:highlight w:val="none"/>
                      <w:lang w:val="en-US" w:eastAsia="zh-CN"/>
                    </w:rPr>
                    <w:t>2</w:t>
                  </w:r>
                </w:p>
              </w:tc>
              <w:tc>
                <w:tcPr>
                  <w:tcW w:w="1009" w:type="pct"/>
                  <w:tcBorders>
                    <w:tl2br w:val="nil"/>
                    <w:tr2bl w:val="nil"/>
                  </w:tcBorders>
                  <w:shd w:val="clear" w:color="auto" w:fill="auto"/>
                  <w:vAlign w:val="center"/>
                </w:tcPr>
                <w:p w14:paraId="1488456F">
                  <w:pPr>
                    <w:pStyle w:val="41"/>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cs="Times New Roman"/>
                      <w:color w:val="auto"/>
                      <w:sz w:val="20"/>
                      <w:szCs w:val="20"/>
                      <w:highlight w:val="none"/>
                      <w:lang w:eastAsia="zh-CN"/>
                    </w:rPr>
                    <w:t>生产过程</w:t>
                  </w:r>
                </w:p>
              </w:tc>
              <w:tc>
                <w:tcPr>
                  <w:tcW w:w="1151" w:type="pct"/>
                  <w:tcBorders>
                    <w:tl2br w:val="nil"/>
                    <w:tr2bl w:val="nil"/>
                  </w:tcBorders>
                  <w:shd w:val="clear" w:color="auto" w:fill="auto"/>
                  <w:vAlign w:val="center"/>
                </w:tcPr>
                <w:p w14:paraId="38A83CC4">
                  <w:pPr>
                    <w:pStyle w:val="41"/>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color w:val="auto"/>
                      <w:sz w:val="20"/>
                      <w:szCs w:val="20"/>
                      <w:highlight w:val="none"/>
                      <w:lang w:eastAsia="zh-CN"/>
                    </w:rPr>
                    <w:t>废</w:t>
                  </w:r>
                  <w:r>
                    <w:rPr>
                      <w:rFonts w:hint="eastAsia" w:ascii="Times New Roman" w:hAnsi="Times New Roman" w:cs="Times New Roman"/>
                      <w:color w:val="auto"/>
                      <w:sz w:val="20"/>
                      <w:szCs w:val="20"/>
                      <w:highlight w:val="none"/>
                      <w:lang w:eastAsia="zh-CN"/>
                    </w:rPr>
                    <w:t>下</w:t>
                  </w:r>
                  <w:r>
                    <w:rPr>
                      <w:rFonts w:hint="default" w:ascii="Times New Roman" w:hAnsi="Times New Roman" w:eastAsia="宋体" w:cs="Times New Roman"/>
                      <w:color w:val="auto"/>
                      <w:sz w:val="20"/>
                      <w:szCs w:val="20"/>
                      <w:highlight w:val="none"/>
                      <w:lang w:eastAsia="zh-CN"/>
                    </w:rPr>
                    <w:t>角料</w:t>
                  </w:r>
                </w:p>
              </w:tc>
              <w:tc>
                <w:tcPr>
                  <w:tcW w:w="1668" w:type="pct"/>
                  <w:tcBorders>
                    <w:tl2br w:val="nil"/>
                    <w:tr2bl w:val="nil"/>
                  </w:tcBorders>
                  <w:shd w:val="clear" w:color="auto" w:fill="auto"/>
                  <w:vAlign w:val="center"/>
                </w:tcPr>
                <w:p w14:paraId="778E416A">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sz w:val="20"/>
                      <w:szCs w:val="20"/>
                      <w:highlight w:val="none"/>
                      <w:lang w:eastAsia="zh-CN"/>
                    </w:rPr>
                    <w:t>木制品及金属制品</w:t>
                  </w:r>
                </w:p>
              </w:tc>
              <w:tc>
                <w:tcPr>
                  <w:tcW w:w="369" w:type="pct"/>
                  <w:tcBorders>
                    <w:tl2br w:val="nil"/>
                    <w:tr2bl w:val="nil"/>
                  </w:tcBorders>
                  <w:shd w:val="clear" w:color="auto" w:fill="auto"/>
                  <w:vAlign w:val="center"/>
                </w:tcPr>
                <w:p w14:paraId="507F1899">
                  <w:pPr>
                    <w:pStyle w:val="41"/>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cs="Times New Roman"/>
                      <w:color w:val="auto"/>
                      <w:sz w:val="20"/>
                      <w:szCs w:val="20"/>
                      <w:highlight w:val="none"/>
                      <w:lang w:eastAsia="zh-CN"/>
                    </w:rPr>
                    <w:t>间歇</w:t>
                  </w:r>
                </w:p>
              </w:tc>
            </w:tr>
            <w:tr w14:paraId="7920A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1" w:type="pct"/>
                  <w:vMerge w:val="continue"/>
                  <w:tcBorders>
                    <w:tl2br w:val="nil"/>
                    <w:tr2bl w:val="nil"/>
                  </w:tcBorders>
                  <w:shd w:val="clear" w:color="auto" w:fill="auto"/>
                  <w:vAlign w:val="center"/>
                </w:tcPr>
                <w:p w14:paraId="5DF19138">
                  <w:pPr>
                    <w:pStyle w:val="41"/>
                    <w:rPr>
                      <w:rFonts w:hint="default" w:ascii="Times New Roman" w:hAnsi="Times New Roman" w:eastAsia="宋体" w:cs="Times New Roman"/>
                      <w:color w:val="auto"/>
                      <w:sz w:val="20"/>
                      <w:szCs w:val="20"/>
                      <w:highlight w:val="none"/>
                      <w:lang w:eastAsia="zh-CN"/>
                    </w:rPr>
                  </w:pPr>
                </w:p>
              </w:tc>
              <w:tc>
                <w:tcPr>
                  <w:tcW w:w="401" w:type="pct"/>
                  <w:tcBorders>
                    <w:tl2br w:val="nil"/>
                    <w:tr2bl w:val="nil"/>
                  </w:tcBorders>
                  <w:shd w:val="clear" w:color="auto" w:fill="auto"/>
                  <w:vAlign w:val="center"/>
                </w:tcPr>
                <w:p w14:paraId="418D37AA">
                  <w:pPr>
                    <w:pStyle w:val="41"/>
                    <w:rPr>
                      <w:rFonts w:hint="default" w:ascii="Times New Roman" w:hAnsi="Times New Roman"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S3</w:t>
                  </w:r>
                </w:p>
              </w:tc>
              <w:tc>
                <w:tcPr>
                  <w:tcW w:w="1009" w:type="pct"/>
                  <w:tcBorders>
                    <w:tl2br w:val="nil"/>
                    <w:tr2bl w:val="nil"/>
                  </w:tcBorders>
                  <w:shd w:val="clear" w:color="auto" w:fill="auto"/>
                  <w:vAlign w:val="center"/>
                </w:tcPr>
                <w:p w14:paraId="5B3321E1">
                  <w:pPr>
                    <w:pStyle w:val="41"/>
                    <w:rPr>
                      <w:rFonts w:hint="default" w:ascii="Times New Roman" w:hAnsi="Times New Roman"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除尘过程</w:t>
                  </w:r>
                </w:p>
              </w:tc>
              <w:tc>
                <w:tcPr>
                  <w:tcW w:w="1151" w:type="pct"/>
                  <w:tcBorders>
                    <w:tl2br w:val="nil"/>
                    <w:tr2bl w:val="nil"/>
                  </w:tcBorders>
                  <w:shd w:val="clear" w:color="auto" w:fill="auto"/>
                  <w:vAlign w:val="center"/>
                </w:tcPr>
                <w:p w14:paraId="49EFD2A5">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废布袋</w:t>
                  </w:r>
                </w:p>
              </w:tc>
              <w:tc>
                <w:tcPr>
                  <w:tcW w:w="1668" w:type="pct"/>
                  <w:tcBorders>
                    <w:tl2br w:val="nil"/>
                    <w:tr2bl w:val="nil"/>
                  </w:tcBorders>
                  <w:shd w:val="clear" w:color="auto" w:fill="auto"/>
                  <w:vAlign w:val="center"/>
                </w:tcPr>
                <w:p w14:paraId="133C2974">
                  <w:pPr>
                    <w:pStyle w:val="41"/>
                    <w:rPr>
                      <w:rFonts w:hint="eastAsia" w:ascii="Times New Roman" w:hAnsi="Times New Roman"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滤袋及少量木屑粉尘</w:t>
                  </w:r>
                </w:p>
              </w:tc>
              <w:tc>
                <w:tcPr>
                  <w:tcW w:w="369" w:type="pct"/>
                  <w:tcBorders>
                    <w:tl2br w:val="nil"/>
                    <w:tr2bl w:val="nil"/>
                  </w:tcBorders>
                  <w:shd w:val="clear" w:color="auto" w:fill="auto"/>
                  <w:vAlign w:val="center"/>
                </w:tcPr>
                <w:p w14:paraId="44CBC588">
                  <w:pPr>
                    <w:pStyle w:val="41"/>
                    <w:rPr>
                      <w:rFonts w:hint="default" w:ascii="Times New Roman" w:hAnsi="Times New Roman"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间歇</w:t>
                  </w:r>
                </w:p>
              </w:tc>
            </w:tr>
            <w:tr w14:paraId="6B40D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1" w:type="pct"/>
                  <w:vMerge w:val="continue"/>
                  <w:tcBorders>
                    <w:tl2br w:val="nil"/>
                    <w:tr2bl w:val="nil"/>
                  </w:tcBorders>
                  <w:vAlign w:val="center"/>
                </w:tcPr>
                <w:p w14:paraId="73D4AEC5">
                  <w:pPr>
                    <w:pStyle w:val="41"/>
                    <w:rPr>
                      <w:rFonts w:hint="default" w:ascii="Times New Roman" w:hAnsi="Times New Roman" w:eastAsia="宋体" w:cs="Times New Roman"/>
                      <w:color w:val="auto"/>
                      <w:sz w:val="20"/>
                      <w:szCs w:val="20"/>
                      <w:highlight w:val="none"/>
                      <w:lang w:eastAsia="zh-CN"/>
                    </w:rPr>
                  </w:pPr>
                </w:p>
              </w:tc>
              <w:tc>
                <w:tcPr>
                  <w:tcW w:w="401" w:type="pct"/>
                  <w:tcBorders>
                    <w:tl2br w:val="nil"/>
                    <w:tr2bl w:val="nil"/>
                  </w:tcBorders>
                  <w:shd w:val="clear" w:color="auto" w:fill="auto"/>
                  <w:vAlign w:val="center"/>
                </w:tcPr>
                <w:p w14:paraId="0C1660C7">
                  <w:pPr>
                    <w:pStyle w:val="41"/>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color w:val="auto"/>
                      <w:sz w:val="20"/>
                      <w:szCs w:val="20"/>
                      <w:highlight w:val="none"/>
                      <w:lang w:eastAsia="zh-CN"/>
                    </w:rPr>
                    <w:t>S</w:t>
                  </w:r>
                  <w:r>
                    <w:rPr>
                      <w:rFonts w:hint="default" w:ascii="Times New Roman" w:hAnsi="Times New Roman" w:cs="Times New Roman"/>
                      <w:color w:val="auto"/>
                      <w:sz w:val="20"/>
                      <w:szCs w:val="20"/>
                      <w:highlight w:val="none"/>
                      <w:lang w:val="en-US" w:eastAsia="zh-CN"/>
                    </w:rPr>
                    <w:t>4</w:t>
                  </w:r>
                </w:p>
              </w:tc>
              <w:tc>
                <w:tcPr>
                  <w:tcW w:w="1009" w:type="pct"/>
                  <w:tcBorders>
                    <w:tl2br w:val="nil"/>
                    <w:tr2bl w:val="nil"/>
                  </w:tcBorders>
                  <w:shd w:val="clear" w:color="auto" w:fill="auto"/>
                  <w:vAlign w:val="center"/>
                </w:tcPr>
                <w:p w14:paraId="231F66C5">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sz w:val="20"/>
                      <w:szCs w:val="20"/>
                      <w:highlight w:val="none"/>
                      <w:lang w:eastAsia="zh-CN"/>
                    </w:rPr>
                    <w:t>除尘过程</w:t>
                  </w:r>
                </w:p>
              </w:tc>
              <w:tc>
                <w:tcPr>
                  <w:tcW w:w="1151" w:type="pct"/>
                  <w:tcBorders>
                    <w:tl2br w:val="nil"/>
                    <w:tr2bl w:val="nil"/>
                  </w:tcBorders>
                  <w:shd w:val="clear" w:color="auto" w:fill="auto"/>
                  <w:vAlign w:val="center"/>
                </w:tcPr>
                <w:p w14:paraId="182776E2">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sz w:val="20"/>
                      <w:szCs w:val="20"/>
                      <w:highlight w:val="none"/>
                      <w:lang w:eastAsia="zh-CN"/>
                    </w:rPr>
                    <w:t>除尘器收尘</w:t>
                  </w:r>
                </w:p>
              </w:tc>
              <w:tc>
                <w:tcPr>
                  <w:tcW w:w="1668" w:type="pct"/>
                  <w:tcBorders>
                    <w:tl2br w:val="nil"/>
                    <w:tr2bl w:val="nil"/>
                  </w:tcBorders>
                  <w:shd w:val="clear" w:color="auto" w:fill="auto"/>
                  <w:vAlign w:val="center"/>
                </w:tcPr>
                <w:p w14:paraId="2506A4EA">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sz w:val="20"/>
                      <w:szCs w:val="20"/>
                      <w:highlight w:val="none"/>
                      <w:lang w:eastAsia="zh-CN"/>
                    </w:rPr>
                    <w:t>木屑</w:t>
                  </w:r>
                </w:p>
              </w:tc>
              <w:tc>
                <w:tcPr>
                  <w:tcW w:w="369" w:type="pct"/>
                  <w:tcBorders>
                    <w:tl2br w:val="nil"/>
                    <w:tr2bl w:val="nil"/>
                  </w:tcBorders>
                  <w:shd w:val="clear" w:color="auto" w:fill="auto"/>
                  <w:vAlign w:val="center"/>
                </w:tcPr>
                <w:p w14:paraId="5CF149CE">
                  <w:pPr>
                    <w:pStyle w:val="41"/>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color w:val="auto"/>
                      <w:sz w:val="20"/>
                      <w:szCs w:val="20"/>
                      <w:highlight w:val="none"/>
                      <w:lang w:eastAsia="zh-CN"/>
                    </w:rPr>
                    <w:t>间歇</w:t>
                  </w:r>
                </w:p>
              </w:tc>
            </w:tr>
            <w:tr w14:paraId="5B5B1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1" w:type="pct"/>
                  <w:vMerge w:val="continue"/>
                  <w:tcBorders>
                    <w:tl2br w:val="nil"/>
                    <w:tr2bl w:val="nil"/>
                  </w:tcBorders>
                  <w:vAlign w:val="center"/>
                </w:tcPr>
                <w:p w14:paraId="78C134F7">
                  <w:pPr>
                    <w:pStyle w:val="41"/>
                    <w:rPr>
                      <w:rFonts w:hint="default" w:ascii="Times New Roman" w:hAnsi="Times New Roman" w:eastAsia="宋体" w:cs="Times New Roman"/>
                      <w:color w:val="auto"/>
                      <w:sz w:val="20"/>
                      <w:szCs w:val="20"/>
                      <w:highlight w:val="none"/>
                      <w:lang w:eastAsia="zh-CN"/>
                    </w:rPr>
                  </w:pPr>
                </w:p>
              </w:tc>
              <w:tc>
                <w:tcPr>
                  <w:tcW w:w="401" w:type="pct"/>
                  <w:tcBorders>
                    <w:tl2br w:val="nil"/>
                    <w:tr2bl w:val="nil"/>
                  </w:tcBorders>
                  <w:shd w:val="clear" w:color="auto" w:fill="auto"/>
                  <w:vAlign w:val="center"/>
                </w:tcPr>
                <w:p w14:paraId="357319B8">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kern w:val="2"/>
                      <w:sz w:val="20"/>
                      <w:szCs w:val="20"/>
                      <w:highlight w:val="none"/>
                      <w:lang w:val="en-US" w:eastAsia="zh-CN" w:bidi="ar-SA"/>
                    </w:rPr>
                    <w:t>S5</w:t>
                  </w:r>
                </w:p>
              </w:tc>
              <w:tc>
                <w:tcPr>
                  <w:tcW w:w="1009" w:type="pct"/>
                  <w:tcBorders>
                    <w:tl2br w:val="nil"/>
                    <w:tr2bl w:val="nil"/>
                  </w:tcBorders>
                  <w:shd w:val="clear" w:color="auto" w:fill="auto"/>
                  <w:vAlign w:val="center"/>
                </w:tcPr>
                <w:p w14:paraId="351226B0">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kern w:val="2"/>
                      <w:sz w:val="20"/>
                      <w:szCs w:val="20"/>
                      <w:highlight w:val="none"/>
                      <w:lang w:val="en-US" w:eastAsia="zh-CN" w:bidi="ar-SA"/>
                    </w:rPr>
                    <w:t>焊接过程</w:t>
                  </w:r>
                </w:p>
              </w:tc>
              <w:tc>
                <w:tcPr>
                  <w:tcW w:w="1151" w:type="pct"/>
                  <w:tcBorders>
                    <w:tl2br w:val="nil"/>
                    <w:tr2bl w:val="nil"/>
                  </w:tcBorders>
                  <w:shd w:val="clear" w:color="auto" w:fill="auto"/>
                  <w:vAlign w:val="center"/>
                </w:tcPr>
                <w:p w14:paraId="2571E9C8">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kern w:val="2"/>
                      <w:sz w:val="20"/>
                      <w:szCs w:val="20"/>
                      <w:highlight w:val="none"/>
                      <w:lang w:val="en-US" w:eastAsia="zh-CN" w:bidi="ar-SA"/>
                    </w:rPr>
                    <w:t>焊渣</w:t>
                  </w:r>
                </w:p>
              </w:tc>
              <w:tc>
                <w:tcPr>
                  <w:tcW w:w="1668" w:type="pct"/>
                  <w:tcBorders>
                    <w:tl2br w:val="nil"/>
                    <w:tr2bl w:val="nil"/>
                  </w:tcBorders>
                  <w:shd w:val="clear" w:color="auto" w:fill="auto"/>
                  <w:vAlign w:val="center"/>
                </w:tcPr>
                <w:p w14:paraId="49839CAD">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kern w:val="2"/>
                      <w:sz w:val="20"/>
                      <w:szCs w:val="20"/>
                      <w:highlight w:val="none"/>
                      <w:lang w:val="en-US" w:eastAsia="zh-CN" w:bidi="ar-SA"/>
                    </w:rPr>
                    <w:t>焊渣</w:t>
                  </w:r>
                </w:p>
              </w:tc>
              <w:tc>
                <w:tcPr>
                  <w:tcW w:w="369" w:type="pct"/>
                  <w:tcBorders>
                    <w:tl2br w:val="nil"/>
                    <w:tr2bl w:val="nil"/>
                  </w:tcBorders>
                  <w:shd w:val="clear" w:color="auto" w:fill="auto"/>
                  <w:vAlign w:val="center"/>
                </w:tcPr>
                <w:p w14:paraId="4D1FD27A">
                  <w:pPr>
                    <w:pStyle w:val="41"/>
                    <w:rPr>
                      <w:rFonts w:hint="default" w:ascii="Times New Roman" w:hAnsi="Times New Roman" w:eastAsia="宋体" w:cs="Times New Roman"/>
                      <w:color w:val="auto"/>
                      <w:kern w:val="2"/>
                      <w:sz w:val="20"/>
                      <w:szCs w:val="20"/>
                      <w:highlight w:val="none"/>
                      <w:lang w:val="en-US" w:eastAsia="zh-CN" w:bidi="ar-SA"/>
                    </w:rPr>
                  </w:pPr>
                  <w:r>
                    <w:rPr>
                      <w:rFonts w:hint="eastAsia" w:ascii="Times New Roman" w:hAnsi="Times New Roman" w:cs="Times New Roman"/>
                      <w:color w:val="auto"/>
                      <w:kern w:val="2"/>
                      <w:sz w:val="20"/>
                      <w:szCs w:val="20"/>
                      <w:highlight w:val="none"/>
                      <w:lang w:val="en-US" w:eastAsia="zh-CN" w:bidi="ar-SA"/>
                    </w:rPr>
                    <w:t>间歇</w:t>
                  </w:r>
                </w:p>
              </w:tc>
            </w:tr>
            <w:tr w14:paraId="5E5B2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1" w:type="pct"/>
                  <w:vMerge w:val="continue"/>
                  <w:tcBorders>
                    <w:tl2br w:val="nil"/>
                    <w:tr2bl w:val="nil"/>
                  </w:tcBorders>
                  <w:vAlign w:val="center"/>
                </w:tcPr>
                <w:p w14:paraId="33D97064">
                  <w:pPr>
                    <w:pStyle w:val="41"/>
                    <w:rPr>
                      <w:rFonts w:hint="default" w:ascii="Times New Roman" w:hAnsi="Times New Roman" w:eastAsia="宋体" w:cs="Times New Roman"/>
                      <w:color w:val="auto"/>
                      <w:sz w:val="20"/>
                      <w:szCs w:val="20"/>
                      <w:highlight w:val="none"/>
                      <w:lang w:eastAsia="zh-CN"/>
                    </w:rPr>
                  </w:pPr>
                </w:p>
              </w:tc>
              <w:tc>
                <w:tcPr>
                  <w:tcW w:w="401" w:type="pct"/>
                  <w:tcBorders>
                    <w:tl2br w:val="nil"/>
                    <w:tr2bl w:val="nil"/>
                  </w:tcBorders>
                  <w:shd w:val="clear" w:color="auto" w:fill="auto"/>
                  <w:vAlign w:val="center"/>
                </w:tcPr>
                <w:p w14:paraId="3D4DFEAA">
                  <w:pPr>
                    <w:pStyle w:val="41"/>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color w:val="auto"/>
                      <w:sz w:val="20"/>
                      <w:szCs w:val="20"/>
                      <w:highlight w:val="none"/>
                      <w:lang w:eastAsia="zh-CN"/>
                    </w:rPr>
                    <w:t>S</w:t>
                  </w:r>
                  <w:r>
                    <w:rPr>
                      <w:rFonts w:hint="eastAsia" w:ascii="Times New Roman" w:hAnsi="Times New Roman" w:cs="Times New Roman"/>
                      <w:color w:val="auto"/>
                      <w:sz w:val="20"/>
                      <w:szCs w:val="20"/>
                      <w:highlight w:val="none"/>
                      <w:lang w:val="en-US" w:eastAsia="zh-CN"/>
                    </w:rPr>
                    <w:t>7</w:t>
                  </w:r>
                </w:p>
              </w:tc>
              <w:tc>
                <w:tcPr>
                  <w:tcW w:w="1009" w:type="pct"/>
                  <w:tcBorders>
                    <w:tl2br w:val="nil"/>
                    <w:tr2bl w:val="nil"/>
                  </w:tcBorders>
                  <w:shd w:val="clear" w:color="auto" w:fill="auto"/>
                  <w:vAlign w:val="center"/>
                </w:tcPr>
                <w:p w14:paraId="40A48C94">
                  <w:pPr>
                    <w:pStyle w:val="41"/>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color w:val="auto"/>
                      <w:sz w:val="20"/>
                      <w:szCs w:val="20"/>
                      <w:highlight w:val="none"/>
                      <w:lang w:eastAsia="zh-CN"/>
                    </w:rPr>
                    <w:t>生产过程</w:t>
                  </w:r>
                </w:p>
              </w:tc>
              <w:tc>
                <w:tcPr>
                  <w:tcW w:w="1151" w:type="pct"/>
                  <w:tcBorders>
                    <w:tl2br w:val="nil"/>
                    <w:tr2bl w:val="nil"/>
                  </w:tcBorders>
                  <w:shd w:val="clear" w:color="auto" w:fill="auto"/>
                  <w:vAlign w:val="center"/>
                </w:tcPr>
                <w:p w14:paraId="3D0E7866">
                  <w:pPr>
                    <w:pStyle w:val="41"/>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color w:val="auto"/>
                      <w:sz w:val="20"/>
                      <w:szCs w:val="20"/>
                      <w:highlight w:val="none"/>
                      <w:lang w:eastAsia="zh-CN"/>
                    </w:rPr>
                    <w:t>废包装材料</w:t>
                  </w:r>
                </w:p>
              </w:tc>
              <w:tc>
                <w:tcPr>
                  <w:tcW w:w="1668" w:type="pct"/>
                  <w:tcBorders>
                    <w:tl2br w:val="nil"/>
                    <w:tr2bl w:val="nil"/>
                  </w:tcBorders>
                  <w:shd w:val="clear" w:color="auto" w:fill="auto"/>
                  <w:vAlign w:val="center"/>
                </w:tcPr>
                <w:p w14:paraId="21390C09">
                  <w:pPr>
                    <w:pStyle w:val="41"/>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color w:val="auto"/>
                      <w:sz w:val="20"/>
                      <w:szCs w:val="20"/>
                      <w:highlight w:val="none"/>
                      <w:lang w:eastAsia="zh-CN"/>
                    </w:rPr>
                    <w:t>废塑料、纸箱等</w:t>
                  </w:r>
                </w:p>
              </w:tc>
              <w:tc>
                <w:tcPr>
                  <w:tcW w:w="369" w:type="pct"/>
                  <w:tcBorders>
                    <w:tl2br w:val="nil"/>
                    <w:tr2bl w:val="nil"/>
                  </w:tcBorders>
                  <w:shd w:val="clear" w:color="auto" w:fill="auto"/>
                  <w:vAlign w:val="center"/>
                </w:tcPr>
                <w:p w14:paraId="0E36834B">
                  <w:pPr>
                    <w:pStyle w:val="41"/>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color w:val="auto"/>
                      <w:sz w:val="20"/>
                      <w:szCs w:val="20"/>
                      <w:highlight w:val="none"/>
                      <w:lang w:eastAsia="zh-CN"/>
                    </w:rPr>
                    <w:t>间歇</w:t>
                  </w:r>
                </w:p>
              </w:tc>
            </w:tr>
            <w:tr w14:paraId="2AD7E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1" w:type="pct"/>
                  <w:vMerge w:val="continue"/>
                  <w:tcBorders>
                    <w:tl2br w:val="nil"/>
                    <w:tr2bl w:val="nil"/>
                  </w:tcBorders>
                  <w:vAlign w:val="center"/>
                </w:tcPr>
                <w:p w14:paraId="26C0BE30">
                  <w:pPr>
                    <w:pStyle w:val="41"/>
                    <w:rPr>
                      <w:rFonts w:hint="default" w:ascii="Times New Roman" w:hAnsi="Times New Roman" w:eastAsia="宋体" w:cs="Times New Roman"/>
                      <w:color w:val="auto"/>
                      <w:sz w:val="20"/>
                      <w:szCs w:val="20"/>
                      <w:highlight w:val="none"/>
                      <w:lang w:eastAsia="zh-CN"/>
                    </w:rPr>
                  </w:pPr>
                </w:p>
              </w:tc>
              <w:tc>
                <w:tcPr>
                  <w:tcW w:w="401" w:type="pct"/>
                  <w:tcBorders>
                    <w:tl2br w:val="nil"/>
                    <w:tr2bl w:val="nil"/>
                  </w:tcBorders>
                  <w:shd w:val="clear" w:color="auto" w:fill="auto"/>
                  <w:vAlign w:val="center"/>
                </w:tcPr>
                <w:p w14:paraId="4A246225">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S</w:t>
                  </w:r>
                  <w:r>
                    <w:rPr>
                      <w:rFonts w:hint="eastAsia" w:ascii="Times New Roman" w:hAnsi="Times New Roman" w:cs="Times New Roman"/>
                      <w:color w:val="auto"/>
                      <w:sz w:val="20"/>
                      <w:szCs w:val="20"/>
                      <w:highlight w:val="none"/>
                      <w:lang w:val="en-US" w:eastAsia="zh-CN"/>
                    </w:rPr>
                    <w:t>5</w:t>
                  </w:r>
                </w:p>
              </w:tc>
              <w:tc>
                <w:tcPr>
                  <w:tcW w:w="1009" w:type="pct"/>
                  <w:vMerge w:val="restart"/>
                  <w:tcBorders>
                    <w:tl2br w:val="nil"/>
                    <w:tr2bl w:val="nil"/>
                  </w:tcBorders>
                  <w:shd w:val="clear" w:color="auto" w:fill="auto"/>
                  <w:vAlign w:val="center"/>
                </w:tcPr>
                <w:p w14:paraId="5E50E51D">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设备维护与检修</w:t>
                  </w:r>
                </w:p>
              </w:tc>
              <w:tc>
                <w:tcPr>
                  <w:tcW w:w="1151" w:type="pct"/>
                  <w:tcBorders>
                    <w:tl2br w:val="nil"/>
                    <w:tr2bl w:val="nil"/>
                  </w:tcBorders>
                  <w:shd w:val="clear" w:color="auto" w:fill="auto"/>
                  <w:vAlign w:val="center"/>
                </w:tcPr>
                <w:p w14:paraId="372E3C89">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废矿物油</w:t>
                  </w:r>
                </w:p>
              </w:tc>
              <w:tc>
                <w:tcPr>
                  <w:tcW w:w="1668" w:type="pct"/>
                  <w:tcBorders>
                    <w:tl2br w:val="nil"/>
                    <w:tr2bl w:val="nil"/>
                  </w:tcBorders>
                  <w:shd w:val="clear" w:color="auto" w:fill="auto"/>
                  <w:vAlign w:val="center"/>
                </w:tcPr>
                <w:p w14:paraId="544BA5C4">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矿物油</w:t>
                  </w:r>
                </w:p>
              </w:tc>
              <w:tc>
                <w:tcPr>
                  <w:tcW w:w="369" w:type="pct"/>
                  <w:tcBorders>
                    <w:tl2br w:val="nil"/>
                    <w:tr2bl w:val="nil"/>
                  </w:tcBorders>
                  <w:shd w:val="clear" w:color="auto" w:fill="auto"/>
                  <w:vAlign w:val="center"/>
                </w:tcPr>
                <w:p w14:paraId="75FB7D07">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间歇</w:t>
                  </w:r>
                </w:p>
              </w:tc>
            </w:tr>
            <w:tr w14:paraId="07248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1" w:type="pct"/>
                  <w:vMerge w:val="continue"/>
                  <w:tcBorders>
                    <w:tl2br w:val="nil"/>
                    <w:tr2bl w:val="nil"/>
                  </w:tcBorders>
                  <w:vAlign w:val="center"/>
                </w:tcPr>
                <w:p w14:paraId="30090099">
                  <w:pPr>
                    <w:pStyle w:val="41"/>
                    <w:rPr>
                      <w:rFonts w:hint="default" w:ascii="Times New Roman" w:hAnsi="Times New Roman" w:eastAsia="宋体" w:cs="Times New Roman"/>
                      <w:color w:val="auto"/>
                      <w:sz w:val="20"/>
                      <w:szCs w:val="20"/>
                      <w:highlight w:val="none"/>
                      <w:lang w:eastAsia="zh-CN"/>
                    </w:rPr>
                  </w:pPr>
                </w:p>
              </w:tc>
              <w:tc>
                <w:tcPr>
                  <w:tcW w:w="401" w:type="pct"/>
                  <w:tcBorders>
                    <w:tl2br w:val="nil"/>
                    <w:tr2bl w:val="nil"/>
                  </w:tcBorders>
                  <w:shd w:val="clear" w:color="auto" w:fill="auto"/>
                  <w:vAlign w:val="center"/>
                </w:tcPr>
                <w:p w14:paraId="33F534D6">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S</w:t>
                  </w:r>
                  <w:r>
                    <w:rPr>
                      <w:rFonts w:hint="eastAsia" w:ascii="Times New Roman" w:hAnsi="Times New Roman" w:cs="Times New Roman"/>
                      <w:color w:val="auto"/>
                      <w:sz w:val="20"/>
                      <w:szCs w:val="20"/>
                      <w:highlight w:val="none"/>
                      <w:lang w:val="en-US" w:eastAsia="zh-CN"/>
                    </w:rPr>
                    <w:t>6</w:t>
                  </w:r>
                </w:p>
              </w:tc>
              <w:tc>
                <w:tcPr>
                  <w:tcW w:w="1009" w:type="pct"/>
                  <w:vMerge w:val="continue"/>
                  <w:tcBorders>
                    <w:tl2br w:val="nil"/>
                    <w:tr2bl w:val="nil"/>
                  </w:tcBorders>
                  <w:shd w:val="clear" w:color="auto" w:fill="auto"/>
                  <w:vAlign w:val="center"/>
                </w:tcPr>
                <w:p w14:paraId="7CBF07F9">
                  <w:pPr>
                    <w:pStyle w:val="41"/>
                    <w:rPr>
                      <w:rFonts w:hint="default" w:ascii="Times New Roman" w:hAnsi="Times New Roman" w:eastAsia="宋体" w:cs="Times New Roman"/>
                      <w:color w:val="auto"/>
                      <w:sz w:val="20"/>
                      <w:szCs w:val="20"/>
                      <w:highlight w:val="none"/>
                      <w:lang w:eastAsia="zh-CN"/>
                    </w:rPr>
                  </w:pPr>
                </w:p>
              </w:tc>
              <w:tc>
                <w:tcPr>
                  <w:tcW w:w="1151" w:type="pct"/>
                  <w:tcBorders>
                    <w:tl2br w:val="nil"/>
                    <w:tr2bl w:val="nil"/>
                  </w:tcBorders>
                  <w:shd w:val="clear" w:color="auto" w:fill="auto"/>
                  <w:vAlign w:val="center"/>
                </w:tcPr>
                <w:p w14:paraId="3F196EFB">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废矿物油桶</w:t>
                  </w:r>
                </w:p>
              </w:tc>
              <w:tc>
                <w:tcPr>
                  <w:tcW w:w="1668" w:type="pct"/>
                  <w:tcBorders>
                    <w:tl2br w:val="nil"/>
                    <w:tr2bl w:val="nil"/>
                  </w:tcBorders>
                  <w:shd w:val="clear" w:color="auto" w:fill="auto"/>
                  <w:vAlign w:val="center"/>
                </w:tcPr>
                <w:p w14:paraId="28BA8B71">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沾染矿物油</w:t>
                  </w:r>
                </w:p>
              </w:tc>
              <w:tc>
                <w:tcPr>
                  <w:tcW w:w="369" w:type="pct"/>
                  <w:tcBorders>
                    <w:tl2br w:val="nil"/>
                    <w:tr2bl w:val="nil"/>
                  </w:tcBorders>
                  <w:shd w:val="clear" w:color="auto" w:fill="auto"/>
                  <w:vAlign w:val="center"/>
                </w:tcPr>
                <w:p w14:paraId="6799A3E0">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间歇</w:t>
                  </w:r>
                </w:p>
              </w:tc>
            </w:tr>
            <w:tr w14:paraId="2ADB3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1" w:type="pct"/>
                  <w:vMerge w:val="continue"/>
                  <w:tcBorders>
                    <w:tl2br w:val="nil"/>
                    <w:tr2bl w:val="nil"/>
                  </w:tcBorders>
                  <w:vAlign w:val="center"/>
                </w:tcPr>
                <w:p w14:paraId="41C26555">
                  <w:pPr>
                    <w:pStyle w:val="41"/>
                    <w:rPr>
                      <w:rFonts w:hint="default" w:ascii="Times New Roman" w:hAnsi="Times New Roman" w:eastAsia="宋体" w:cs="Times New Roman"/>
                      <w:color w:val="auto"/>
                      <w:sz w:val="20"/>
                      <w:szCs w:val="20"/>
                      <w:highlight w:val="none"/>
                      <w:lang w:eastAsia="zh-CN"/>
                    </w:rPr>
                  </w:pPr>
                </w:p>
              </w:tc>
              <w:tc>
                <w:tcPr>
                  <w:tcW w:w="401" w:type="pct"/>
                  <w:tcBorders>
                    <w:tl2br w:val="nil"/>
                    <w:tr2bl w:val="nil"/>
                  </w:tcBorders>
                  <w:shd w:val="clear" w:color="auto" w:fill="auto"/>
                  <w:vAlign w:val="center"/>
                </w:tcPr>
                <w:p w14:paraId="0D5C57BE">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S</w:t>
                  </w:r>
                  <w:r>
                    <w:rPr>
                      <w:rFonts w:hint="eastAsia" w:ascii="Times New Roman" w:hAnsi="Times New Roman" w:cs="Times New Roman"/>
                      <w:color w:val="auto"/>
                      <w:sz w:val="20"/>
                      <w:szCs w:val="20"/>
                      <w:highlight w:val="none"/>
                      <w:lang w:val="en-US" w:eastAsia="zh-CN"/>
                    </w:rPr>
                    <w:t>7</w:t>
                  </w:r>
                </w:p>
              </w:tc>
              <w:tc>
                <w:tcPr>
                  <w:tcW w:w="1009" w:type="pct"/>
                  <w:tcBorders>
                    <w:tl2br w:val="nil"/>
                    <w:tr2bl w:val="nil"/>
                  </w:tcBorders>
                  <w:shd w:val="clear" w:color="auto" w:fill="auto"/>
                  <w:vAlign w:val="center"/>
                </w:tcPr>
                <w:p w14:paraId="7F9A03EE">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废气治理</w:t>
                  </w:r>
                </w:p>
              </w:tc>
              <w:tc>
                <w:tcPr>
                  <w:tcW w:w="1151" w:type="pct"/>
                  <w:tcBorders>
                    <w:tl2br w:val="nil"/>
                    <w:tr2bl w:val="nil"/>
                  </w:tcBorders>
                  <w:shd w:val="clear" w:color="auto" w:fill="auto"/>
                  <w:vAlign w:val="center"/>
                </w:tcPr>
                <w:p w14:paraId="6CE30270">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废活性炭</w:t>
                  </w:r>
                </w:p>
              </w:tc>
              <w:tc>
                <w:tcPr>
                  <w:tcW w:w="1668" w:type="pct"/>
                  <w:tcBorders>
                    <w:tl2br w:val="nil"/>
                    <w:tr2bl w:val="nil"/>
                  </w:tcBorders>
                  <w:shd w:val="clear" w:color="auto" w:fill="auto"/>
                  <w:vAlign w:val="center"/>
                </w:tcPr>
                <w:p w14:paraId="3D9D08FE">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活性炭及吸附有机物</w:t>
                  </w:r>
                </w:p>
              </w:tc>
              <w:tc>
                <w:tcPr>
                  <w:tcW w:w="369" w:type="pct"/>
                  <w:tcBorders>
                    <w:tl2br w:val="nil"/>
                    <w:tr2bl w:val="nil"/>
                  </w:tcBorders>
                  <w:shd w:val="clear" w:color="auto" w:fill="auto"/>
                  <w:vAlign w:val="center"/>
                </w:tcPr>
                <w:p w14:paraId="78352C85">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间歇</w:t>
                  </w:r>
                </w:p>
              </w:tc>
            </w:tr>
            <w:tr w14:paraId="497E1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1" w:type="pct"/>
                  <w:tcBorders>
                    <w:tl2br w:val="nil"/>
                    <w:tr2bl w:val="nil"/>
                  </w:tcBorders>
                  <w:shd w:val="clear" w:color="auto" w:fill="auto"/>
                  <w:vAlign w:val="center"/>
                </w:tcPr>
                <w:p w14:paraId="13169410">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噪声</w:t>
                  </w:r>
                </w:p>
              </w:tc>
              <w:tc>
                <w:tcPr>
                  <w:tcW w:w="401" w:type="pct"/>
                  <w:tcBorders>
                    <w:tl2br w:val="nil"/>
                    <w:tr2bl w:val="nil"/>
                  </w:tcBorders>
                  <w:shd w:val="clear" w:color="auto" w:fill="auto"/>
                  <w:vAlign w:val="center"/>
                </w:tcPr>
                <w:p w14:paraId="5D7D7C23">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N</w:t>
                  </w:r>
                </w:p>
              </w:tc>
              <w:tc>
                <w:tcPr>
                  <w:tcW w:w="3828" w:type="pct"/>
                  <w:gridSpan w:val="3"/>
                  <w:tcBorders>
                    <w:tl2br w:val="nil"/>
                    <w:tr2bl w:val="nil"/>
                  </w:tcBorders>
                  <w:shd w:val="clear" w:color="auto" w:fill="auto"/>
                  <w:vAlign w:val="center"/>
                </w:tcPr>
                <w:p w14:paraId="78881508">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cs="Times New Roman"/>
                      <w:color w:val="auto"/>
                      <w:sz w:val="20"/>
                      <w:szCs w:val="20"/>
                      <w:highlight w:val="none"/>
                      <w:lang w:eastAsia="zh-CN"/>
                    </w:rPr>
                    <w:t>生产线设备及</w:t>
                  </w:r>
                  <w:r>
                    <w:rPr>
                      <w:rFonts w:hint="default" w:ascii="Times New Roman" w:hAnsi="Times New Roman" w:eastAsia="宋体" w:cs="Times New Roman"/>
                      <w:color w:val="auto"/>
                      <w:sz w:val="20"/>
                      <w:szCs w:val="20"/>
                      <w:highlight w:val="none"/>
                      <w:lang w:eastAsia="zh-CN"/>
                    </w:rPr>
                    <w:t>风机、空压机、泵类等设备</w:t>
                  </w:r>
                </w:p>
              </w:tc>
              <w:tc>
                <w:tcPr>
                  <w:tcW w:w="369" w:type="pct"/>
                  <w:tcBorders>
                    <w:tl2br w:val="nil"/>
                    <w:tr2bl w:val="nil"/>
                  </w:tcBorders>
                  <w:shd w:val="clear" w:color="auto" w:fill="auto"/>
                  <w:vAlign w:val="center"/>
                </w:tcPr>
                <w:p w14:paraId="1A60F429">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连续</w:t>
                  </w:r>
                </w:p>
              </w:tc>
            </w:tr>
          </w:tbl>
          <w:p w14:paraId="5C5F89D2">
            <w:pPr>
              <w:pStyle w:val="38"/>
              <w:rPr>
                <w:rFonts w:hint="eastAsia" w:cs="Times New Roman"/>
                <w:color w:val="auto"/>
                <w:highlight w:val="none"/>
                <w:lang w:eastAsia="zh-CN"/>
              </w:rPr>
            </w:pPr>
          </w:p>
          <w:p w14:paraId="04984DC0">
            <w:pPr>
              <w:pStyle w:val="38"/>
              <w:rPr>
                <w:rFonts w:hint="eastAsia" w:cs="Times New Roman"/>
                <w:color w:val="auto"/>
                <w:highlight w:val="none"/>
                <w:lang w:eastAsia="zh-CN"/>
              </w:rPr>
            </w:pPr>
          </w:p>
          <w:p w14:paraId="2FE5CDE2">
            <w:pPr>
              <w:pStyle w:val="38"/>
              <w:rPr>
                <w:rFonts w:hint="eastAsia" w:cs="Times New Roman"/>
                <w:color w:val="auto"/>
                <w:highlight w:val="none"/>
                <w:lang w:eastAsia="zh-CN"/>
              </w:rPr>
            </w:pPr>
          </w:p>
          <w:p w14:paraId="556B3582">
            <w:pPr>
              <w:pStyle w:val="38"/>
              <w:rPr>
                <w:rFonts w:hint="eastAsia" w:cs="Times New Roman"/>
                <w:color w:val="auto"/>
                <w:highlight w:val="none"/>
                <w:lang w:eastAsia="zh-CN"/>
              </w:rPr>
            </w:pPr>
          </w:p>
          <w:p w14:paraId="2A6AAAF2">
            <w:pPr>
              <w:pStyle w:val="38"/>
              <w:rPr>
                <w:rFonts w:hint="eastAsia" w:cs="Times New Roman"/>
                <w:color w:val="auto"/>
                <w:highlight w:val="none"/>
                <w:lang w:eastAsia="zh-CN"/>
              </w:rPr>
            </w:pPr>
          </w:p>
          <w:p w14:paraId="0BE23A89">
            <w:pPr>
              <w:pStyle w:val="38"/>
              <w:rPr>
                <w:rFonts w:hint="eastAsia" w:cs="Times New Roman"/>
                <w:color w:val="auto"/>
                <w:highlight w:val="none"/>
                <w:lang w:eastAsia="zh-CN"/>
              </w:rPr>
            </w:pPr>
          </w:p>
          <w:p w14:paraId="33549072">
            <w:pPr>
              <w:pStyle w:val="38"/>
              <w:rPr>
                <w:rFonts w:hint="eastAsia" w:cs="Times New Roman"/>
                <w:color w:val="auto"/>
                <w:highlight w:val="none"/>
                <w:lang w:eastAsia="zh-CN"/>
              </w:rPr>
            </w:pPr>
          </w:p>
          <w:p w14:paraId="00373BB8">
            <w:pPr>
              <w:pStyle w:val="38"/>
              <w:rPr>
                <w:rFonts w:hint="eastAsia" w:ascii="Times New Roman" w:hAnsi="Times New Roman" w:eastAsia="宋体" w:cs="Times New Roman"/>
                <w:color w:val="auto"/>
                <w:highlight w:val="none"/>
                <w:lang w:eastAsia="zh-CN"/>
              </w:rPr>
            </w:pPr>
          </w:p>
          <w:p w14:paraId="5B4C8626">
            <w:pPr>
              <w:pStyle w:val="63"/>
              <w:widowControl w:val="0"/>
              <w:jc w:val="both"/>
              <w:rPr>
                <w:rFonts w:hint="default" w:ascii="Times New Roman" w:hAnsi="Times New Roman" w:cs="Times New Roman"/>
                <w:color w:val="auto"/>
                <w:highlight w:val="none"/>
              </w:rPr>
            </w:pPr>
          </w:p>
        </w:tc>
      </w:tr>
      <w:tr w14:paraId="18413C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441" w:type="dxa"/>
            <w:vAlign w:val="center"/>
          </w:tcPr>
          <w:p w14:paraId="08D89FA8">
            <w:pPr>
              <w:adjustRightInd w:val="0"/>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与项目有关的原有环境污染问题</w:t>
            </w:r>
          </w:p>
        </w:tc>
        <w:tc>
          <w:tcPr>
            <w:tcW w:w="8951" w:type="dxa"/>
          </w:tcPr>
          <w:p w14:paraId="25D8A9D3">
            <w:pPr>
              <w:pStyle w:val="38"/>
              <w:bidi w:val="0"/>
              <w:rPr>
                <w:rFonts w:hint="eastAsia" w:eastAsia="宋体"/>
                <w:color w:val="auto"/>
                <w:highlight w:val="none"/>
                <w:lang w:eastAsia="zh-CN"/>
              </w:rPr>
            </w:pPr>
            <w:r>
              <w:rPr>
                <w:rFonts w:hint="eastAsia"/>
                <w:color w:val="auto"/>
                <w:highlight w:val="none"/>
              </w:rPr>
              <w:t>本项目为新建项目，建设地点位于</w:t>
            </w:r>
            <w:r>
              <w:rPr>
                <w:rFonts w:hint="eastAsia" w:ascii="宋体" w:hAnsi="宋体" w:cs="Times New Roman"/>
                <w:color w:val="auto"/>
                <w:sz w:val="21"/>
                <w:szCs w:val="21"/>
                <w:highlight w:val="none"/>
                <w:lang w:eastAsia="zh-CN"/>
              </w:rPr>
              <w:t>山东省淄博市淄博经济开发区傅家镇双杨管区天津路与梁牛路路口西150米路北院内东侧第二间车间</w:t>
            </w:r>
            <w:r>
              <w:rPr>
                <w:rFonts w:hint="eastAsia"/>
                <w:color w:val="auto"/>
                <w:highlight w:val="none"/>
              </w:rPr>
              <w:t>，地理坐标为：E</w:t>
            </w:r>
            <w:r>
              <w:rPr>
                <w:rFonts w:hint="default" w:ascii="宋体" w:hAnsi="宋体" w:eastAsia="宋体" w:cs="Times New Roman"/>
                <w:color w:val="auto"/>
                <w:szCs w:val="21"/>
                <w:highlight w:val="none"/>
                <w:lang w:val="en-US" w:eastAsia="zh-CN"/>
              </w:rPr>
              <w:t>11</w:t>
            </w:r>
            <w:r>
              <w:rPr>
                <w:rFonts w:hint="eastAsia" w:ascii="宋体" w:hAnsi="宋体" w:cs="Times New Roman"/>
                <w:color w:val="auto"/>
                <w:szCs w:val="21"/>
                <w:highlight w:val="none"/>
                <w:lang w:val="en-US" w:eastAsia="zh-CN"/>
              </w:rPr>
              <w:t>7</w:t>
            </w:r>
            <w:r>
              <w:rPr>
                <w:rFonts w:hint="default" w:ascii="宋体" w:hAnsi="宋体" w:eastAsia="宋体" w:cs="Times New Roman"/>
                <w:color w:val="auto"/>
                <w:szCs w:val="21"/>
                <w:highlight w:val="none"/>
                <w:lang w:val="en-US" w:eastAsia="zh-CN"/>
              </w:rPr>
              <w:t xml:space="preserve"> 度 </w:t>
            </w:r>
            <w:r>
              <w:rPr>
                <w:rFonts w:hint="eastAsia" w:ascii="宋体" w:hAnsi="宋体" w:cs="Times New Roman"/>
                <w:color w:val="auto"/>
                <w:szCs w:val="21"/>
                <w:highlight w:val="none"/>
                <w:lang w:val="en-US" w:eastAsia="zh-CN"/>
              </w:rPr>
              <w:t>58</w:t>
            </w:r>
            <w:r>
              <w:rPr>
                <w:rFonts w:hint="default" w:ascii="宋体" w:hAnsi="宋体" w:eastAsia="宋体" w:cs="Times New Roman"/>
                <w:color w:val="auto"/>
                <w:szCs w:val="21"/>
                <w:highlight w:val="none"/>
                <w:lang w:val="en-US" w:eastAsia="zh-CN"/>
              </w:rPr>
              <w:t xml:space="preserve"> 分</w:t>
            </w:r>
            <w:r>
              <w:rPr>
                <w:rFonts w:hint="eastAsia" w:ascii="宋体" w:hAnsi="宋体" w:cs="Times New Roman"/>
                <w:color w:val="auto"/>
                <w:szCs w:val="21"/>
                <w:highlight w:val="none"/>
                <w:lang w:val="en-US" w:eastAsia="zh-CN"/>
              </w:rPr>
              <w:t>4.638</w:t>
            </w:r>
            <w:r>
              <w:rPr>
                <w:rFonts w:hint="default" w:ascii="宋体" w:hAnsi="宋体" w:eastAsia="宋体" w:cs="Times New Roman"/>
                <w:color w:val="auto"/>
                <w:szCs w:val="21"/>
                <w:highlight w:val="none"/>
                <w:lang w:val="en-US" w:eastAsia="zh-CN"/>
              </w:rPr>
              <w:t xml:space="preserve"> 秒</w:t>
            </w:r>
            <w:r>
              <w:rPr>
                <w:rFonts w:hint="eastAsia"/>
                <w:color w:val="auto"/>
                <w:highlight w:val="none"/>
              </w:rPr>
              <w:t>，</w:t>
            </w:r>
            <w:r>
              <w:rPr>
                <w:rFonts w:hint="default"/>
                <w:color w:val="auto"/>
                <w:highlight w:val="none"/>
              </w:rPr>
              <w:t>N</w:t>
            </w:r>
            <w:r>
              <w:rPr>
                <w:rFonts w:hint="default" w:ascii="宋体" w:hAnsi="宋体" w:eastAsia="宋体" w:cs="Times New Roman"/>
                <w:color w:val="auto"/>
                <w:szCs w:val="21"/>
                <w:highlight w:val="none"/>
                <w:lang w:val="en-US" w:eastAsia="zh-CN"/>
              </w:rPr>
              <w:t xml:space="preserve">36 度 </w:t>
            </w:r>
            <w:r>
              <w:rPr>
                <w:rFonts w:hint="eastAsia" w:ascii="宋体" w:hAnsi="宋体" w:cs="Times New Roman"/>
                <w:color w:val="auto"/>
                <w:szCs w:val="21"/>
                <w:highlight w:val="none"/>
                <w:lang w:val="en-US" w:eastAsia="zh-CN"/>
              </w:rPr>
              <w:t>44</w:t>
            </w:r>
            <w:r>
              <w:rPr>
                <w:rFonts w:hint="default" w:ascii="宋体" w:hAnsi="宋体" w:eastAsia="宋体" w:cs="Times New Roman"/>
                <w:color w:val="auto"/>
                <w:szCs w:val="21"/>
                <w:highlight w:val="none"/>
                <w:lang w:val="en-US" w:eastAsia="zh-CN"/>
              </w:rPr>
              <w:t xml:space="preserve"> 分 </w:t>
            </w:r>
            <w:r>
              <w:rPr>
                <w:rFonts w:hint="eastAsia" w:ascii="宋体" w:hAnsi="宋体" w:cs="Times New Roman"/>
                <w:color w:val="auto"/>
                <w:szCs w:val="21"/>
                <w:highlight w:val="none"/>
                <w:lang w:val="en-US" w:eastAsia="zh-CN"/>
              </w:rPr>
              <w:t>33.760</w:t>
            </w:r>
            <w:r>
              <w:rPr>
                <w:rFonts w:hint="default" w:ascii="宋体" w:hAnsi="宋体" w:eastAsia="宋体" w:cs="Times New Roman"/>
                <w:color w:val="auto"/>
                <w:szCs w:val="21"/>
                <w:highlight w:val="none"/>
                <w:lang w:val="en-US" w:eastAsia="zh-CN"/>
              </w:rPr>
              <w:t xml:space="preserve"> 秒</w:t>
            </w:r>
            <w:r>
              <w:rPr>
                <w:rFonts w:hint="eastAsia"/>
                <w:color w:val="auto"/>
                <w:highlight w:val="none"/>
              </w:rPr>
              <w:t>。本项目利用</w:t>
            </w:r>
            <w:r>
              <w:rPr>
                <w:rFonts w:hint="eastAsia"/>
                <w:color w:val="auto"/>
                <w:highlight w:val="none"/>
                <w:lang w:eastAsia="zh-CN"/>
              </w:rPr>
              <w:t>现有</w:t>
            </w:r>
            <w:r>
              <w:rPr>
                <w:rFonts w:hint="eastAsia"/>
                <w:color w:val="auto"/>
                <w:highlight w:val="none"/>
              </w:rPr>
              <w:t>工业用地</w:t>
            </w:r>
            <w:r>
              <w:rPr>
                <w:rFonts w:hint="eastAsia"/>
                <w:color w:val="auto"/>
                <w:highlight w:val="none"/>
                <w:lang w:eastAsia="zh-CN"/>
              </w:rPr>
              <w:t>内空置车间</w:t>
            </w:r>
            <w:r>
              <w:rPr>
                <w:rFonts w:hint="eastAsia"/>
                <w:color w:val="auto"/>
                <w:highlight w:val="none"/>
              </w:rPr>
              <w:t>进行建设生产，区域内无重大污染源，区域环境质量较好，因此不存在</w:t>
            </w:r>
            <w:r>
              <w:rPr>
                <w:rFonts w:hint="eastAsia"/>
                <w:color w:val="auto"/>
                <w:highlight w:val="none"/>
                <w:lang w:eastAsia="zh-CN"/>
              </w:rPr>
              <w:t>与本项目有关的</w:t>
            </w:r>
            <w:r>
              <w:rPr>
                <w:rFonts w:hint="eastAsia"/>
                <w:color w:val="auto"/>
                <w:highlight w:val="none"/>
              </w:rPr>
              <w:t>原有污染问题</w:t>
            </w:r>
            <w:r>
              <w:rPr>
                <w:rFonts w:hint="eastAsia"/>
                <w:color w:val="auto"/>
                <w:highlight w:val="none"/>
                <w:lang w:eastAsia="zh-CN"/>
              </w:rPr>
              <w:t>。</w:t>
            </w:r>
          </w:p>
          <w:p w14:paraId="499AB1C8">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eastAsia" w:ascii="Times New Roman" w:hAnsi="Times New Roman" w:eastAsia="宋体" w:cs="宋体"/>
                <w:color w:val="FF0000"/>
                <w:kern w:val="0"/>
                <w:sz w:val="21"/>
                <w:szCs w:val="21"/>
                <w:highlight w:val="none"/>
                <w:lang w:val="en-US" w:eastAsia="zh-CN" w:bidi="ar-SA"/>
              </w:rPr>
            </w:pPr>
            <w:r>
              <w:rPr>
                <w:rFonts w:hint="eastAsia" w:ascii="Times New Roman" w:hAnsi="Times New Roman" w:eastAsia="宋体" w:cs="宋体"/>
                <w:color w:val="FF0000"/>
                <w:kern w:val="0"/>
                <w:sz w:val="21"/>
                <w:szCs w:val="21"/>
                <w:highlight w:val="none"/>
                <w:lang w:val="en-US" w:eastAsia="zh-CN" w:bidi="ar-SA"/>
              </w:rPr>
              <w:t>项目现状照片及周边情况见下图：</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18"/>
              <w:gridCol w:w="4119"/>
            </w:tblGrid>
            <w:tr w14:paraId="13629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8" w:type="dxa"/>
                  <w:noWrap w:val="0"/>
                  <w:vAlign w:val="center"/>
                </w:tcPr>
                <w:p w14:paraId="7CDFBB57">
                  <w:pPr>
                    <w:pStyle w:val="81"/>
                    <w:jc w:val="center"/>
                    <w:rPr>
                      <w:rFonts w:hint="default" w:ascii="Times New Roman" w:hAnsi="Times New Roman" w:eastAsia="宋体" w:cs="Times New Roman"/>
                      <w:b w:val="0"/>
                      <w:bCs/>
                      <w:color w:val="auto"/>
                      <w:sz w:val="21"/>
                      <w:szCs w:val="21"/>
                      <w:vertAlign w:val="baseline"/>
                      <w:lang w:val="en-US" w:eastAsia="zh-CN"/>
                    </w:rPr>
                  </w:pPr>
                  <w:r>
                    <w:drawing>
                      <wp:inline distT="0" distB="0" distL="114300" distR="114300">
                        <wp:extent cx="2047875" cy="2138680"/>
                        <wp:effectExtent l="0" t="0" r="9525" b="13970"/>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30"/>
                                <a:stretch>
                                  <a:fillRect/>
                                </a:stretch>
                              </pic:blipFill>
                              <pic:spPr>
                                <a:xfrm>
                                  <a:off x="0" y="0"/>
                                  <a:ext cx="2047875" cy="2138680"/>
                                </a:xfrm>
                                <a:prstGeom prst="rect">
                                  <a:avLst/>
                                </a:prstGeom>
                                <a:noFill/>
                                <a:ln>
                                  <a:noFill/>
                                </a:ln>
                              </pic:spPr>
                            </pic:pic>
                          </a:graphicData>
                        </a:graphic>
                      </wp:inline>
                    </w:drawing>
                  </w:r>
                </w:p>
              </w:tc>
              <w:tc>
                <w:tcPr>
                  <w:tcW w:w="4119" w:type="dxa"/>
                  <w:noWrap w:val="0"/>
                  <w:vAlign w:val="center"/>
                </w:tcPr>
                <w:p w14:paraId="3A7D44EE">
                  <w:pPr>
                    <w:pStyle w:val="81"/>
                    <w:jc w:val="center"/>
                    <w:rPr>
                      <w:rFonts w:hint="default" w:ascii="Times New Roman" w:hAnsi="Times New Roman" w:eastAsia="宋体" w:cs="Times New Roman"/>
                      <w:b w:val="0"/>
                      <w:bCs/>
                      <w:color w:val="auto"/>
                      <w:sz w:val="21"/>
                      <w:szCs w:val="21"/>
                      <w:vertAlign w:val="baseline"/>
                      <w:lang w:val="en-US" w:eastAsia="zh-CN"/>
                    </w:rPr>
                  </w:pPr>
                  <w:r>
                    <w:drawing>
                      <wp:inline distT="0" distB="0" distL="114300" distR="114300">
                        <wp:extent cx="2127250" cy="2075180"/>
                        <wp:effectExtent l="0" t="0" r="6350" b="1270"/>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31">
                                  <a:lum bright="12000"/>
                                </a:blip>
                                <a:stretch>
                                  <a:fillRect/>
                                </a:stretch>
                              </pic:blipFill>
                              <pic:spPr>
                                <a:xfrm>
                                  <a:off x="0" y="0"/>
                                  <a:ext cx="2127250" cy="2075180"/>
                                </a:xfrm>
                                <a:prstGeom prst="rect">
                                  <a:avLst/>
                                </a:prstGeom>
                                <a:noFill/>
                                <a:ln>
                                  <a:noFill/>
                                </a:ln>
                              </pic:spPr>
                            </pic:pic>
                          </a:graphicData>
                        </a:graphic>
                      </wp:inline>
                    </w:drawing>
                  </w:r>
                </w:p>
              </w:tc>
            </w:tr>
            <w:tr w14:paraId="17E08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8" w:type="dxa"/>
                  <w:noWrap w:val="0"/>
                  <w:vAlign w:val="center"/>
                </w:tcPr>
                <w:p w14:paraId="3DFB5BBB">
                  <w:pPr>
                    <w:pStyle w:val="81"/>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北侧</w:t>
                  </w:r>
                  <w:r>
                    <w:rPr>
                      <w:rFonts w:hint="eastAsia" w:ascii="Times New Roman" w:eastAsia="宋体" w:cs="Times New Roman"/>
                      <w:b w:val="0"/>
                      <w:bCs/>
                      <w:color w:val="auto"/>
                      <w:sz w:val="21"/>
                      <w:szCs w:val="21"/>
                      <w:vertAlign w:val="baseline"/>
                      <w:lang w:val="en-US" w:eastAsia="zh-CN"/>
                    </w:rPr>
                    <w:t>厂房及仓库</w:t>
                  </w:r>
                </w:p>
              </w:tc>
              <w:tc>
                <w:tcPr>
                  <w:tcW w:w="4119" w:type="dxa"/>
                  <w:noWrap w:val="0"/>
                  <w:vAlign w:val="center"/>
                </w:tcPr>
                <w:p w14:paraId="2825F7C8">
                  <w:pPr>
                    <w:pStyle w:val="81"/>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南侧</w:t>
                  </w:r>
                  <w:r>
                    <w:rPr>
                      <w:rFonts w:hint="eastAsia" w:ascii="Times New Roman" w:eastAsia="宋体" w:cs="Times New Roman"/>
                      <w:b w:val="0"/>
                      <w:bCs/>
                      <w:color w:val="auto"/>
                      <w:sz w:val="21"/>
                      <w:szCs w:val="21"/>
                      <w:vertAlign w:val="baseline"/>
                      <w:lang w:val="en-US" w:eastAsia="zh-CN"/>
                    </w:rPr>
                    <w:t>道路及厂房</w:t>
                  </w:r>
                </w:p>
              </w:tc>
            </w:tr>
            <w:tr w14:paraId="0BB20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8" w:type="dxa"/>
                  <w:noWrap w:val="0"/>
                  <w:vAlign w:val="center"/>
                </w:tcPr>
                <w:p w14:paraId="36D92BD3">
                  <w:pPr>
                    <w:pStyle w:val="81"/>
                    <w:jc w:val="center"/>
                    <w:rPr>
                      <w:rFonts w:hint="default" w:ascii="Times New Roman" w:hAnsi="Times New Roman" w:eastAsia="宋体" w:cs="Times New Roman"/>
                      <w:b w:val="0"/>
                      <w:bCs/>
                      <w:color w:val="auto"/>
                      <w:sz w:val="21"/>
                      <w:szCs w:val="21"/>
                      <w:vertAlign w:val="baseline"/>
                      <w:lang w:val="en-US" w:eastAsia="zh-CN"/>
                    </w:rPr>
                  </w:pPr>
                  <w:r>
                    <w:drawing>
                      <wp:inline distT="0" distB="0" distL="114300" distR="114300">
                        <wp:extent cx="2054860" cy="2165985"/>
                        <wp:effectExtent l="0" t="0" r="2540" b="5715"/>
                        <wp:docPr id="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0"/>
                                <pic:cNvPicPr>
                                  <a:picLocks noChangeAspect="1"/>
                                </pic:cNvPicPr>
                              </pic:nvPicPr>
                              <pic:blipFill>
                                <a:blip r:embed="rId32"/>
                                <a:stretch>
                                  <a:fillRect/>
                                </a:stretch>
                              </pic:blipFill>
                              <pic:spPr>
                                <a:xfrm>
                                  <a:off x="0" y="0"/>
                                  <a:ext cx="2054860" cy="2165985"/>
                                </a:xfrm>
                                <a:prstGeom prst="rect">
                                  <a:avLst/>
                                </a:prstGeom>
                                <a:noFill/>
                                <a:ln>
                                  <a:noFill/>
                                </a:ln>
                              </pic:spPr>
                            </pic:pic>
                          </a:graphicData>
                        </a:graphic>
                      </wp:inline>
                    </w:drawing>
                  </w:r>
                </w:p>
              </w:tc>
              <w:tc>
                <w:tcPr>
                  <w:tcW w:w="4119" w:type="dxa"/>
                  <w:noWrap w:val="0"/>
                  <w:vAlign w:val="center"/>
                </w:tcPr>
                <w:p w14:paraId="202F6D45">
                  <w:pPr>
                    <w:pStyle w:val="81"/>
                    <w:jc w:val="center"/>
                    <w:rPr>
                      <w:rFonts w:hint="default" w:ascii="Times New Roman" w:hAnsi="Times New Roman" w:eastAsia="宋体" w:cs="Times New Roman"/>
                      <w:b w:val="0"/>
                      <w:bCs/>
                      <w:color w:val="auto"/>
                      <w:sz w:val="21"/>
                      <w:szCs w:val="21"/>
                      <w:vertAlign w:val="baseline"/>
                      <w:lang w:val="en-US" w:eastAsia="zh-CN"/>
                    </w:rPr>
                  </w:pPr>
                  <w:r>
                    <w:drawing>
                      <wp:inline distT="0" distB="0" distL="114300" distR="114300">
                        <wp:extent cx="1929765" cy="2078990"/>
                        <wp:effectExtent l="0" t="0" r="13335" b="16510"/>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33">
                                  <a:lum bright="12000"/>
                                </a:blip>
                                <a:stretch>
                                  <a:fillRect/>
                                </a:stretch>
                              </pic:blipFill>
                              <pic:spPr>
                                <a:xfrm>
                                  <a:off x="0" y="0"/>
                                  <a:ext cx="1929765" cy="2078990"/>
                                </a:xfrm>
                                <a:prstGeom prst="rect">
                                  <a:avLst/>
                                </a:prstGeom>
                                <a:noFill/>
                                <a:ln>
                                  <a:noFill/>
                                </a:ln>
                              </pic:spPr>
                            </pic:pic>
                          </a:graphicData>
                        </a:graphic>
                      </wp:inline>
                    </w:drawing>
                  </w:r>
                </w:p>
              </w:tc>
            </w:tr>
            <w:tr w14:paraId="2B000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8" w:type="dxa"/>
                  <w:noWrap w:val="0"/>
                  <w:vAlign w:val="center"/>
                </w:tcPr>
                <w:p w14:paraId="1836E040">
                  <w:pPr>
                    <w:pStyle w:val="81"/>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东侧</w:t>
                  </w:r>
                  <w:r>
                    <w:rPr>
                      <w:rFonts w:hint="eastAsia" w:ascii="Times New Roman" w:eastAsia="宋体" w:cs="Times New Roman"/>
                      <w:b w:val="0"/>
                      <w:bCs/>
                      <w:color w:val="auto"/>
                      <w:sz w:val="21"/>
                      <w:szCs w:val="21"/>
                      <w:vertAlign w:val="baseline"/>
                      <w:lang w:val="en-US" w:eastAsia="zh-CN"/>
                    </w:rPr>
                    <w:t>仓库</w:t>
                  </w:r>
                </w:p>
              </w:tc>
              <w:tc>
                <w:tcPr>
                  <w:tcW w:w="4119" w:type="dxa"/>
                  <w:noWrap w:val="0"/>
                  <w:vAlign w:val="center"/>
                </w:tcPr>
                <w:p w14:paraId="77543930">
                  <w:pPr>
                    <w:pStyle w:val="81"/>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西侧</w:t>
                  </w:r>
                  <w:r>
                    <w:rPr>
                      <w:rFonts w:hint="eastAsia" w:ascii="Times New Roman" w:eastAsia="宋体" w:cs="Times New Roman"/>
                      <w:b w:val="0"/>
                      <w:bCs/>
                      <w:color w:val="auto"/>
                      <w:sz w:val="21"/>
                      <w:szCs w:val="21"/>
                      <w:vertAlign w:val="baseline"/>
                      <w:lang w:val="en-US" w:eastAsia="zh-CN"/>
                    </w:rPr>
                    <w:t>厂房</w:t>
                  </w:r>
                </w:p>
              </w:tc>
            </w:tr>
            <w:tr w14:paraId="1709D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37" w:type="dxa"/>
                  <w:gridSpan w:val="2"/>
                  <w:noWrap w:val="0"/>
                  <w:vAlign w:val="center"/>
                </w:tcPr>
                <w:p w14:paraId="1CA7DEE7">
                  <w:pPr>
                    <w:pStyle w:val="81"/>
                    <w:jc w:val="center"/>
                    <w:rPr>
                      <w:rFonts w:hint="default" w:ascii="Times New Roman" w:hAnsi="Times New Roman" w:eastAsia="宋体" w:cs="Times New Roman"/>
                      <w:b w:val="0"/>
                      <w:bCs/>
                      <w:color w:val="auto"/>
                      <w:sz w:val="21"/>
                      <w:szCs w:val="21"/>
                      <w:vertAlign w:val="baseline"/>
                      <w:lang w:val="en-US" w:eastAsia="zh-CN"/>
                    </w:rPr>
                  </w:pPr>
                  <w:r>
                    <w:drawing>
                      <wp:inline distT="0" distB="0" distL="114300" distR="114300">
                        <wp:extent cx="2214245" cy="2145030"/>
                        <wp:effectExtent l="0" t="0" r="14605" b="7620"/>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pic:cNvPicPr>
                                  <a:picLocks noChangeAspect="1"/>
                                </pic:cNvPicPr>
                              </pic:nvPicPr>
                              <pic:blipFill>
                                <a:blip r:embed="rId34"/>
                                <a:stretch>
                                  <a:fillRect/>
                                </a:stretch>
                              </pic:blipFill>
                              <pic:spPr>
                                <a:xfrm>
                                  <a:off x="0" y="0"/>
                                  <a:ext cx="2214245" cy="2145030"/>
                                </a:xfrm>
                                <a:prstGeom prst="rect">
                                  <a:avLst/>
                                </a:prstGeom>
                                <a:noFill/>
                                <a:ln>
                                  <a:noFill/>
                                </a:ln>
                              </pic:spPr>
                            </pic:pic>
                          </a:graphicData>
                        </a:graphic>
                      </wp:inline>
                    </w:drawing>
                  </w:r>
                </w:p>
              </w:tc>
            </w:tr>
            <w:tr w14:paraId="78BC4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37" w:type="dxa"/>
                  <w:gridSpan w:val="2"/>
                  <w:noWrap w:val="0"/>
                  <w:vAlign w:val="center"/>
                </w:tcPr>
                <w:p w14:paraId="38FF1CB3">
                  <w:pPr>
                    <w:pStyle w:val="81"/>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项目租赁车间</w:t>
                  </w:r>
                </w:p>
              </w:tc>
            </w:tr>
          </w:tbl>
          <w:p w14:paraId="7971A7DA">
            <w:pPr>
              <w:pStyle w:val="39"/>
              <w:bidi w:val="0"/>
              <w:rPr>
                <w:rFonts w:hint="default" w:ascii="Times New Roman" w:hAnsi="Times New Roman" w:cs="Times New Roman"/>
                <w:color w:val="auto"/>
                <w:highlight w:val="none"/>
              </w:rPr>
            </w:pPr>
            <w:r>
              <w:rPr>
                <w:rFonts w:hint="eastAsia" w:cs="Times New Roman"/>
                <w:color w:val="FF0000"/>
                <w:highlight w:val="none"/>
                <w:lang w:val="en-US" w:eastAsia="zh-CN"/>
              </w:rPr>
              <w:t>图4</w:t>
            </w:r>
            <w:r>
              <w:rPr>
                <w:rFonts w:hint="default" w:cs="Times New Roman"/>
                <w:color w:val="FF0000"/>
                <w:highlight w:val="none"/>
                <w:lang w:val="en-US" w:eastAsia="zh-CN"/>
              </w:rPr>
              <w:t xml:space="preserve">  </w:t>
            </w:r>
            <w:r>
              <w:rPr>
                <w:rFonts w:hint="eastAsia" w:cs="Times New Roman"/>
                <w:color w:val="FF0000"/>
                <w:highlight w:val="none"/>
                <w:lang w:val="en-US" w:eastAsia="zh-CN"/>
              </w:rPr>
              <w:t>项目现场照片及周边情况图</w:t>
            </w:r>
          </w:p>
        </w:tc>
      </w:tr>
    </w:tbl>
    <w:p w14:paraId="3E0481BA">
      <w:pPr>
        <w:rPr>
          <w:color w:val="auto"/>
          <w:highlight w:val="none"/>
        </w:rPr>
        <w:sectPr>
          <w:pgSz w:w="11906" w:h="16838"/>
          <w:pgMar w:top="1418" w:right="1247" w:bottom="1418" w:left="1247" w:header="851" w:footer="851" w:gutter="0"/>
          <w:pgBorders>
            <w:top w:val="none" w:sz="0" w:space="0"/>
            <w:left w:val="none" w:sz="0" w:space="0"/>
            <w:bottom w:val="none" w:sz="0" w:space="0"/>
            <w:right w:val="none" w:sz="0" w:space="0"/>
          </w:pgBorders>
          <w:cols w:space="720" w:num="1"/>
          <w:docGrid w:type="lines" w:linePitch="312" w:charSpace="0"/>
        </w:sectPr>
      </w:pPr>
    </w:p>
    <w:p w14:paraId="4DF190B7">
      <w:pPr>
        <w:jc w:val="center"/>
        <w:outlineLvl w:val="0"/>
        <w:rPr>
          <w:rFonts w:hint="eastAsia" w:ascii="黑体" w:hAnsi="黑体" w:eastAsia="黑体"/>
          <w:b/>
          <w:bCs/>
          <w:snapToGrid w:val="0"/>
          <w:color w:val="auto"/>
          <w:sz w:val="30"/>
          <w:szCs w:val="30"/>
          <w:highlight w:val="none"/>
        </w:rPr>
      </w:pPr>
      <w:r>
        <w:rPr>
          <w:rFonts w:hint="eastAsia" w:ascii="黑体" w:hAnsi="黑体" w:eastAsia="黑体"/>
          <w:b/>
          <w:bCs/>
          <w:snapToGrid w:val="0"/>
          <w:color w:val="auto"/>
          <w:sz w:val="30"/>
          <w:szCs w:val="30"/>
          <w:highlight w:val="none"/>
        </w:rPr>
        <w:t>三、区域环境质量现状、环境保护目标及评价标准</w:t>
      </w:r>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99"/>
        <w:gridCol w:w="8694"/>
      </w:tblGrid>
      <w:tr w14:paraId="608752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699" w:type="dxa"/>
            <w:vAlign w:val="center"/>
          </w:tcPr>
          <w:p w14:paraId="57F46960">
            <w:pPr>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区域环境质量现状</w:t>
            </w:r>
          </w:p>
        </w:tc>
        <w:tc>
          <w:tcPr>
            <w:tcW w:w="8694" w:type="dxa"/>
            <w:vAlign w:val="center"/>
          </w:tcPr>
          <w:p w14:paraId="10B1AA4F">
            <w:pPr>
              <w:pStyle w:val="38"/>
              <w:bidi w:val="0"/>
              <w:rPr>
                <w:b/>
                <w:bCs/>
                <w:color w:val="auto"/>
                <w:highlight w:val="none"/>
              </w:rPr>
            </w:pPr>
            <w:r>
              <w:rPr>
                <w:b/>
                <w:bCs/>
                <w:color w:val="auto"/>
                <w:highlight w:val="none"/>
              </w:rPr>
              <w:t>1、环境功能区划</w:t>
            </w:r>
          </w:p>
          <w:p w14:paraId="21C31E93">
            <w:pPr>
              <w:pStyle w:val="38"/>
              <w:bidi w:val="0"/>
              <w:rPr>
                <w:color w:val="auto"/>
                <w:highlight w:val="none"/>
              </w:rPr>
            </w:pPr>
            <w:r>
              <w:rPr>
                <w:color w:val="auto"/>
                <w:highlight w:val="none"/>
              </w:rPr>
              <w:t>根据《淄博市城区环境空气质量功能区管理规定的通知》（淄政发[1999]113号），及淄博市水资源管理办公室、淄博市水文局发布的《淄博市水功能区划》（2012.2）、《淄博市地下水功能区划分及保护现状评价》、淄博市人民政府办公室《关于印发淄博市声环境功能区划方案的通知》（淄政办发[2025]5号）等文件，项目所在区域</w:t>
            </w:r>
            <w:r>
              <w:rPr>
                <w:rFonts w:hint="eastAsia"/>
                <w:color w:val="auto"/>
                <w:highlight w:val="none"/>
                <w:lang w:eastAsia="zh-CN"/>
              </w:rPr>
              <w:t>执行</w:t>
            </w:r>
            <w:r>
              <w:rPr>
                <w:color w:val="auto"/>
                <w:highlight w:val="none"/>
              </w:rPr>
              <w:t>《环境空气质量标准》（</w:t>
            </w:r>
            <w:r>
              <w:rPr>
                <w:rFonts w:hint="eastAsia" w:ascii="Times New Roman" w:hAnsi="Times New Roman" w:eastAsia="宋体" w:cs="Times New Roman"/>
                <w:color w:val="FF0000"/>
                <w:sz w:val="20"/>
                <w:szCs w:val="20"/>
                <w:highlight w:val="none"/>
                <w:lang w:eastAsia="zh-CN"/>
              </w:rPr>
              <w:t>GB3095-20</w:t>
            </w:r>
            <w:r>
              <w:rPr>
                <w:rFonts w:hint="eastAsia" w:ascii="Times New Roman" w:hAnsi="Times New Roman" w:eastAsia="宋体" w:cs="Times New Roman"/>
                <w:color w:val="FF0000"/>
                <w:sz w:val="20"/>
                <w:szCs w:val="20"/>
                <w:highlight w:val="none"/>
                <w:lang w:val="en-US" w:eastAsia="zh-CN"/>
              </w:rPr>
              <w:t>26</w:t>
            </w:r>
            <w:r>
              <w:rPr>
                <w:color w:val="auto"/>
                <w:highlight w:val="none"/>
              </w:rPr>
              <w:t>）二级标准，地下水环境执行《地下水质量标准》（GB/T14848-2017）Ⅲ类标准，区域地表水为孝妇河，执行《地表水环境质量标准》（GB3838-2002）V类标准，声环境执行《声环境质量标准》（GB3096-2008）</w:t>
            </w:r>
            <w:r>
              <w:rPr>
                <w:rFonts w:hint="eastAsia"/>
                <w:color w:val="auto"/>
                <w:highlight w:val="none"/>
              </w:rPr>
              <w:t>3</w:t>
            </w:r>
            <w:r>
              <w:rPr>
                <w:color w:val="auto"/>
                <w:highlight w:val="none"/>
              </w:rPr>
              <w:t>类区标准。</w:t>
            </w:r>
          </w:p>
          <w:p w14:paraId="355279D1">
            <w:pPr>
              <w:pStyle w:val="38"/>
              <w:bidi w:val="0"/>
              <w:rPr>
                <w:color w:val="auto"/>
                <w:highlight w:val="none"/>
              </w:rPr>
            </w:pPr>
            <w:r>
              <w:rPr>
                <w:b/>
                <w:bCs/>
                <w:color w:val="auto"/>
                <w:highlight w:val="none"/>
              </w:rPr>
              <w:t>2、环境质量现状</w:t>
            </w:r>
          </w:p>
          <w:p w14:paraId="7604656A">
            <w:pPr>
              <w:pStyle w:val="38"/>
              <w:bidi w:val="0"/>
            </w:pPr>
            <w:r>
              <w:t>（1）大气环境</w:t>
            </w:r>
          </w:p>
          <w:p w14:paraId="1BC35FDB">
            <w:pPr>
              <w:pStyle w:val="38"/>
              <w:bidi w:val="0"/>
              <w:rPr>
                <w:rFonts w:hint="default"/>
              </w:rPr>
            </w:pPr>
            <w:r>
              <w:rPr>
                <w:rFonts w:hint="default"/>
              </w:rPr>
              <w:t>根据淄博市生态环境局发布的《202</w:t>
            </w:r>
            <w:r>
              <w:rPr>
                <w:rFonts w:hint="eastAsia"/>
                <w:lang w:val="en-US" w:eastAsia="zh-CN"/>
              </w:rPr>
              <w:t>5</w:t>
            </w:r>
            <w:r>
              <w:rPr>
                <w:rFonts w:hint="default"/>
              </w:rPr>
              <w:t>年12月份环境空气质量情况》</w:t>
            </w:r>
            <w:r>
              <w:rPr>
                <w:rFonts w:hint="default"/>
                <w:lang w:eastAsia="zh-CN"/>
              </w:rPr>
              <w:t>，2025年1</w:t>
            </w:r>
            <w:r>
              <w:rPr>
                <w:rFonts w:hint="eastAsia"/>
                <w:lang w:val="en-US" w:eastAsia="zh-CN"/>
              </w:rPr>
              <w:t>～</w:t>
            </w:r>
            <w:r>
              <w:rPr>
                <w:rFonts w:hint="default"/>
                <w:lang w:eastAsia="zh-CN"/>
              </w:rPr>
              <w:t>12月份，全市良好天数278天（国控），同比增加40天。优良率76.2%，同比增加11.2个百分点。重污染天数1天，同比减少3天。其中，二氧化硫（SO</w:t>
            </w:r>
            <w:r>
              <w:rPr>
                <w:rFonts w:hint="default"/>
                <w:vertAlign w:val="subscript"/>
                <w:lang w:eastAsia="zh-CN"/>
              </w:rPr>
              <w:t>2</w:t>
            </w:r>
            <w:r>
              <w:rPr>
                <w:rFonts w:hint="default"/>
                <w:lang w:eastAsia="zh-CN"/>
              </w:rPr>
              <w:t>）11微克/立方米，同比改善15.4%；二氧化氮（NO</w:t>
            </w:r>
            <w:r>
              <w:rPr>
                <w:rFonts w:hint="default"/>
                <w:vertAlign w:val="subscript"/>
                <w:lang w:eastAsia="zh-CN"/>
              </w:rPr>
              <w:t>2</w:t>
            </w:r>
            <w:r>
              <w:rPr>
                <w:rFonts w:hint="default"/>
                <w:lang w:eastAsia="zh-CN"/>
              </w:rPr>
              <w:t>）27微克/立方米，同比改善18.2%；可吸入颗粒物（PM</w:t>
            </w:r>
            <w:r>
              <w:rPr>
                <w:rFonts w:hint="default"/>
                <w:vertAlign w:val="subscript"/>
                <w:lang w:eastAsia="zh-CN"/>
              </w:rPr>
              <w:t>10</w:t>
            </w:r>
            <w:r>
              <w:rPr>
                <w:rFonts w:hint="default"/>
                <w:lang w:eastAsia="zh-CN"/>
              </w:rPr>
              <w:t>）59微克/立方米，同比改善14.5%；细颗粒物（PM</w:t>
            </w:r>
            <w:r>
              <w:rPr>
                <w:rFonts w:hint="default"/>
                <w:vertAlign w:val="subscript"/>
                <w:lang w:eastAsia="zh-CN"/>
              </w:rPr>
              <w:t>2.5</w:t>
            </w:r>
            <w:r>
              <w:rPr>
                <w:rFonts w:hint="default"/>
                <w:lang w:eastAsia="zh-CN"/>
              </w:rPr>
              <w:t>）35微克/立方米，同比改善12.5%；一氧化碳（CO）1.1毫克/立方米，同比改善8.3%；臭氧（O</w:t>
            </w:r>
            <w:r>
              <w:rPr>
                <w:rFonts w:hint="default"/>
                <w:vertAlign w:val="subscript"/>
                <w:lang w:eastAsia="zh-CN"/>
              </w:rPr>
              <w:t>3</w:t>
            </w:r>
            <w:r>
              <w:rPr>
                <w:rFonts w:hint="default"/>
                <w:lang w:eastAsia="zh-CN"/>
              </w:rPr>
              <w:t>）169微克/立方米，同比改善12.9%。全市综合指数为4.04，同比改善13.7%。</w:t>
            </w:r>
            <w:r>
              <w:rPr>
                <w:rFonts w:hint="default"/>
              </w:rPr>
              <w:t>环境空气质量不满足</w:t>
            </w:r>
            <w:r>
              <w:t>《环境空气质量标准》（GB3095-2012）</w:t>
            </w:r>
            <w:r>
              <w:rPr>
                <w:rFonts w:hint="eastAsia"/>
                <w:lang w:val="en-US" w:eastAsia="zh-CN"/>
              </w:rPr>
              <w:t>及修改单</w:t>
            </w:r>
            <w:r>
              <w:t>二级标准要求</w:t>
            </w:r>
            <w:r>
              <w:rPr>
                <w:rFonts w:hint="default"/>
              </w:rPr>
              <w:t>。</w:t>
            </w:r>
          </w:p>
          <w:p w14:paraId="6C0F7E37">
            <w:pPr>
              <w:pStyle w:val="38"/>
              <w:bidi w:val="0"/>
              <w:rPr>
                <w:rFonts w:hint="default" w:ascii="Times New Roman" w:hAnsi="Times New Roman" w:eastAsia="宋体" w:cs="Times New Roman"/>
                <w:color w:val="auto"/>
                <w:kern w:val="0"/>
                <w:highlight w:val="none"/>
              </w:rPr>
            </w:pPr>
            <w:r>
              <w:rPr>
                <w:rFonts w:hint="default"/>
              </w:rPr>
              <w:t>项目所在区域环境空气质量进行达标判断，数据统计及评价情况见下表。</w:t>
            </w:r>
          </w:p>
          <w:p w14:paraId="546E6EA7">
            <w:pPr>
              <w:pStyle w:val="3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zh-CN" w:eastAsia="zh-CN"/>
              </w:rPr>
              <w:t>表</w:t>
            </w:r>
            <w:r>
              <w:rPr>
                <w:rFonts w:hint="eastAsia" w:ascii="Times New Roman" w:hAnsi="Times New Roman" w:cs="Times New Roman"/>
                <w:color w:val="auto"/>
                <w:highlight w:val="none"/>
                <w:lang w:val="en-US" w:eastAsia="zh-CN"/>
              </w:rPr>
              <w:t>17</w:t>
            </w:r>
            <w:r>
              <w:rPr>
                <w:rFonts w:hint="default" w:ascii="Times New Roman" w:hAnsi="Times New Roman" w:cs="Times New Roman"/>
                <w:color w:val="auto"/>
                <w:highlight w:val="none"/>
                <w:lang w:val="zh-CN" w:eastAsia="zh-CN"/>
              </w:rPr>
              <w:t xml:space="preserve"> </w:t>
            </w:r>
            <w:r>
              <w:rPr>
                <w:rFonts w:hint="eastAsia" w:ascii="Times New Roman" w:hAnsi="Times New Roman" w:cs="Times New Roman"/>
                <w:color w:val="auto"/>
                <w:highlight w:val="none"/>
                <w:lang w:val="en-US" w:eastAsia="zh-CN"/>
              </w:rPr>
              <w:t>淄博市</w:t>
            </w:r>
            <w:r>
              <w:rPr>
                <w:rFonts w:hint="default" w:ascii="Times New Roman" w:hAnsi="Times New Roman" w:cs="Times New Roman"/>
                <w:color w:val="auto"/>
                <w:highlight w:val="none"/>
                <w:lang w:val="en-US" w:eastAsia="zh-CN"/>
              </w:rPr>
              <w:t>202</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en-US" w:eastAsia="zh-CN"/>
              </w:rPr>
              <w:t>年基本污染物监测数据统计及评价结果一览表</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2"/>
              <w:gridCol w:w="1269"/>
              <w:gridCol w:w="2383"/>
              <w:gridCol w:w="1160"/>
              <w:gridCol w:w="1238"/>
              <w:gridCol w:w="1263"/>
            </w:tblGrid>
            <w:tr w14:paraId="5CABA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center"/>
                </w:tcPr>
                <w:p w14:paraId="076BCDE9">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污染物</w:t>
                  </w:r>
                </w:p>
              </w:tc>
              <w:tc>
                <w:tcPr>
                  <w:tcW w:w="749" w:type="pct"/>
                  <w:noWrap w:val="0"/>
                  <w:vAlign w:val="center"/>
                </w:tcPr>
                <w:p w14:paraId="4539BD4E">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单位</w:t>
                  </w:r>
                </w:p>
              </w:tc>
              <w:tc>
                <w:tcPr>
                  <w:tcW w:w="1407" w:type="pct"/>
                  <w:noWrap w:val="0"/>
                  <w:vAlign w:val="center"/>
                </w:tcPr>
                <w:p w14:paraId="103C7112">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年评价指标</w:t>
                  </w:r>
                </w:p>
              </w:tc>
              <w:tc>
                <w:tcPr>
                  <w:tcW w:w="685" w:type="pct"/>
                  <w:noWrap w:val="0"/>
                  <w:vAlign w:val="center"/>
                </w:tcPr>
                <w:p w14:paraId="46E1BF0F">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现状浓度</w:t>
                  </w:r>
                </w:p>
              </w:tc>
              <w:tc>
                <w:tcPr>
                  <w:tcW w:w="731" w:type="pct"/>
                  <w:noWrap w:val="0"/>
                  <w:vAlign w:val="center"/>
                </w:tcPr>
                <w:p w14:paraId="085E9D7B">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评价标准</w:t>
                  </w:r>
                </w:p>
              </w:tc>
              <w:tc>
                <w:tcPr>
                  <w:tcW w:w="745" w:type="pct"/>
                  <w:noWrap w:val="0"/>
                  <w:vAlign w:val="center"/>
                </w:tcPr>
                <w:p w14:paraId="4DDC64BA">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达标情况</w:t>
                  </w:r>
                </w:p>
              </w:tc>
            </w:tr>
            <w:tr w14:paraId="6216A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center"/>
                </w:tcPr>
                <w:p w14:paraId="12516724">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SO</w:t>
                  </w:r>
                  <w:r>
                    <w:rPr>
                      <w:rFonts w:hint="default" w:ascii="Times New Roman" w:hAnsi="Times New Roman" w:eastAsia="宋体" w:cs="Times New Roman"/>
                      <w:color w:val="auto"/>
                      <w:sz w:val="20"/>
                      <w:szCs w:val="20"/>
                      <w:highlight w:val="none"/>
                      <w:vertAlign w:val="subscript"/>
                      <w:lang w:val="en-US" w:eastAsia="zh-CN"/>
                    </w:rPr>
                    <w:t>2</w:t>
                  </w:r>
                </w:p>
              </w:tc>
              <w:tc>
                <w:tcPr>
                  <w:tcW w:w="749" w:type="pct"/>
                  <w:noWrap w:val="0"/>
                  <w:vAlign w:val="center"/>
                </w:tcPr>
                <w:p w14:paraId="07C1B400">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μg/m</w:t>
                  </w:r>
                  <w:r>
                    <w:rPr>
                      <w:rFonts w:hint="default" w:ascii="Times New Roman" w:hAnsi="Times New Roman" w:eastAsia="宋体" w:cs="Times New Roman"/>
                      <w:color w:val="auto"/>
                      <w:sz w:val="20"/>
                      <w:szCs w:val="20"/>
                      <w:highlight w:val="none"/>
                      <w:vertAlign w:val="superscript"/>
                      <w:lang w:val="en-US" w:eastAsia="zh-CN"/>
                    </w:rPr>
                    <w:t>3</w:t>
                  </w:r>
                </w:p>
              </w:tc>
              <w:tc>
                <w:tcPr>
                  <w:tcW w:w="1407" w:type="pct"/>
                  <w:noWrap w:val="0"/>
                  <w:vAlign w:val="center"/>
                </w:tcPr>
                <w:p w14:paraId="03568DA9">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年均浓度</w:t>
                  </w:r>
                </w:p>
              </w:tc>
              <w:tc>
                <w:tcPr>
                  <w:tcW w:w="685" w:type="pct"/>
                  <w:noWrap w:val="0"/>
                  <w:vAlign w:val="center"/>
                </w:tcPr>
                <w:p w14:paraId="1696F52F">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11</w:t>
                  </w:r>
                </w:p>
              </w:tc>
              <w:tc>
                <w:tcPr>
                  <w:tcW w:w="731" w:type="pct"/>
                  <w:noWrap w:val="0"/>
                  <w:vAlign w:val="center"/>
                </w:tcPr>
                <w:p w14:paraId="79862B14">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60</w:t>
                  </w:r>
                </w:p>
              </w:tc>
              <w:tc>
                <w:tcPr>
                  <w:tcW w:w="745" w:type="pct"/>
                  <w:noWrap w:val="0"/>
                  <w:vAlign w:val="center"/>
                </w:tcPr>
                <w:p w14:paraId="70CB2F26">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达标</w:t>
                  </w:r>
                </w:p>
              </w:tc>
            </w:tr>
            <w:tr w14:paraId="67F52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center"/>
                </w:tcPr>
                <w:p w14:paraId="18A80719">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NO</w:t>
                  </w:r>
                  <w:r>
                    <w:rPr>
                      <w:rFonts w:hint="default" w:ascii="Times New Roman" w:hAnsi="Times New Roman" w:eastAsia="宋体" w:cs="Times New Roman"/>
                      <w:color w:val="auto"/>
                      <w:sz w:val="20"/>
                      <w:szCs w:val="20"/>
                      <w:highlight w:val="none"/>
                      <w:vertAlign w:val="subscript"/>
                      <w:lang w:val="en-US" w:eastAsia="zh-CN"/>
                    </w:rPr>
                    <w:t>2</w:t>
                  </w:r>
                </w:p>
              </w:tc>
              <w:tc>
                <w:tcPr>
                  <w:tcW w:w="749" w:type="pct"/>
                  <w:noWrap w:val="0"/>
                  <w:vAlign w:val="center"/>
                </w:tcPr>
                <w:p w14:paraId="42F43943">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μg/m</w:t>
                  </w:r>
                  <w:r>
                    <w:rPr>
                      <w:rFonts w:hint="default" w:ascii="Times New Roman" w:hAnsi="Times New Roman" w:eastAsia="宋体" w:cs="Times New Roman"/>
                      <w:color w:val="auto"/>
                      <w:sz w:val="20"/>
                      <w:szCs w:val="20"/>
                      <w:highlight w:val="none"/>
                      <w:vertAlign w:val="superscript"/>
                      <w:lang w:val="en-US" w:eastAsia="zh-CN"/>
                    </w:rPr>
                    <w:t>3</w:t>
                  </w:r>
                </w:p>
              </w:tc>
              <w:tc>
                <w:tcPr>
                  <w:tcW w:w="1407" w:type="pct"/>
                  <w:noWrap w:val="0"/>
                  <w:vAlign w:val="center"/>
                </w:tcPr>
                <w:p w14:paraId="7CA43C0C">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年均浓度</w:t>
                  </w:r>
                </w:p>
              </w:tc>
              <w:tc>
                <w:tcPr>
                  <w:tcW w:w="685" w:type="pct"/>
                  <w:noWrap w:val="0"/>
                  <w:vAlign w:val="center"/>
                </w:tcPr>
                <w:p w14:paraId="04D2E6B8">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27</w:t>
                  </w:r>
                </w:p>
              </w:tc>
              <w:tc>
                <w:tcPr>
                  <w:tcW w:w="731" w:type="pct"/>
                  <w:noWrap w:val="0"/>
                  <w:vAlign w:val="center"/>
                </w:tcPr>
                <w:p w14:paraId="225127EC">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40</w:t>
                  </w:r>
                </w:p>
              </w:tc>
              <w:tc>
                <w:tcPr>
                  <w:tcW w:w="745" w:type="pct"/>
                  <w:noWrap w:val="0"/>
                  <w:vAlign w:val="center"/>
                </w:tcPr>
                <w:p w14:paraId="5927D58D">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达标</w:t>
                  </w:r>
                </w:p>
              </w:tc>
            </w:tr>
            <w:tr w14:paraId="7536A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center"/>
                </w:tcPr>
                <w:p w14:paraId="464F1AF6">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PM</w:t>
                  </w:r>
                  <w:r>
                    <w:rPr>
                      <w:rFonts w:hint="default" w:ascii="Times New Roman" w:hAnsi="Times New Roman" w:eastAsia="宋体" w:cs="Times New Roman"/>
                      <w:color w:val="auto"/>
                      <w:sz w:val="20"/>
                      <w:szCs w:val="20"/>
                      <w:highlight w:val="none"/>
                      <w:vertAlign w:val="subscript"/>
                      <w:lang w:val="en-US" w:eastAsia="zh-CN"/>
                    </w:rPr>
                    <w:t>10</w:t>
                  </w:r>
                </w:p>
              </w:tc>
              <w:tc>
                <w:tcPr>
                  <w:tcW w:w="749" w:type="pct"/>
                  <w:noWrap w:val="0"/>
                  <w:vAlign w:val="center"/>
                </w:tcPr>
                <w:p w14:paraId="4B908417">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μg/m</w:t>
                  </w:r>
                  <w:r>
                    <w:rPr>
                      <w:rFonts w:hint="default" w:ascii="Times New Roman" w:hAnsi="Times New Roman" w:eastAsia="宋体" w:cs="Times New Roman"/>
                      <w:color w:val="auto"/>
                      <w:sz w:val="20"/>
                      <w:szCs w:val="20"/>
                      <w:highlight w:val="none"/>
                      <w:vertAlign w:val="superscript"/>
                      <w:lang w:val="en-US" w:eastAsia="zh-CN"/>
                    </w:rPr>
                    <w:t>3</w:t>
                  </w:r>
                </w:p>
              </w:tc>
              <w:tc>
                <w:tcPr>
                  <w:tcW w:w="1407" w:type="pct"/>
                  <w:noWrap w:val="0"/>
                  <w:vAlign w:val="center"/>
                </w:tcPr>
                <w:p w14:paraId="27E14EAE">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年均浓度</w:t>
                  </w:r>
                </w:p>
              </w:tc>
              <w:tc>
                <w:tcPr>
                  <w:tcW w:w="685" w:type="pct"/>
                  <w:noWrap w:val="0"/>
                  <w:vAlign w:val="center"/>
                </w:tcPr>
                <w:p w14:paraId="7D1F22A1">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59</w:t>
                  </w:r>
                </w:p>
              </w:tc>
              <w:tc>
                <w:tcPr>
                  <w:tcW w:w="731" w:type="pct"/>
                  <w:noWrap w:val="0"/>
                  <w:vAlign w:val="center"/>
                </w:tcPr>
                <w:p w14:paraId="5DA6D46B">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70</w:t>
                  </w:r>
                </w:p>
              </w:tc>
              <w:tc>
                <w:tcPr>
                  <w:tcW w:w="745" w:type="pct"/>
                  <w:noWrap w:val="0"/>
                  <w:vAlign w:val="center"/>
                </w:tcPr>
                <w:p w14:paraId="555A3E0B">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达标</w:t>
                  </w:r>
                </w:p>
              </w:tc>
            </w:tr>
            <w:tr w14:paraId="0C48C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center"/>
                </w:tcPr>
                <w:p w14:paraId="63FB47E5">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PM</w:t>
                  </w:r>
                  <w:r>
                    <w:rPr>
                      <w:rFonts w:hint="default" w:ascii="Times New Roman" w:hAnsi="Times New Roman" w:eastAsia="宋体" w:cs="Times New Roman"/>
                      <w:color w:val="auto"/>
                      <w:sz w:val="20"/>
                      <w:szCs w:val="20"/>
                      <w:highlight w:val="none"/>
                      <w:vertAlign w:val="subscript"/>
                      <w:lang w:val="en-US" w:eastAsia="zh-CN"/>
                    </w:rPr>
                    <w:t>2.5</w:t>
                  </w:r>
                </w:p>
              </w:tc>
              <w:tc>
                <w:tcPr>
                  <w:tcW w:w="749" w:type="pct"/>
                  <w:noWrap w:val="0"/>
                  <w:vAlign w:val="center"/>
                </w:tcPr>
                <w:p w14:paraId="0CA9D961">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μg/m</w:t>
                  </w:r>
                  <w:r>
                    <w:rPr>
                      <w:rFonts w:hint="default" w:ascii="Times New Roman" w:hAnsi="Times New Roman" w:eastAsia="宋体" w:cs="Times New Roman"/>
                      <w:color w:val="auto"/>
                      <w:sz w:val="20"/>
                      <w:szCs w:val="20"/>
                      <w:highlight w:val="none"/>
                      <w:vertAlign w:val="superscript"/>
                      <w:lang w:val="en-US" w:eastAsia="zh-CN"/>
                    </w:rPr>
                    <w:t>3</w:t>
                  </w:r>
                </w:p>
              </w:tc>
              <w:tc>
                <w:tcPr>
                  <w:tcW w:w="1407" w:type="pct"/>
                  <w:noWrap w:val="0"/>
                  <w:vAlign w:val="center"/>
                </w:tcPr>
                <w:p w14:paraId="41F300B4">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年均浓度</w:t>
                  </w:r>
                </w:p>
              </w:tc>
              <w:tc>
                <w:tcPr>
                  <w:tcW w:w="685" w:type="pct"/>
                  <w:noWrap w:val="0"/>
                  <w:vAlign w:val="center"/>
                </w:tcPr>
                <w:p w14:paraId="3C50F137">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35</w:t>
                  </w:r>
                </w:p>
              </w:tc>
              <w:tc>
                <w:tcPr>
                  <w:tcW w:w="731" w:type="pct"/>
                  <w:noWrap w:val="0"/>
                  <w:vAlign w:val="center"/>
                </w:tcPr>
                <w:p w14:paraId="695F3938">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35</w:t>
                  </w:r>
                </w:p>
              </w:tc>
              <w:tc>
                <w:tcPr>
                  <w:tcW w:w="745" w:type="pct"/>
                  <w:noWrap w:val="0"/>
                  <w:vAlign w:val="center"/>
                </w:tcPr>
                <w:p w14:paraId="0041557E">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达标</w:t>
                  </w:r>
                </w:p>
              </w:tc>
            </w:tr>
            <w:tr w14:paraId="01A5A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center"/>
                </w:tcPr>
                <w:p w14:paraId="1027786E">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CO</w:t>
                  </w:r>
                </w:p>
              </w:tc>
              <w:tc>
                <w:tcPr>
                  <w:tcW w:w="749" w:type="pct"/>
                  <w:noWrap w:val="0"/>
                  <w:vAlign w:val="center"/>
                </w:tcPr>
                <w:p w14:paraId="70C2D9E4">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mg/m</w:t>
                  </w:r>
                  <w:r>
                    <w:rPr>
                      <w:rFonts w:hint="default" w:ascii="Times New Roman" w:hAnsi="Times New Roman" w:eastAsia="宋体" w:cs="Times New Roman"/>
                      <w:color w:val="auto"/>
                      <w:sz w:val="20"/>
                      <w:szCs w:val="20"/>
                      <w:highlight w:val="none"/>
                      <w:vertAlign w:val="superscript"/>
                      <w:lang w:val="en-US" w:eastAsia="zh-CN"/>
                    </w:rPr>
                    <w:t>3</w:t>
                  </w:r>
                </w:p>
              </w:tc>
              <w:tc>
                <w:tcPr>
                  <w:tcW w:w="1407" w:type="pct"/>
                  <w:noWrap w:val="0"/>
                  <w:vAlign w:val="center"/>
                </w:tcPr>
                <w:p w14:paraId="3C92BF7A">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95%保证率日平均浓度</w:t>
                  </w:r>
                </w:p>
              </w:tc>
              <w:tc>
                <w:tcPr>
                  <w:tcW w:w="685" w:type="pct"/>
                  <w:noWrap w:val="0"/>
                  <w:vAlign w:val="center"/>
                </w:tcPr>
                <w:p w14:paraId="14573BC2">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1.1</w:t>
                  </w:r>
                </w:p>
              </w:tc>
              <w:tc>
                <w:tcPr>
                  <w:tcW w:w="731" w:type="pct"/>
                  <w:noWrap w:val="0"/>
                  <w:vAlign w:val="center"/>
                </w:tcPr>
                <w:p w14:paraId="1B89B8E7">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4</w:t>
                  </w:r>
                </w:p>
              </w:tc>
              <w:tc>
                <w:tcPr>
                  <w:tcW w:w="745" w:type="pct"/>
                  <w:noWrap w:val="0"/>
                  <w:vAlign w:val="center"/>
                </w:tcPr>
                <w:p w14:paraId="0D84B133">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达标</w:t>
                  </w:r>
                </w:p>
              </w:tc>
            </w:tr>
            <w:tr w14:paraId="792A1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center"/>
                </w:tcPr>
                <w:p w14:paraId="3B7F08E1">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O</w:t>
                  </w:r>
                  <w:r>
                    <w:rPr>
                      <w:rFonts w:hint="default" w:ascii="Times New Roman" w:hAnsi="Times New Roman" w:eastAsia="宋体" w:cs="Times New Roman"/>
                      <w:color w:val="auto"/>
                      <w:sz w:val="20"/>
                      <w:szCs w:val="20"/>
                      <w:highlight w:val="none"/>
                      <w:vertAlign w:val="subscript"/>
                      <w:lang w:val="en-US" w:eastAsia="zh-CN"/>
                    </w:rPr>
                    <w:t>3</w:t>
                  </w:r>
                </w:p>
              </w:tc>
              <w:tc>
                <w:tcPr>
                  <w:tcW w:w="749" w:type="pct"/>
                  <w:noWrap w:val="0"/>
                  <w:vAlign w:val="center"/>
                </w:tcPr>
                <w:p w14:paraId="549D7E5A">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μg/m</w:t>
                  </w:r>
                  <w:r>
                    <w:rPr>
                      <w:rFonts w:hint="default" w:ascii="Times New Roman" w:hAnsi="Times New Roman" w:eastAsia="宋体" w:cs="Times New Roman"/>
                      <w:color w:val="auto"/>
                      <w:sz w:val="20"/>
                      <w:szCs w:val="20"/>
                      <w:highlight w:val="none"/>
                      <w:vertAlign w:val="superscript"/>
                      <w:lang w:val="en-US" w:eastAsia="zh-CN"/>
                    </w:rPr>
                    <w:t>3</w:t>
                  </w:r>
                </w:p>
              </w:tc>
              <w:tc>
                <w:tcPr>
                  <w:tcW w:w="1407" w:type="pct"/>
                  <w:noWrap w:val="0"/>
                  <w:vAlign w:val="center"/>
                </w:tcPr>
                <w:p w14:paraId="777D1CC4">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90%保证率日最大8h滑动平均浓度</w:t>
                  </w:r>
                </w:p>
              </w:tc>
              <w:tc>
                <w:tcPr>
                  <w:tcW w:w="685" w:type="pct"/>
                  <w:noWrap w:val="0"/>
                  <w:vAlign w:val="center"/>
                </w:tcPr>
                <w:p w14:paraId="2FFCB048">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169</w:t>
                  </w:r>
                </w:p>
              </w:tc>
              <w:tc>
                <w:tcPr>
                  <w:tcW w:w="731" w:type="pct"/>
                  <w:noWrap w:val="0"/>
                  <w:vAlign w:val="center"/>
                </w:tcPr>
                <w:p w14:paraId="3D84A977">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160</w:t>
                  </w:r>
                </w:p>
              </w:tc>
              <w:tc>
                <w:tcPr>
                  <w:tcW w:w="745" w:type="pct"/>
                  <w:noWrap w:val="0"/>
                  <w:vAlign w:val="center"/>
                </w:tcPr>
                <w:p w14:paraId="578E42C8">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超标</w:t>
                  </w:r>
                </w:p>
              </w:tc>
            </w:tr>
          </w:tbl>
          <w:p w14:paraId="0F278073">
            <w:pPr>
              <w:pStyle w:val="38"/>
              <w:bidi w:val="0"/>
            </w:pPr>
            <w:r>
              <w:rPr>
                <w:rFonts w:hint="default"/>
                <w:lang w:val="en-US" w:eastAsia="zh-CN"/>
              </w:rPr>
              <w:t>根据《环境影响评价技术导则 大气环境》（HJ2.2-2018）：</w:t>
            </w:r>
            <w:r>
              <w:rPr>
                <w:rFonts w:hint="eastAsia"/>
                <w:lang w:val="en-US" w:eastAsia="zh-CN"/>
              </w:rPr>
              <w:t>“</w:t>
            </w:r>
            <w:r>
              <w:rPr>
                <w:rFonts w:hint="default"/>
                <w:lang w:val="en-US" w:eastAsia="zh-CN"/>
              </w:rPr>
              <w:t>城市环境空气质量达标情况评价指标为SO</w:t>
            </w:r>
            <w:r>
              <w:rPr>
                <w:rFonts w:hint="default"/>
                <w:vertAlign w:val="subscript"/>
                <w:lang w:val="en-US" w:eastAsia="zh-CN"/>
              </w:rPr>
              <w:t>2</w:t>
            </w:r>
            <w:r>
              <w:rPr>
                <w:rFonts w:hint="default"/>
                <w:lang w:val="en-US" w:eastAsia="zh-CN"/>
              </w:rPr>
              <w:t>、NO</w:t>
            </w:r>
            <w:r>
              <w:rPr>
                <w:rFonts w:hint="default"/>
                <w:vertAlign w:val="subscript"/>
                <w:lang w:val="en-US" w:eastAsia="zh-CN"/>
              </w:rPr>
              <w:t>2</w:t>
            </w:r>
            <w:r>
              <w:rPr>
                <w:rFonts w:hint="default"/>
                <w:lang w:val="en-US" w:eastAsia="zh-CN"/>
              </w:rPr>
              <w:t>、PM</w:t>
            </w:r>
            <w:r>
              <w:rPr>
                <w:rFonts w:hint="default"/>
                <w:vertAlign w:val="subscript"/>
                <w:lang w:val="en-US" w:eastAsia="zh-CN"/>
              </w:rPr>
              <w:t>10</w:t>
            </w:r>
            <w:r>
              <w:rPr>
                <w:rFonts w:hint="default"/>
                <w:lang w:val="en-US" w:eastAsia="zh-CN"/>
              </w:rPr>
              <w:t>、PM</w:t>
            </w:r>
            <w:r>
              <w:rPr>
                <w:rFonts w:hint="default"/>
                <w:vertAlign w:val="subscript"/>
                <w:lang w:val="en-US" w:eastAsia="zh-CN"/>
              </w:rPr>
              <w:t>2.5</w:t>
            </w:r>
            <w:r>
              <w:rPr>
                <w:rFonts w:hint="default"/>
                <w:lang w:val="en-US" w:eastAsia="zh-CN"/>
              </w:rPr>
              <w:t>、CO和O</w:t>
            </w:r>
            <w:r>
              <w:rPr>
                <w:rFonts w:hint="default"/>
                <w:vertAlign w:val="subscript"/>
                <w:lang w:val="en-US" w:eastAsia="zh-CN"/>
              </w:rPr>
              <w:t>3</w:t>
            </w:r>
            <w:r>
              <w:rPr>
                <w:rFonts w:hint="default"/>
                <w:lang w:val="en-US" w:eastAsia="zh-CN"/>
              </w:rPr>
              <w:t>，六项污染物全部达标即为城市环境空气质量达标</w:t>
            </w:r>
            <w:r>
              <w:rPr>
                <w:rFonts w:hint="eastAsia"/>
                <w:lang w:val="en-US" w:eastAsia="zh-CN"/>
              </w:rPr>
              <w:t>”</w:t>
            </w:r>
            <w:r>
              <w:rPr>
                <w:rFonts w:hint="default"/>
                <w:lang w:val="en-US" w:eastAsia="zh-CN"/>
              </w:rPr>
              <w:t>，项目所在地处于不达标区</w:t>
            </w:r>
            <w:r>
              <w:rPr>
                <w:rFonts w:hint="eastAsia"/>
                <w:lang w:val="en-US" w:eastAsia="zh-CN"/>
              </w:rPr>
              <w:t>。</w:t>
            </w:r>
          </w:p>
          <w:p w14:paraId="505DC6B1">
            <w:pPr>
              <w:pStyle w:val="38"/>
              <w:bidi w:val="0"/>
              <w:rPr>
                <w:color w:val="FF0000"/>
              </w:rPr>
            </w:pPr>
            <w:r>
              <w:rPr>
                <w:color w:val="FF0000"/>
              </w:rPr>
              <w:t>根据</w:t>
            </w:r>
            <w:r>
              <w:rPr>
                <w:rFonts w:hint="eastAsia"/>
                <w:color w:val="FF0000"/>
              </w:rPr>
              <w:t>《淄博市国民经济和社会发展第十五个五年规划纲要》</w:t>
            </w:r>
            <w:r>
              <w:rPr>
                <w:color w:val="FF0000"/>
              </w:rPr>
              <w:t>（淄政</w:t>
            </w:r>
            <w:r>
              <w:rPr>
                <w:rFonts w:hint="eastAsia"/>
                <w:color w:val="FF0000"/>
                <w:lang w:eastAsia="zh-CN"/>
              </w:rPr>
              <w:t>发</w:t>
            </w:r>
            <w:r>
              <w:rPr>
                <w:color w:val="FF0000"/>
              </w:rPr>
              <w:t>[202</w:t>
            </w:r>
            <w:r>
              <w:rPr>
                <w:rFonts w:hint="eastAsia"/>
                <w:color w:val="FF0000"/>
                <w:lang w:val="en-US" w:eastAsia="zh-CN"/>
              </w:rPr>
              <w:t>6</w:t>
            </w:r>
            <w:r>
              <w:rPr>
                <w:color w:val="FF0000"/>
              </w:rPr>
              <w:t>]</w:t>
            </w:r>
            <w:r>
              <w:rPr>
                <w:rFonts w:hint="eastAsia"/>
                <w:color w:val="FF0000"/>
                <w:lang w:val="en-US" w:eastAsia="zh-CN"/>
              </w:rPr>
              <w:t>4</w:t>
            </w:r>
            <w:r>
              <w:rPr>
                <w:color w:val="FF0000"/>
              </w:rPr>
              <w:t>号）要求，持续改善空气质量。</w:t>
            </w:r>
            <w:r>
              <w:rPr>
                <w:rFonts w:hint="eastAsia"/>
                <w:color w:val="FF0000"/>
              </w:rPr>
              <w:t>以降低细颗粒物浓度为主线，大力推进氮氧化物、挥发性有机物等多污染物协同减排。强化挥发性有机物全过程、全环节综合治理。全面推进低VOCs含量涂料、油墨、胶粘剂、清洗剂等原辅料使用，推动源头替代工程扩容。深入推进火电、水泥和燃煤锅炉全流程超低排放改造。实施差异化重污染天气应急管控工程，推动重点行业绩效分级。加强消耗臭氧层物质和氢氟碳化物环境管理。强化秸秆禁烧管控，加强农业面源氨排放控制。到2030年，PM</w:t>
            </w:r>
            <w:r>
              <w:rPr>
                <w:rFonts w:hint="eastAsia"/>
                <w:color w:val="FF0000"/>
                <w:vertAlign w:val="subscript"/>
              </w:rPr>
              <w:t>2.5</w:t>
            </w:r>
            <w:r>
              <w:rPr>
                <w:rFonts w:hint="eastAsia"/>
                <w:color w:val="FF0000"/>
              </w:rPr>
              <w:t>浓度、空气优良率达到省定目标要求，单位地区生产总值二氧化碳排放完成省下达目标</w:t>
            </w:r>
            <w:r>
              <w:rPr>
                <w:color w:val="FF0000"/>
              </w:rPr>
              <w:t>，治理后环境空气质量将得到改善。</w:t>
            </w:r>
          </w:p>
          <w:p w14:paraId="756C2151">
            <w:pPr>
              <w:pStyle w:val="38"/>
              <w:numPr>
                <w:ilvl w:val="0"/>
                <w:numId w:val="0"/>
              </w:numPr>
              <w:bidi w:val="0"/>
              <w:ind w:firstLine="420" w:firstLineChars="200"/>
              <w:rPr>
                <w:color w:val="auto"/>
                <w:highlight w:val="none"/>
              </w:rPr>
            </w:pPr>
            <w:r>
              <w:rPr>
                <w:rFonts w:ascii="Times New Roman" w:hAnsi="Times New Roman" w:eastAsia="宋体" w:cs="宋体"/>
                <w:color w:val="auto"/>
                <w:kern w:val="0"/>
                <w:sz w:val="21"/>
                <w:szCs w:val="21"/>
                <w:lang w:val="en-US" w:eastAsia="zh-CN" w:bidi="ar-SA"/>
              </w:rPr>
              <w:t>（2）</w:t>
            </w:r>
            <w:r>
              <w:rPr>
                <w:color w:val="auto"/>
                <w:highlight w:val="none"/>
              </w:rPr>
              <w:t>地表水</w:t>
            </w:r>
          </w:p>
          <w:p w14:paraId="17F0092A">
            <w:pPr>
              <w:pStyle w:val="38"/>
              <w:bidi w:val="0"/>
            </w:pPr>
            <w:r>
              <w:t>该区域主要地表河流为孝妇河</w:t>
            </w:r>
            <w:r>
              <w:rPr>
                <w:rFonts w:hint="eastAsia"/>
                <w:lang w:eastAsia="zh-CN"/>
              </w:rPr>
              <w:t>及范阳河（孝妇河支流）</w:t>
            </w:r>
            <w:r>
              <w:t>。根据淄博市生态环境局202</w:t>
            </w:r>
            <w:r>
              <w:rPr>
                <w:rFonts w:hint="eastAsia"/>
              </w:rPr>
              <w:t>5</w:t>
            </w:r>
            <w:r>
              <w:t>年</w:t>
            </w:r>
            <w:r>
              <w:rPr>
                <w:rFonts w:hint="eastAsia"/>
              </w:rPr>
              <w:t>1</w:t>
            </w:r>
            <w:r>
              <w:t>月2</w:t>
            </w:r>
            <w:r>
              <w:rPr>
                <w:rFonts w:hint="eastAsia"/>
              </w:rPr>
              <w:t>5</w:t>
            </w:r>
            <w:r>
              <w:t>日发布的《2024年1-1</w:t>
            </w:r>
            <w:r>
              <w:rPr>
                <w:rFonts w:hint="eastAsia"/>
              </w:rPr>
              <w:t>2</w:t>
            </w:r>
            <w:r>
              <w:t>月全市地表水环境质量状况》，孝妇</w:t>
            </w:r>
            <w:r>
              <w:rPr>
                <w:lang w:val="zh-CN"/>
              </w:rPr>
              <w:t>河</w:t>
            </w:r>
            <w:r>
              <w:t>南外环断面</w:t>
            </w:r>
            <w:r>
              <w:rPr>
                <w:lang w:val="zh-CN"/>
              </w:rPr>
              <w:t>水质</w:t>
            </w:r>
            <w:r>
              <w:t>不能</w:t>
            </w:r>
            <w:r>
              <w:rPr>
                <w:lang w:val="zh-CN"/>
              </w:rPr>
              <w:t>满足《地表水环境质量标准》（GB3838-2002）</w:t>
            </w:r>
            <w:r>
              <w:t>V</w:t>
            </w:r>
            <w:r>
              <w:rPr>
                <w:lang w:val="zh-CN"/>
              </w:rPr>
              <w:t>类标准。</w:t>
            </w:r>
          </w:p>
          <w:p w14:paraId="508D412D">
            <w:pPr>
              <w:pStyle w:val="38"/>
              <w:bidi w:val="0"/>
              <w:rPr>
                <w:color w:val="FF0000"/>
              </w:rPr>
            </w:pPr>
            <w:r>
              <w:rPr>
                <w:color w:val="FF0000"/>
              </w:rPr>
              <w:t>根据</w:t>
            </w:r>
            <w:r>
              <w:rPr>
                <w:rFonts w:hint="eastAsia"/>
                <w:color w:val="FF0000"/>
              </w:rPr>
              <w:t>《淄博市国民经济和社会发展第十五个五年规划纲要》</w:t>
            </w:r>
            <w:r>
              <w:rPr>
                <w:color w:val="FF0000"/>
              </w:rPr>
              <w:t>（淄政</w:t>
            </w:r>
            <w:r>
              <w:rPr>
                <w:rFonts w:hint="eastAsia"/>
                <w:color w:val="FF0000"/>
                <w:lang w:eastAsia="zh-CN"/>
              </w:rPr>
              <w:t>发</w:t>
            </w:r>
            <w:r>
              <w:rPr>
                <w:color w:val="FF0000"/>
              </w:rPr>
              <w:t>[202</w:t>
            </w:r>
            <w:r>
              <w:rPr>
                <w:rFonts w:hint="eastAsia"/>
                <w:color w:val="FF0000"/>
                <w:lang w:val="en-US" w:eastAsia="zh-CN"/>
              </w:rPr>
              <w:t>6</w:t>
            </w:r>
            <w:r>
              <w:rPr>
                <w:color w:val="FF0000"/>
              </w:rPr>
              <w:t>]</w:t>
            </w:r>
            <w:r>
              <w:rPr>
                <w:rFonts w:hint="eastAsia"/>
                <w:color w:val="FF0000"/>
                <w:lang w:val="en-US" w:eastAsia="zh-CN"/>
              </w:rPr>
              <w:t>4</w:t>
            </w:r>
            <w:r>
              <w:rPr>
                <w:color w:val="FF0000"/>
              </w:rPr>
              <w:t>号）</w:t>
            </w:r>
            <w:r>
              <w:rPr>
                <w:rFonts w:hint="eastAsia"/>
                <w:color w:val="FF0000"/>
                <w:lang w:eastAsia="zh-CN"/>
              </w:rPr>
              <w:t>要求</w:t>
            </w:r>
            <w:r>
              <w:rPr>
                <w:color w:val="FF0000"/>
              </w:rPr>
              <w:t>，巩固提升水环境质量。</w:t>
            </w:r>
            <w:r>
              <w:rPr>
                <w:rFonts w:hint="eastAsia"/>
                <w:color w:val="FF0000"/>
              </w:rPr>
              <w:t>以水质持续改善为目标，统筹水资源、水环境、水生态治理。深化河长制湖长制，抓好美丽河湖、幸福河湖、效益河湖建设，高质量推进黄河（淄博—滨州）、太河水库等美丽河湖保护治理。加强工业企业水污染物综合治理，确保稳定达标排放。推进化工园区“一企一管”建设，提升化工园区污水收集处理能力和智慧化监管水平。加快补齐城镇污水收集和处理设施短板，完善城镇污水治理系统。定期开展重要饮用水水源地保护监测和规范化建设，保障好城乡饮用水安全。到2030年，优良水体比例达到省定目标要求，18处城市集中式饮用水水源地水质达标率、优良率保持100%</w:t>
            </w:r>
            <w:r>
              <w:rPr>
                <w:color w:val="FF0000"/>
              </w:rPr>
              <w:t>。</w:t>
            </w:r>
          </w:p>
          <w:p w14:paraId="7B23E1F2">
            <w:pPr>
              <w:pStyle w:val="38"/>
              <w:bidi w:val="0"/>
              <w:rPr>
                <w:color w:val="FF0000"/>
              </w:rPr>
            </w:pPr>
            <w:r>
              <w:rPr>
                <w:color w:val="FF0000"/>
              </w:rPr>
              <w:t>随着淄博市、经开区地表水环境整治工作的进一步开展，区域地表水水质将进一步得到改善</w:t>
            </w:r>
            <w:r>
              <w:rPr>
                <w:rFonts w:hint="eastAsia"/>
                <w:color w:val="FF0000"/>
              </w:rPr>
              <w:t>。</w:t>
            </w:r>
          </w:p>
          <w:p w14:paraId="5A3816C5">
            <w:pPr>
              <w:pStyle w:val="38"/>
              <w:bidi w:val="0"/>
              <w:rPr>
                <w:color w:val="auto"/>
                <w:highlight w:val="none"/>
              </w:rPr>
            </w:pPr>
            <w:r>
              <w:rPr>
                <w:color w:val="auto"/>
                <w:highlight w:val="none"/>
              </w:rPr>
              <w:t>（3）声环境</w:t>
            </w:r>
          </w:p>
          <w:p w14:paraId="7FD13AC9">
            <w:pPr>
              <w:pStyle w:val="38"/>
              <w:bidi w:val="0"/>
              <w:rPr>
                <w:color w:val="auto"/>
                <w:highlight w:val="none"/>
              </w:rPr>
            </w:pPr>
            <w:r>
              <w:rPr>
                <w:color w:val="auto"/>
                <w:highlight w:val="none"/>
              </w:rPr>
              <w:t>项目厂界外周边50米范围内不存在声环境保护目标。根据区域例行监测资料，项目区域噪声符合《声环境质量标准》（GB3096-2008）</w:t>
            </w:r>
            <w:r>
              <w:rPr>
                <w:rFonts w:hint="eastAsia"/>
                <w:color w:val="auto"/>
                <w:highlight w:val="none"/>
              </w:rPr>
              <w:t>3</w:t>
            </w:r>
            <w:r>
              <w:rPr>
                <w:color w:val="auto"/>
                <w:highlight w:val="none"/>
              </w:rPr>
              <w:t>类区标准的要求，声环境质量良好。</w:t>
            </w:r>
          </w:p>
          <w:p w14:paraId="5B80EAD7">
            <w:pPr>
              <w:pStyle w:val="38"/>
              <w:bidi w:val="0"/>
              <w:rPr>
                <w:color w:val="auto"/>
                <w:highlight w:val="none"/>
              </w:rPr>
            </w:pPr>
            <w:r>
              <w:rPr>
                <w:color w:val="auto"/>
                <w:highlight w:val="none"/>
              </w:rPr>
              <w:t>（4）生态环境</w:t>
            </w:r>
          </w:p>
          <w:p w14:paraId="47D345FF">
            <w:pPr>
              <w:pStyle w:val="38"/>
              <w:bidi w:val="0"/>
              <w:rPr>
                <w:color w:val="auto"/>
                <w:highlight w:val="none"/>
              </w:rPr>
            </w:pPr>
            <w:r>
              <w:rPr>
                <w:rFonts w:hint="default" w:ascii="Times New Roman" w:hAnsi="Times New Roman" w:cs="Times New Roman"/>
                <w:color w:val="auto"/>
                <w:highlight w:val="none"/>
              </w:rPr>
              <w:t>经实地踏勘，建设项目区域内物种种类很少，主要为人工种植的绿化乔木</w:t>
            </w:r>
            <w:r>
              <w:rPr>
                <w:rFonts w:hint="default" w:ascii="Times New Roman" w:hAnsi="Times New Roman" w:cs="Times New Roman"/>
                <w:color w:val="auto"/>
                <w:highlight w:val="none"/>
                <w:lang w:val="en-US" w:eastAsia="zh-CN"/>
              </w:rPr>
              <w:t>等</w:t>
            </w:r>
            <w:r>
              <w:rPr>
                <w:rFonts w:hint="default" w:ascii="Times New Roman" w:hAnsi="Times New Roman" w:cs="Times New Roman"/>
                <w:color w:val="auto"/>
                <w:highlight w:val="none"/>
              </w:rPr>
              <w:t>，无珍稀濒危动植物物种，不涉及动物栖息及迁徙通道，项目周围生态环境不敏感，本项目无需进行生态现状调查</w:t>
            </w:r>
            <w:r>
              <w:rPr>
                <w:color w:val="auto"/>
                <w:highlight w:val="none"/>
              </w:rPr>
              <w:t>。</w:t>
            </w:r>
          </w:p>
          <w:p w14:paraId="33620186">
            <w:pPr>
              <w:pStyle w:val="38"/>
              <w:bidi w:val="0"/>
              <w:rPr>
                <w:color w:val="auto"/>
                <w:highlight w:val="none"/>
              </w:rPr>
            </w:pPr>
            <w:r>
              <w:rPr>
                <w:color w:val="auto"/>
                <w:highlight w:val="none"/>
              </w:rPr>
              <w:t>（5）电磁辐射</w:t>
            </w:r>
          </w:p>
          <w:p w14:paraId="71C61582">
            <w:pPr>
              <w:pStyle w:val="38"/>
              <w:bidi w:val="0"/>
              <w:rPr>
                <w:color w:val="auto"/>
                <w:highlight w:val="none"/>
              </w:rPr>
            </w:pPr>
            <w:r>
              <w:rPr>
                <w:rFonts w:hint="default" w:ascii="Times New Roman" w:hAnsi="Times New Roman" w:eastAsia="宋体" w:cs="Times New Roman"/>
                <w:color w:val="auto"/>
                <w:highlight w:val="none"/>
                <w:lang w:val="en-US" w:eastAsia="zh-CN"/>
              </w:rPr>
              <w:t>本项目不属于广播电台、差转台、电视塔台、卫星地球上行站、雷达等电磁辐射类项目，本评价不开展电磁环境影响分析</w:t>
            </w:r>
            <w:r>
              <w:rPr>
                <w:color w:val="auto"/>
                <w:highlight w:val="none"/>
              </w:rPr>
              <w:t>。</w:t>
            </w:r>
          </w:p>
          <w:p w14:paraId="3938CF03">
            <w:pPr>
              <w:pStyle w:val="38"/>
              <w:bidi w:val="0"/>
              <w:rPr>
                <w:color w:val="auto"/>
                <w:highlight w:val="none"/>
              </w:rPr>
            </w:pPr>
            <w:r>
              <w:rPr>
                <w:color w:val="auto"/>
                <w:highlight w:val="none"/>
              </w:rPr>
              <w:t>（6）地下水、土壤环境</w:t>
            </w:r>
          </w:p>
          <w:p w14:paraId="149B0864">
            <w:pPr>
              <w:pStyle w:val="38"/>
              <w:bidi w:val="0"/>
              <w:rPr>
                <w:rFonts w:hint="eastAsia" w:eastAsia="宋体"/>
                <w:color w:val="auto"/>
                <w:highlight w:val="none"/>
                <w:lang w:eastAsia="zh-CN"/>
              </w:rPr>
            </w:pPr>
            <w:r>
              <w:rPr>
                <w:color w:val="auto"/>
                <w:highlight w:val="none"/>
              </w:rPr>
              <w:t>项目厂房地面采取硬化防渗措施。项目正常运营情况下，不存在污染土壤及地下水环境的途径，根据《建设项目环境影响报告表编制技术指南（污染影响类）（试行）》（环办环评〔2020〕33号），原则上可不开展地下水、土壤环境质量现状调查</w:t>
            </w:r>
            <w:r>
              <w:rPr>
                <w:rFonts w:hint="eastAsia"/>
                <w:color w:val="auto"/>
                <w:highlight w:val="none"/>
                <w:lang w:eastAsia="zh-CN"/>
              </w:rPr>
              <w:t>。</w:t>
            </w:r>
          </w:p>
          <w:p w14:paraId="7B279ED8">
            <w:pPr>
              <w:pStyle w:val="38"/>
              <w:bidi w:val="0"/>
              <w:rPr>
                <w:rFonts w:hint="default"/>
                <w:color w:val="auto"/>
                <w:highlight w:val="none"/>
              </w:rPr>
            </w:pPr>
          </w:p>
          <w:p w14:paraId="74C9B6C0">
            <w:pPr>
              <w:pStyle w:val="38"/>
              <w:rPr>
                <w:rFonts w:hint="default" w:ascii="Times New Roman" w:hAnsi="Times New Roman" w:cs="Times New Roman"/>
                <w:color w:val="auto"/>
                <w:highlight w:val="none"/>
              </w:rPr>
            </w:pPr>
          </w:p>
        </w:tc>
      </w:tr>
      <w:tr w14:paraId="1476CE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9" w:type="dxa"/>
            <w:vAlign w:val="center"/>
          </w:tcPr>
          <w:p w14:paraId="40729A04">
            <w:pPr>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w:t>
            </w:r>
          </w:p>
          <w:p w14:paraId="078B6632">
            <w:pPr>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保护</w:t>
            </w:r>
          </w:p>
          <w:p w14:paraId="4A117CB9">
            <w:pPr>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目标</w:t>
            </w:r>
          </w:p>
        </w:tc>
        <w:tc>
          <w:tcPr>
            <w:tcW w:w="8694" w:type="dxa"/>
            <w:vAlign w:val="center"/>
          </w:tcPr>
          <w:p w14:paraId="5BF51705">
            <w:pPr>
              <w:pStyle w:val="38"/>
              <w:ind w:firstLine="422"/>
              <w:rPr>
                <w:rFonts w:hint="default" w:ascii="Times New Roman" w:hAnsi="Times New Roman" w:cs="Times New Roman"/>
                <w:b/>
                <w:bCs/>
                <w:color w:val="auto"/>
                <w:highlight w:val="none"/>
              </w:rPr>
            </w:pPr>
            <w:r>
              <w:rPr>
                <w:rFonts w:hint="eastAsia" w:cs="Times New Roman"/>
                <w:b/>
                <w:bCs/>
                <w:color w:val="auto"/>
                <w:highlight w:val="none"/>
                <w:lang w:val="en-US" w:eastAsia="zh-CN"/>
              </w:rPr>
              <w:t>3、</w:t>
            </w:r>
            <w:r>
              <w:rPr>
                <w:rFonts w:hint="default" w:ascii="Times New Roman" w:hAnsi="Times New Roman" w:cs="Times New Roman"/>
                <w:b/>
                <w:bCs/>
                <w:color w:val="auto"/>
                <w:highlight w:val="none"/>
              </w:rPr>
              <w:t>主要环境保护目标</w:t>
            </w:r>
          </w:p>
          <w:p w14:paraId="6481031D">
            <w:pPr>
              <w:pStyle w:val="38"/>
              <w:bidi w:val="0"/>
              <w:rPr>
                <w:rFonts w:hint="default" w:ascii="Times New Roman" w:hAnsi="Times New Roman" w:eastAsia="宋体"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1</w:t>
            </w:r>
            <w:r>
              <w:rPr>
                <w:rFonts w:hint="eastAsia" w:cs="Times New Roman"/>
                <w:color w:val="auto"/>
                <w:highlight w:val="none"/>
                <w:lang w:eastAsia="zh-CN"/>
              </w:rPr>
              <w:t>）</w:t>
            </w:r>
            <w:r>
              <w:rPr>
                <w:rFonts w:hint="default" w:ascii="Times New Roman" w:hAnsi="Times New Roman" w:eastAsia="宋体" w:cs="Times New Roman"/>
                <w:color w:val="auto"/>
                <w:highlight w:val="none"/>
              </w:rPr>
              <w:t>环境空气：主要保护项目厂区周边500m范围村庄村民等，区域环境空气执行</w:t>
            </w:r>
            <w:r>
              <w:rPr>
                <w:rFonts w:hint="eastAsia" w:ascii="Times New Roman" w:hAnsi="Times New Roman" w:eastAsia="宋体" w:cs="Times New Roman"/>
                <w:color w:val="auto"/>
                <w:highlight w:val="none"/>
              </w:rPr>
              <w:t>《环境空气质量标准》（GB3095-20</w:t>
            </w:r>
            <w:r>
              <w:rPr>
                <w:rFonts w:hint="eastAsia" w:ascii="Times New Roman" w:hAnsi="Times New Roman" w:eastAsia="宋体" w:cs="Times New Roman"/>
                <w:color w:val="auto"/>
                <w:highlight w:val="none"/>
                <w:lang w:val="en-US" w:eastAsia="zh-CN"/>
              </w:rPr>
              <w:t>26</w:t>
            </w:r>
            <w:r>
              <w:rPr>
                <w:rFonts w:hint="eastAsia"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中过渡阶段二级标准限值</w:t>
            </w:r>
            <w:r>
              <w:rPr>
                <w:rFonts w:hint="default" w:ascii="Times New Roman" w:hAnsi="Times New Roman" w:eastAsia="宋体" w:cs="Times New Roman"/>
                <w:color w:val="auto"/>
                <w:highlight w:val="none"/>
              </w:rPr>
              <w:t>要求。</w:t>
            </w:r>
          </w:p>
          <w:p w14:paraId="446169BE">
            <w:pPr>
              <w:pStyle w:val="38"/>
              <w:bidi w:val="0"/>
              <w:rPr>
                <w:rFonts w:hint="default" w:ascii="Times New Roman" w:hAnsi="Times New Roman"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2</w:t>
            </w:r>
            <w:r>
              <w:rPr>
                <w:rFonts w:hint="eastAsia" w:cs="Times New Roman"/>
                <w:color w:val="auto"/>
                <w:highlight w:val="none"/>
                <w:lang w:eastAsia="zh-CN"/>
              </w:rPr>
              <w:t>）</w:t>
            </w:r>
            <w:r>
              <w:rPr>
                <w:rFonts w:hint="default" w:ascii="Times New Roman" w:hAnsi="Times New Roman" w:cs="Times New Roman"/>
                <w:color w:val="auto"/>
                <w:highlight w:val="none"/>
              </w:rPr>
              <w:t>项目厂界外50m范围内无声环境保护目标。</w:t>
            </w:r>
          </w:p>
          <w:p w14:paraId="682281AD">
            <w:pPr>
              <w:pStyle w:val="38"/>
              <w:bidi w:val="0"/>
              <w:rPr>
                <w:rFonts w:hint="default" w:ascii="Times New Roman" w:hAnsi="Times New Roman"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3</w:t>
            </w:r>
            <w:r>
              <w:rPr>
                <w:rFonts w:hint="eastAsia" w:cs="Times New Roman"/>
                <w:color w:val="auto"/>
                <w:highlight w:val="none"/>
                <w:lang w:eastAsia="zh-CN"/>
              </w:rPr>
              <w:t>）</w:t>
            </w:r>
            <w:r>
              <w:rPr>
                <w:rFonts w:hint="default" w:ascii="Times New Roman" w:hAnsi="Times New Roman" w:cs="Times New Roman"/>
                <w:color w:val="auto"/>
                <w:highlight w:val="none"/>
              </w:rPr>
              <w:t>项目厂界外500m范围内无地下水集中式饮用水源和热水、矿泉水、温泉等特殊地下水资源。</w:t>
            </w:r>
          </w:p>
          <w:p w14:paraId="0ED5BA05">
            <w:pPr>
              <w:pStyle w:val="38"/>
              <w:bidi w:val="0"/>
              <w:rPr>
                <w:rFonts w:hint="default" w:ascii="Times New Roman" w:hAnsi="Times New Roman"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4</w:t>
            </w:r>
            <w:r>
              <w:rPr>
                <w:rFonts w:hint="eastAsia" w:cs="Times New Roman"/>
                <w:color w:val="auto"/>
                <w:highlight w:val="none"/>
                <w:lang w:eastAsia="zh-CN"/>
              </w:rPr>
              <w:t>）</w:t>
            </w:r>
            <w:r>
              <w:rPr>
                <w:rFonts w:hint="default" w:ascii="Times New Roman" w:hAnsi="Times New Roman" w:cs="Times New Roman"/>
                <w:color w:val="auto"/>
                <w:highlight w:val="none"/>
              </w:rPr>
              <w:t>项目于厂区内现有厂房</w:t>
            </w:r>
            <w:r>
              <w:rPr>
                <w:rFonts w:hint="eastAsia" w:cs="Times New Roman"/>
                <w:color w:val="auto"/>
                <w:highlight w:val="none"/>
                <w:lang w:eastAsia="zh-CN"/>
              </w:rPr>
              <w:t>进行建设</w:t>
            </w:r>
            <w:r>
              <w:rPr>
                <w:rFonts w:hint="default" w:ascii="Times New Roman" w:hAnsi="Times New Roman" w:cs="Times New Roman"/>
                <w:color w:val="auto"/>
                <w:highlight w:val="none"/>
              </w:rPr>
              <w:t>，不新增用地，周边无生态环境保护目标。</w:t>
            </w:r>
          </w:p>
          <w:p w14:paraId="384E0212">
            <w:pPr>
              <w:pStyle w:val="3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项目主要环境保护目标与保护等级见下表。</w:t>
            </w:r>
          </w:p>
          <w:p w14:paraId="23EF2624">
            <w:pPr>
              <w:pStyle w:val="39"/>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18</w:t>
            </w:r>
            <w:r>
              <w:rPr>
                <w:rFonts w:hint="default" w:ascii="Times New Roman" w:hAnsi="Times New Roman" w:cs="Times New Roman"/>
                <w:color w:val="auto"/>
                <w:highlight w:val="none"/>
              </w:rPr>
              <w:t xml:space="preserve"> 拟建项目周边主要环境保护目标</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1"/>
              <w:gridCol w:w="1238"/>
              <w:gridCol w:w="1487"/>
              <w:gridCol w:w="1712"/>
              <w:gridCol w:w="2850"/>
            </w:tblGrid>
            <w:tr w14:paraId="02B48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1" w:type="dxa"/>
                  <w:vAlign w:val="center"/>
                </w:tcPr>
                <w:p w14:paraId="5F026E73">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保护类别</w:t>
                  </w:r>
                </w:p>
              </w:tc>
              <w:tc>
                <w:tcPr>
                  <w:tcW w:w="1238" w:type="dxa"/>
                  <w:vAlign w:val="center"/>
                </w:tcPr>
                <w:p w14:paraId="7B5420F8">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保护目标</w:t>
                  </w:r>
                </w:p>
              </w:tc>
              <w:tc>
                <w:tcPr>
                  <w:tcW w:w="1487" w:type="dxa"/>
                  <w:vAlign w:val="center"/>
                </w:tcPr>
                <w:p w14:paraId="6581B936">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相对厂址方位</w:t>
                  </w:r>
                </w:p>
              </w:tc>
              <w:tc>
                <w:tcPr>
                  <w:tcW w:w="1712" w:type="dxa"/>
                  <w:vAlign w:val="center"/>
                </w:tcPr>
                <w:p w14:paraId="3CAB34D8">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距厂址距离（米）</w:t>
                  </w:r>
                </w:p>
              </w:tc>
              <w:tc>
                <w:tcPr>
                  <w:tcW w:w="2850" w:type="dxa"/>
                  <w:vAlign w:val="center"/>
                </w:tcPr>
                <w:p w14:paraId="0F170F59">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保护级别</w:t>
                  </w:r>
                </w:p>
              </w:tc>
            </w:tr>
            <w:tr w14:paraId="31946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1" w:type="dxa"/>
                  <w:vAlign w:val="center"/>
                </w:tcPr>
                <w:p w14:paraId="633B8AD1">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大气环境</w:t>
                  </w:r>
                </w:p>
              </w:tc>
              <w:tc>
                <w:tcPr>
                  <w:tcW w:w="4437" w:type="dxa"/>
                  <w:gridSpan w:val="3"/>
                  <w:vAlign w:val="center"/>
                </w:tcPr>
                <w:p w14:paraId="7E494E10">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厂界外500米范围内无空气保护目标</w:t>
                  </w:r>
                </w:p>
              </w:tc>
              <w:tc>
                <w:tcPr>
                  <w:tcW w:w="2850" w:type="dxa"/>
                  <w:vAlign w:val="center"/>
                </w:tcPr>
                <w:p w14:paraId="5D44C05C">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FF0000"/>
                      <w:sz w:val="20"/>
                      <w:szCs w:val="20"/>
                      <w:highlight w:val="none"/>
                      <w:lang w:eastAsia="zh-CN"/>
                    </w:rPr>
                    <w:t>《环境空气质量标准》（GB3095-20</w:t>
                  </w:r>
                  <w:r>
                    <w:rPr>
                      <w:rFonts w:hint="eastAsia" w:ascii="Times New Roman" w:hAnsi="Times New Roman" w:eastAsia="宋体" w:cs="Times New Roman"/>
                      <w:color w:val="FF0000"/>
                      <w:sz w:val="20"/>
                      <w:szCs w:val="20"/>
                      <w:highlight w:val="none"/>
                      <w:lang w:val="en-US" w:eastAsia="zh-CN"/>
                    </w:rPr>
                    <w:t>26</w:t>
                  </w:r>
                  <w:r>
                    <w:rPr>
                      <w:rFonts w:hint="eastAsia" w:ascii="Times New Roman" w:hAnsi="Times New Roman" w:eastAsia="宋体" w:cs="Times New Roman"/>
                      <w:color w:val="FF0000"/>
                      <w:sz w:val="20"/>
                      <w:szCs w:val="20"/>
                      <w:highlight w:val="none"/>
                      <w:lang w:eastAsia="zh-CN"/>
                    </w:rPr>
                    <w:t>）</w:t>
                  </w:r>
                  <w:r>
                    <w:rPr>
                      <w:rFonts w:hint="eastAsia" w:ascii="Times New Roman" w:hAnsi="Times New Roman" w:eastAsia="宋体" w:cs="Times New Roman"/>
                      <w:color w:val="FF0000"/>
                      <w:sz w:val="20"/>
                      <w:szCs w:val="20"/>
                      <w:highlight w:val="none"/>
                      <w:lang w:val="en-US" w:eastAsia="zh-CN"/>
                    </w:rPr>
                    <w:t>中过渡阶段二级标准限值</w:t>
                  </w:r>
                </w:p>
              </w:tc>
            </w:tr>
            <w:tr w14:paraId="3E682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1" w:type="dxa"/>
                  <w:vMerge w:val="restart"/>
                  <w:vAlign w:val="center"/>
                </w:tcPr>
                <w:p w14:paraId="268DFD8C">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地表水</w:t>
                  </w:r>
                </w:p>
                <w:p w14:paraId="30449D55">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环境</w:t>
                  </w:r>
                </w:p>
              </w:tc>
              <w:tc>
                <w:tcPr>
                  <w:tcW w:w="1238" w:type="dxa"/>
                  <w:vAlign w:val="center"/>
                </w:tcPr>
                <w:p w14:paraId="53548591">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孝妇河</w:t>
                  </w:r>
                </w:p>
              </w:tc>
              <w:tc>
                <w:tcPr>
                  <w:tcW w:w="1487" w:type="dxa"/>
                  <w:vAlign w:val="center"/>
                </w:tcPr>
                <w:p w14:paraId="6C94F4A6">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val="en-US" w:eastAsia="zh-CN"/>
                    </w:rPr>
                    <w:t>E</w:t>
                  </w:r>
                </w:p>
              </w:tc>
              <w:tc>
                <w:tcPr>
                  <w:tcW w:w="1712" w:type="dxa"/>
                  <w:vAlign w:val="center"/>
                </w:tcPr>
                <w:p w14:paraId="297A7081">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1960</w:t>
                  </w:r>
                </w:p>
              </w:tc>
              <w:tc>
                <w:tcPr>
                  <w:tcW w:w="2850" w:type="dxa"/>
                  <w:vMerge w:val="restart"/>
                  <w:vAlign w:val="center"/>
                </w:tcPr>
                <w:p w14:paraId="593AC36D">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《地表水环境质量标准》（GB3838-2002）Ⅴ类</w:t>
                  </w:r>
                </w:p>
              </w:tc>
            </w:tr>
            <w:tr w14:paraId="76CA4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1" w:type="dxa"/>
                  <w:vMerge w:val="continue"/>
                  <w:vAlign w:val="center"/>
                </w:tcPr>
                <w:p w14:paraId="5205CE57">
                  <w:pPr>
                    <w:pStyle w:val="41"/>
                    <w:rPr>
                      <w:rFonts w:hint="eastAsia" w:ascii="Times New Roman" w:hAnsi="Times New Roman" w:eastAsia="宋体" w:cs="Times New Roman"/>
                      <w:color w:val="auto"/>
                      <w:sz w:val="20"/>
                      <w:szCs w:val="20"/>
                      <w:highlight w:val="none"/>
                      <w:lang w:eastAsia="zh-CN"/>
                    </w:rPr>
                  </w:pPr>
                </w:p>
              </w:tc>
              <w:tc>
                <w:tcPr>
                  <w:tcW w:w="1238" w:type="dxa"/>
                  <w:vAlign w:val="center"/>
                </w:tcPr>
                <w:p w14:paraId="7C11002E">
                  <w:pPr>
                    <w:pStyle w:val="41"/>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范阳河</w:t>
                  </w:r>
                </w:p>
              </w:tc>
              <w:tc>
                <w:tcPr>
                  <w:tcW w:w="1487" w:type="dxa"/>
                  <w:vAlign w:val="center"/>
                </w:tcPr>
                <w:p w14:paraId="3CE6FE00">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WNW</w:t>
                  </w:r>
                </w:p>
              </w:tc>
              <w:tc>
                <w:tcPr>
                  <w:tcW w:w="1712" w:type="dxa"/>
                  <w:vAlign w:val="center"/>
                </w:tcPr>
                <w:p w14:paraId="459203C6">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1620</w:t>
                  </w:r>
                </w:p>
              </w:tc>
              <w:tc>
                <w:tcPr>
                  <w:tcW w:w="2850" w:type="dxa"/>
                  <w:vMerge w:val="continue"/>
                  <w:vAlign w:val="center"/>
                </w:tcPr>
                <w:p w14:paraId="23149F9A">
                  <w:pPr>
                    <w:pStyle w:val="41"/>
                    <w:rPr>
                      <w:rFonts w:hint="eastAsia" w:ascii="Times New Roman" w:hAnsi="Times New Roman" w:eastAsia="宋体" w:cs="Times New Roman"/>
                      <w:color w:val="auto"/>
                      <w:sz w:val="20"/>
                      <w:szCs w:val="20"/>
                      <w:highlight w:val="none"/>
                      <w:lang w:eastAsia="zh-CN"/>
                    </w:rPr>
                  </w:pPr>
                </w:p>
              </w:tc>
            </w:tr>
            <w:tr w14:paraId="5987C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1" w:type="dxa"/>
                  <w:vAlign w:val="center"/>
                </w:tcPr>
                <w:p w14:paraId="3BA5BC00">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地下水</w:t>
                  </w:r>
                </w:p>
                <w:p w14:paraId="602A2B4F">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环境</w:t>
                  </w:r>
                </w:p>
              </w:tc>
              <w:tc>
                <w:tcPr>
                  <w:tcW w:w="4437" w:type="dxa"/>
                  <w:gridSpan w:val="3"/>
                  <w:vAlign w:val="center"/>
                </w:tcPr>
                <w:p w14:paraId="4CCC5156">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厂界周边500m范围内无地下水集中式饮用水水源和热水、矿泉水、温泉等特殊地下水资源</w:t>
                  </w:r>
                </w:p>
              </w:tc>
              <w:tc>
                <w:tcPr>
                  <w:tcW w:w="2850" w:type="dxa"/>
                  <w:vAlign w:val="center"/>
                </w:tcPr>
                <w:p w14:paraId="55592FB3">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《地下水质量标准》（GB/T14848-2017）Ⅲ类标准</w:t>
                  </w:r>
                </w:p>
              </w:tc>
            </w:tr>
            <w:tr w14:paraId="010AF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1" w:type="dxa"/>
                  <w:vAlign w:val="center"/>
                </w:tcPr>
                <w:p w14:paraId="4A341E29">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声环境</w:t>
                  </w:r>
                </w:p>
              </w:tc>
              <w:tc>
                <w:tcPr>
                  <w:tcW w:w="4437" w:type="dxa"/>
                  <w:gridSpan w:val="3"/>
                  <w:vAlign w:val="center"/>
                </w:tcPr>
                <w:p w14:paraId="4C75F538">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厂界外50米范围内无声环境保护目标</w:t>
                  </w:r>
                </w:p>
              </w:tc>
              <w:tc>
                <w:tcPr>
                  <w:tcW w:w="2850" w:type="dxa"/>
                  <w:vAlign w:val="center"/>
                </w:tcPr>
                <w:p w14:paraId="644D3584">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《声环境质量标准》（GB3096-2008）</w:t>
                  </w:r>
                  <w:r>
                    <w:rPr>
                      <w:rFonts w:hint="eastAsia" w:ascii="Times New Roman" w:hAnsi="Times New Roman" w:eastAsia="宋体" w:cs="Times New Roman"/>
                      <w:color w:val="auto"/>
                      <w:sz w:val="20"/>
                      <w:szCs w:val="20"/>
                      <w:highlight w:val="none"/>
                      <w:lang w:val="en-US" w:eastAsia="zh-CN"/>
                    </w:rPr>
                    <w:t>3</w:t>
                  </w:r>
                  <w:r>
                    <w:rPr>
                      <w:rFonts w:hint="eastAsia" w:ascii="Times New Roman" w:hAnsi="Times New Roman" w:eastAsia="宋体" w:cs="Times New Roman"/>
                      <w:color w:val="auto"/>
                      <w:sz w:val="20"/>
                      <w:szCs w:val="20"/>
                      <w:highlight w:val="none"/>
                      <w:lang w:eastAsia="zh-CN"/>
                    </w:rPr>
                    <w:t>类标准</w:t>
                  </w:r>
                </w:p>
              </w:tc>
            </w:tr>
          </w:tbl>
          <w:p w14:paraId="7CCDE17C">
            <w:pPr>
              <w:rPr>
                <w:rFonts w:hint="default" w:ascii="Times New Roman" w:hAnsi="Times New Roman" w:cs="Times New Roman"/>
                <w:color w:val="auto"/>
                <w:highlight w:val="none"/>
              </w:rPr>
            </w:pPr>
          </w:p>
        </w:tc>
      </w:tr>
      <w:tr w14:paraId="65D7A7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99" w:type="dxa"/>
            <w:tcMar>
              <w:left w:w="28" w:type="dxa"/>
              <w:right w:w="28" w:type="dxa"/>
            </w:tcMar>
            <w:vAlign w:val="center"/>
          </w:tcPr>
          <w:p w14:paraId="0C806441">
            <w:pPr>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w:t>
            </w:r>
          </w:p>
          <w:p w14:paraId="3492BB80">
            <w:pPr>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物排</w:t>
            </w:r>
          </w:p>
          <w:p w14:paraId="7C2FE594">
            <w:pPr>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放控</w:t>
            </w:r>
          </w:p>
          <w:p w14:paraId="548754ED">
            <w:pPr>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制标</w:t>
            </w:r>
          </w:p>
          <w:p w14:paraId="66D1F32B">
            <w:pPr>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准</w:t>
            </w:r>
          </w:p>
        </w:tc>
        <w:tc>
          <w:tcPr>
            <w:tcW w:w="8694" w:type="dxa"/>
          </w:tcPr>
          <w:p w14:paraId="1D75EA80">
            <w:pPr>
              <w:pStyle w:val="38"/>
              <w:ind w:firstLine="422"/>
              <w:rPr>
                <w:rFonts w:hint="default"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lang w:val="en-US" w:eastAsia="zh-CN"/>
              </w:rPr>
              <w:t>1、</w:t>
            </w:r>
            <w:r>
              <w:rPr>
                <w:rFonts w:hint="default" w:ascii="Times New Roman" w:hAnsi="Times New Roman" w:eastAsia="宋体" w:cs="Times New Roman"/>
                <w:b/>
                <w:bCs/>
                <w:color w:val="auto"/>
                <w:highlight w:val="none"/>
              </w:rPr>
              <w:t>废气</w:t>
            </w:r>
          </w:p>
          <w:p w14:paraId="5810456F">
            <w:pPr>
              <w:pStyle w:val="38"/>
              <w:bidi w:val="0"/>
              <w:rPr>
                <w:color w:val="auto"/>
                <w:highlight w:val="none"/>
              </w:rPr>
            </w:pPr>
            <w:r>
              <w:rPr>
                <w:rFonts w:hint="eastAsia"/>
                <w:color w:val="auto"/>
                <w:highlight w:val="none"/>
                <w:lang w:eastAsia="zh-CN"/>
              </w:rPr>
              <w:t>项目营运期</w:t>
            </w:r>
            <w:r>
              <w:rPr>
                <w:color w:val="auto"/>
                <w:highlight w:val="none"/>
              </w:rPr>
              <w:t>有组织VOCs排放执行山东省地方标准《挥发性有机物排放标准第3部分：家具制造业》（DB37/2801.3-2017）中表1第Ⅱ时段的排放限值标准要求</w:t>
            </w:r>
            <w:r>
              <w:rPr>
                <w:rFonts w:hint="eastAsia"/>
                <w:color w:val="auto"/>
                <w:highlight w:val="none"/>
              </w:rPr>
              <w:t>。</w:t>
            </w:r>
          </w:p>
          <w:p w14:paraId="22730228">
            <w:pPr>
              <w:pStyle w:val="38"/>
              <w:bidi w:val="0"/>
              <w:rPr>
                <w:color w:val="auto"/>
                <w:highlight w:val="none"/>
              </w:rPr>
            </w:pPr>
            <w:r>
              <w:rPr>
                <w:rFonts w:hint="eastAsia"/>
                <w:color w:val="auto"/>
                <w:highlight w:val="none"/>
                <w:lang w:eastAsia="zh-CN"/>
              </w:rPr>
              <w:t>项目营运期厂界</w:t>
            </w:r>
            <w:r>
              <w:rPr>
                <w:color w:val="auto"/>
                <w:highlight w:val="none"/>
              </w:rPr>
              <w:t>无组织颗粒物执行</w:t>
            </w:r>
            <w:r>
              <w:rPr>
                <w:rFonts w:hint="eastAsia"/>
                <w:color w:val="auto"/>
                <w:highlight w:val="none"/>
              </w:rPr>
              <w:t>《大气污染物综合排放标准》(GB16297-1996)表2中的无组织排放监控浓度限值（颗粒物：1.0mg/m</w:t>
            </w:r>
            <w:r>
              <w:rPr>
                <w:rFonts w:hint="eastAsia"/>
                <w:color w:val="auto"/>
                <w:highlight w:val="none"/>
                <w:vertAlign w:val="superscript"/>
              </w:rPr>
              <w:t>3</w:t>
            </w:r>
            <w:r>
              <w:rPr>
                <w:rFonts w:hint="eastAsia"/>
                <w:color w:val="auto"/>
                <w:highlight w:val="none"/>
              </w:rPr>
              <w:t>）；无</w:t>
            </w:r>
            <w:r>
              <w:rPr>
                <w:color w:val="auto"/>
                <w:highlight w:val="none"/>
              </w:rPr>
              <w:t>组织VOCs执行山东省地方标准《挥发性有机物排放标准第3部分：家具制造业》（DB37/2801.3-2017）中表2厂界监控点浓度限值。</w:t>
            </w:r>
          </w:p>
          <w:p w14:paraId="71B29282">
            <w:pPr>
              <w:pStyle w:val="39"/>
              <w:bidi w:val="0"/>
              <w:rPr>
                <w:rFonts w:hint="default"/>
                <w:color w:val="auto"/>
                <w:highlight w:val="none"/>
                <w:lang w:val="en-US" w:eastAsia="zh-CN"/>
              </w:rPr>
            </w:pPr>
            <w:r>
              <w:rPr>
                <w:rFonts w:hint="default"/>
                <w:color w:val="auto"/>
                <w:highlight w:val="none"/>
                <w:lang w:val="en-US" w:eastAsia="zh-CN"/>
              </w:rPr>
              <w:t>表</w:t>
            </w:r>
            <w:r>
              <w:rPr>
                <w:rFonts w:hint="eastAsia"/>
                <w:color w:val="auto"/>
                <w:highlight w:val="none"/>
                <w:lang w:val="en-US" w:eastAsia="zh-CN"/>
              </w:rPr>
              <w:t xml:space="preserve">19 </w:t>
            </w:r>
            <w:r>
              <w:rPr>
                <w:rFonts w:hint="default"/>
                <w:color w:val="auto"/>
                <w:highlight w:val="none"/>
                <w:lang w:val="en-US" w:eastAsia="zh-CN"/>
              </w:rPr>
              <w:t>废气排放执行标准一览表</w:t>
            </w:r>
          </w:p>
          <w:tbl>
            <w:tblPr>
              <w:tblStyle w:val="29"/>
              <w:tblW w:w="497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237"/>
              <w:gridCol w:w="1331"/>
              <w:gridCol w:w="1582"/>
              <w:gridCol w:w="1572"/>
              <w:gridCol w:w="2714"/>
            </w:tblGrid>
            <w:tr w14:paraId="45FD839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237" w:type="dxa"/>
                  <w:vAlign w:val="center"/>
                </w:tcPr>
                <w:p w14:paraId="23DA68EF">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污染因子</w:t>
                  </w:r>
                </w:p>
              </w:tc>
              <w:tc>
                <w:tcPr>
                  <w:tcW w:w="1331" w:type="dxa"/>
                  <w:vAlign w:val="center"/>
                </w:tcPr>
                <w:p w14:paraId="7E92A0A1">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排放形式</w:t>
                  </w:r>
                </w:p>
              </w:tc>
              <w:tc>
                <w:tcPr>
                  <w:tcW w:w="1582" w:type="dxa"/>
                  <w:vAlign w:val="center"/>
                </w:tcPr>
                <w:p w14:paraId="3F5588FF">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最高允许排放浓度mg/m</w:t>
                  </w:r>
                  <w:r>
                    <w:rPr>
                      <w:rFonts w:hint="eastAsia" w:ascii="Times New Roman" w:hAnsi="Times New Roman" w:eastAsia="宋体" w:cs="Times New Roman"/>
                      <w:color w:val="auto"/>
                      <w:sz w:val="20"/>
                      <w:szCs w:val="20"/>
                      <w:highlight w:val="none"/>
                      <w:vertAlign w:val="superscript"/>
                      <w:lang w:val="en-US" w:eastAsia="zh-CN"/>
                    </w:rPr>
                    <w:t>3</w:t>
                  </w:r>
                </w:p>
              </w:tc>
              <w:tc>
                <w:tcPr>
                  <w:tcW w:w="1572" w:type="dxa"/>
                  <w:vAlign w:val="center"/>
                </w:tcPr>
                <w:p w14:paraId="074F15A9">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排放速率kg/h</w:t>
                  </w:r>
                </w:p>
              </w:tc>
              <w:tc>
                <w:tcPr>
                  <w:tcW w:w="2714" w:type="dxa"/>
                  <w:vAlign w:val="center"/>
                </w:tcPr>
                <w:p w14:paraId="22FC02BE">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标准来源</w:t>
                  </w:r>
                </w:p>
              </w:tc>
            </w:tr>
            <w:tr w14:paraId="362B449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2" w:hRule="atLeast"/>
                <w:jc w:val="center"/>
              </w:trPr>
              <w:tc>
                <w:tcPr>
                  <w:tcW w:w="1237" w:type="dxa"/>
                  <w:vAlign w:val="center"/>
                </w:tcPr>
                <w:p w14:paraId="07699CF4">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VOCs</w:t>
                  </w:r>
                </w:p>
              </w:tc>
              <w:tc>
                <w:tcPr>
                  <w:tcW w:w="1331" w:type="dxa"/>
                  <w:vAlign w:val="center"/>
                </w:tcPr>
                <w:p w14:paraId="434D2AC5">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有组织</w:t>
                  </w:r>
                </w:p>
              </w:tc>
              <w:tc>
                <w:tcPr>
                  <w:tcW w:w="1582" w:type="dxa"/>
                  <w:vAlign w:val="center"/>
                </w:tcPr>
                <w:p w14:paraId="3B42E7ED">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40</w:t>
                  </w:r>
                </w:p>
              </w:tc>
              <w:tc>
                <w:tcPr>
                  <w:tcW w:w="1572" w:type="dxa"/>
                  <w:vAlign w:val="center"/>
                </w:tcPr>
                <w:p w14:paraId="20F8266C">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2.4</w:t>
                  </w:r>
                </w:p>
              </w:tc>
              <w:tc>
                <w:tcPr>
                  <w:tcW w:w="2714" w:type="dxa"/>
                  <w:vAlign w:val="center"/>
                </w:tcPr>
                <w:p w14:paraId="14365F01">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DB37/2801.3-2017</w:t>
                  </w:r>
                </w:p>
              </w:tc>
            </w:tr>
            <w:tr w14:paraId="112F9A9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75" w:hRule="atLeast"/>
                <w:jc w:val="center"/>
              </w:trPr>
              <w:tc>
                <w:tcPr>
                  <w:tcW w:w="1237" w:type="dxa"/>
                  <w:vAlign w:val="center"/>
                </w:tcPr>
                <w:p w14:paraId="77E4EF3F">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颗粒物</w:t>
                  </w:r>
                </w:p>
              </w:tc>
              <w:tc>
                <w:tcPr>
                  <w:tcW w:w="1331" w:type="dxa"/>
                  <w:vMerge w:val="restart"/>
                  <w:vAlign w:val="center"/>
                </w:tcPr>
                <w:p w14:paraId="794C5B14">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无组织</w:t>
                  </w:r>
                </w:p>
              </w:tc>
              <w:tc>
                <w:tcPr>
                  <w:tcW w:w="1582" w:type="dxa"/>
                  <w:vAlign w:val="center"/>
                </w:tcPr>
                <w:p w14:paraId="20B04573">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1</w:t>
                  </w:r>
                  <w:r>
                    <w:rPr>
                      <w:rFonts w:hint="eastAsia" w:ascii="Times New Roman" w:hAnsi="Times New Roman" w:eastAsia="宋体" w:cs="Times New Roman"/>
                      <w:color w:val="auto"/>
                      <w:sz w:val="20"/>
                      <w:szCs w:val="20"/>
                      <w:highlight w:val="none"/>
                      <w:lang w:val="en-US" w:eastAsia="zh-CN"/>
                    </w:rPr>
                    <w:t>.0</w:t>
                  </w:r>
                </w:p>
              </w:tc>
              <w:tc>
                <w:tcPr>
                  <w:tcW w:w="1572" w:type="dxa"/>
                  <w:vAlign w:val="center"/>
                </w:tcPr>
                <w:p w14:paraId="7D908AE2">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c>
                <w:tcPr>
                  <w:tcW w:w="2714" w:type="dxa"/>
                  <w:vAlign w:val="center"/>
                </w:tcPr>
                <w:p w14:paraId="495F308D">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GB16297-1996</w:t>
                  </w:r>
                </w:p>
              </w:tc>
            </w:tr>
            <w:tr w14:paraId="3256F43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75" w:hRule="atLeast"/>
                <w:jc w:val="center"/>
              </w:trPr>
              <w:tc>
                <w:tcPr>
                  <w:tcW w:w="1237" w:type="dxa"/>
                  <w:vAlign w:val="center"/>
                </w:tcPr>
                <w:p w14:paraId="26321487">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VOCs</w:t>
                  </w:r>
                </w:p>
              </w:tc>
              <w:tc>
                <w:tcPr>
                  <w:tcW w:w="1331" w:type="dxa"/>
                  <w:vMerge w:val="continue"/>
                  <w:vAlign w:val="center"/>
                </w:tcPr>
                <w:p w14:paraId="16D40E4B">
                  <w:pPr>
                    <w:pStyle w:val="41"/>
                    <w:rPr>
                      <w:rFonts w:hint="default" w:ascii="Times New Roman" w:hAnsi="Times New Roman" w:eastAsia="宋体" w:cs="Times New Roman"/>
                      <w:color w:val="auto"/>
                      <w:sz w:val="20"/>
                      <w:szCs w:val="20"/>
                      <w:highlight w:val="none"/>
                      <w:lang w:val="en-US" w:eastAsia="zh-CN"/>
                    </w:rPr>
                  </w:pPr>
                </w:p>
              </w:tc>
              <w:tc>
                <w:tcPr>
                  <w:tcW w:w="1582" w:type="dxa"/>
                  <w:vAlign w:val="center"/>
                </w:tcPr>
                <w:p w14:paraId="6DDE5370">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2.0</w:t>
                  </w:r>
                </w:p>
              </w:tc>
              <w:tc>
                <w:tcPr>
                  <w:tcW w:w="1572" w:type="dxa"/>
                  <w:vAlign w:val="center"/>
                </w:tcPr>
                <w:p w14:paraId="560C0FB2">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c>
                <w:tcPr>
                  <w:tcW w:w="2714" w:type="dxa"/>
                  <w:vAlign w:val="center"/>
                </w:tcPr>
                <w:p w14:paraId="6A07F63D">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DB37/2801.3-2017</w:t>
                  </w:r>
                </w:p>
              </w:tc>
            </w:tr>
          </w:tbl>
          <w:p w14:paraId="15E7C43D">
            <w:pPr>
              <w:pStyle w:val="38"/>
              <w:ind w:firstLine="42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2、废水</w:t>
            </w:r>
          </w:p>
          <w:p w14:paraId="25FDB68E">
            <w:pPr>
              <w:pStyle w:val="38"/>
              <w:bidi w:val="0"/>
              <w:rPr>
                <w:rFonts w:hint="default"/>
                <w:color w:val="auto"/>
                <w:highlight w:val="none"/>
                <w:lang w:eastAsia="zh-CN"/>
              </w:rPr>
            </w:pPr>
            <w:r>
              <w:rPr>
                <w:rFonts w:hint="eastAsia"/>
                <w:color w:val="auto"/>
                <w:highlight w:val="none"/>
              </w:rPr>
              <w:t>项目</w:t>
            </w:r>
            <w:r>
              <w:rPr>
                <w:rFonts w:hint="eastAsia"/>
                <w:color w:val="auto"/>
                <w:highlight w:val="none"/>
                <w:lang w:eastAsia="zh-CN"/>
              </w:rPr>
              <w:t>生产过程不用水，项目</w:t>
            </w:r>
            <w:r>
              <w:rPr>
                <w:rFonts w:hint="eastAsia"/>
                <w:color w:val="auto"/>
                <w:highlight w:val="none"/>
              </w:rPr>
              <w:t>生活污水经化粪池处理后由环卫部门定期清运</w:t>
            </w:r>
            <w:r>
              <w:rPr>
                <w:rFonts w:hint="eastAsia"/>
                <w:color w:val="auto"/>
                <w:highlight w:val="none"/>
                <w:lang w:eastAsia="zh-CN"/>
              </w:rPr>
              <w:t>，</w:t>
            </w:r>
            <w:r>
              <w:rPr>
                <w:rFonts w:hint="eastAsia"/>
                <w:color w:val="auto"/>
                <w:highlight w:val="none"/>
              </w:rPr>
              <w:t>项目无废水排放。</w:t>
            </w:r>
          </w:p>
          <w:p w14:paraId="1FF0BAAC">
            <w:pPr>
              <w:pStyle w:val="38"/>
              <w:ind w:firstLine="42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3、噪声</w:t>
            </w:r>
          </w:p>
          <w:p w14:paraId="0D4AB301">
            <w:pPr>
              <w:pStyle w:val="38"/>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项目营运期执行《工业企业厂界环境噪声排放标准》（GB12348-2008）3类标准。</w:t>
            </w:r>
          </w:p>
          <w:p w14:paraId="7E47E8C9">
            <w:pPr>
              <w:pStyle w:val="3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w:t>
            </w:r>
            <w:r>
              <w:rPr>
                <w:rFonts w:hint="eastAsia" w:ascii="Times New Roman" w:hAnsi="Times New Roman" w:cs="Times New Roman"/>
                <w:color w:val="auto"/>
                <w:highlight w:val="none"/>
                <w:lang w:val="en-US" w:eastAsia="zh-CN"/>
              </w:rPr>
              <w:t>20</w:t>
            </w:r>
            <w:r>
              <w:rPr>
                <w:rFonts w:hint="default" w:ascii="Times New Roman" w:hAnsi="Times New Roman" w:cs="Times New Roman"/>
                <w:color w:val="auto"/>
                <w:highlight w:val="none"/>
                <w:lang w:val="en-US" w:eastAsia="zh-CN"/>
              </w:rPr>
              <w:t xml:space="preserve"> 《工业企业厂界环境噪声排放标准》（GB12348-2008）</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2"/>
              <w:gridCol w:w="2458"/>
              <w:gridCol w:w="2209"/>
              <w:gridCol w:w="2216"/>
            </w:tblGrid>
            <w:tr w14:paraId="3F1F9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34" w:type="pct"/>
                  <w:tcBorders>
                    <w:tl2br w:val="nil"/>
                    <w:tr2bl w:val="nil"/>
                  </w:tcBorders>
                  <w:noWrap w:val="0"/>
                  <w:vAlign w:val="center"/>
                </w:tcPr>
                <w:p w14:paraId="477239A2">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级别</w:t>
                  </w:r>
                </w:p>
              </w:tc>
              <w:tc>
                <w:tcPr>
                  <w:tcW w:w="1451" w:type="pct"/>
                  <w:tcBorders>
                    <w:tl2br w:val="nil"/>
                    <w:tr2bl w:val="nil"/>
                  </w:tcBorders>
                  <w:noWrap w:val="0"/>
                  <w:vAlign w:val="top"/>
                </w:tcPr>
                <w:p w14:paraId="65E602BA">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等效声级</w:t>
                  </w:r>
                </w:p>
              </w:tc>
              <w:tc>
                <w:tcPr>
                  <w:tcW w:w="1304" w:type="pct"/>
                  <w:tcBorders>
                    <w:tl2br w:val="nil"/>
                    <w:tr2bl w:val="nil"/>
                  </w:tcBorders>
                  <w:noWrap w:val="0"/>
                  <w:vAlign w:val="top"/>
                </w:tcPr>
                <w:p w14:paraId="193F5B98">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昼间</w:t>
                  </w:r>
                </w:p>
              </w:tc>
              <w:tc>
                <w:tcPr>
                  <w:tcW w:w="1308" w:type="pct"/>
                  <w:tcBorders>
                    <w:tl2br w:val="nil"/>
                    <w:tr2bl w:val="nil"/>
                  </w:tcBorders>
                  <w:noWrap w:val="0"/>
                  <w:vAlign w:val="top"/>
                </w:tcPr>
                <w:p w14:paraId="34C8B890">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夜间</w:t>
                  </w:r>
                </w:p>
              </w:tc>
            </w:tr>
            <w:tr w14:paraId="03AC1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34" w:type="pct"/>
                  <w:tcBorders>
                    <w:tl2br w:val="nil"/>
                    <w:tr2bl w:val="nil"/>
                  </w:tcBorders>
                  <w:noWrap w:val="0"/>
                  <w:vAlign w:val="center"/>
                </w:tcPr>
                <w:p w14:paraId="049AD9B0">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3</w:t>
                  </w:r>
                </w:p>
              </w:tc>
              <w:tc>
                <w:tcPr>
                  <w:tcW w:w="1451" w:type="pct"/>
                  <w:tcBorders>
                    <w:tl2br w:val="nil"/>
                    <w:tr2bl w:val="nil"/>
                  </w:tcBorders>
                  <w:noWrap w:val="0"/>
                  <w:vAlign w:val="center"/>
                </w:tcPr>
                <w:p w14:paraId="27B14F96">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dB（A）</w:t>
                  </w:r>
                </w:p>
              </w:tc>
              <w:tc>
                <w:tcPr>
                  <w:tcW w:w="1304" w:type="pct"/>
                  <w:tcBorders>
                    <w:tl2br w:val="nil"/>
                    <w:tr2bl w:val="nil"/>
                  </w:tcBorders>
                  <w:noWrap w:val="0"/>
                  <w:vAlign w:val="center"/>
                </w:tcPr>
                <w:p w14:paraId="0A8F447B">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65</w:t>
                  </w:r>
                </w:p>
              </w:tc>
              <w:tc>
                <w:tcPr>
                  <w:tcW w:w="1308" w:type="pct"/>
                  <w:tcBorders>
                    <w:tl2br w:val="nil"/>
                    <w:tr2bl w:val="nil"/>
                  </w:tcBorders>
                  <w:noWrap w:val="0"/>
                  <w:vAlign w:val="center"/>
                </w:tcPr>
                <w:p w14:paraId="3CF0D0C2">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55</w:t>
                  </w:r>
                </w:p>
              </w:tc>
            </w:tr>
          </w:tbl>
          <w:p w14:paraId="42C31F0A">
            <w:pPr>
              <w:pStyle w:val="38"/>
              <w:ind w:firstLine="42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4、固体废物</w:t>
            </w:r>
          </w:p>
          <w:p w14:paraId="37201BCF">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t>一般固体废物须满足《中华人民共和国固体废物污染环境防治法》中防扬散、防流失、防渗漏相关要求及《一般工业固体废物管理台账制定指南（试行）》（公告2021年第82号）要求，危险废物贮存点执行《危险废物贮存污染控制标准》(GB 18597-2023)的规定。</w:t>
            </w:r>
          </w:p>
        </w:tc>
      </w:tr>
      <w:tr w14:paraId="33F1EF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46" w:hRule="atLeast"/>
          <w:jc w:val="center"/>
        </w:trPr>
        <w:tc>
          <w:tcPr>
            <w:tcW w:w="699" w:type="dxa"/>
            <w:tcMar>
              <w:left w:w="28" w:type="dxa"/>
              <w:right w:w="28" w:type="dxa"/>
            </w:tcMar>
            <w:vAlign w:val="center"/>
          </w:tcPr>
          <w:p w14:paraId="7EE2406B">
            <w:pPr>
              <w:adjustRightInd w:val="0"/>
              <w:jc w:val="center"/>
              <w:rPr>
                <w:rFonts w:hint="default" w:ascii="Times New Roman" w:hAnsi="Times New Roman" w:cs="Times New Roman"/>
                <w:color w:val="auto"/>
                <w:kern w:val="0"/>
                <w:szCs w:val="21"/>
                <w:highlight w:val="none"/>
              </w:rPr>
            </w:pPr>
            <w:bookmarkStart w:id="14" w:name="_Hlk166225568"/>
            <w:r>
              <w:rPr>
                <w:rFonts w:hint="default" w:ascii="Times New Roman" w:hAnsi="Times New Roman" w:cs="Times New Roman"/>
                <w:color w:val="auto"/>
                <w:kern w:val="0"/>
                <w:szCs w:val="21"/>
                <w:highlight w:val="none"/>
              </w:rPr>
              <w:t>总量</w:t>
            </w:r>
          </w:p>
          <w:p w14:paraId="48CE537D">
            <w:pPr>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控制</w:t>
            </w:r>
          </w:p>
          <w:p w14:paraId="51A67ED7">
            <w:pPr>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指标</w:t>
            </w:r>
            <w:bookmarkEnd w:id="14"/>
          </w:p>
        </w:tc>
        <w:tc>
          <w:tcPr>
            <w:tcW w:w="8694" w:type="dxa"/>
            <w:vAlign w:val="center"/>
          </w:tcPr>
          <w:p w14:paraId="27AE511A">
            <w:pPr>
              <w:pStyle w:val="38"/>
              <w:bidi w:val="0"/>
              <w:rPr>
                <w:rFonts w:hint="eastAsia"/>
                <w:color w:val="auto"/>
                <w:highlight w:val="none"/>
                <w:lang w:eastAsia="zh-CN"/>
              </w:rPr>
            </w:pPr>
            <w:r>
              <w:rPr>
                <w:color w:val="auto"/>
                <w:highlight w:val="none"/>
              </w:rPr>
              <w:t>本项目废水主要为职工生活污水，</w:t>
            </w:r>
            <w:r>
              <w:rPr>
                <w:rFonts w:hint="eastAsia"/>
                <w:color w:val="auto"/>
                <w:highlight w:val="none"/>
                <w:lang w:eastAsia="zh-CN"/>
              </w:rPr>
              <w:t>经化粪池处理后委托环卫部门定期清挖，不外排。因此项目无需申请废水总量控制指标。</w:t>
            </w:r>
          </w:p>
          <w:p w14:paraId="18BF0D4C">
            <w:pPr>
              <w:pStyle w:val="38"/>
              <w:bidi w:val="0"/>
              <w:rPr>
                <w:rFonts w:ascii="Times New Roman" w:hAnsi="Times New Roman" w:eastAsia="宋体" w:cs="宋体"/>
                <w:color w:val="auto"/>
                <w:highlight w:val="none"/>
              </w:rPr>
            </w:pPr>
            <w:r>
              <w:rPr>
                <w:color w:val="auto"/>
                <w:highlight w:val="none"/>
              </w:rPr>
              <w:t>根据《山东省建设项目主要大气污染物排放总量替代指标核算及管理办法的通知》（鲁环发[2019]132号）以及淄博市生态环境局《关于统筹使用“十四五”建设项目主要大气污染物总量指标的通知》（淄环函〔2021〕55号）规定，</w:t>
            </w:r>
            <w:r>
              <w:rPr>
                <w:rFonts w:ascii="Times New Roman" w:hAnsi="Times New Roman" w:eastAsia="宋体" w:cs="宋体"/>
                <w:color w:val="auto"/>
                <w:highlight w:val="none"/>
              </w:rPr>
              <w:t>上一年度环境空气质量年平均浓度不达标的城市，相关污染物应按照建设项目所需替代的污染物排放总量指标的2倍进行削减替代（燃煤发电机组大气污染物排放浓度达到超低排放标准的进行等量替代）。</w:t>
            </w:r>
            <w:r>
              <w:rPr>
                <w:rFonts w:hint="eastAsia" w:ascii="Times New Roman" w:hAnsi="Times New Roman" w:eastAsia="宋体" w:cs="宋体"/>
                <w:color w:val="FF0000"/>
                <w:highlight w:val="none"/>
                <w:lang w:eastAsia="zh-CN"/>
              </w:rPr>
              <w:t>淄博市</w:t>
            </w:r>
            <w:r>
              <w:rPr>
                <w:rFonts w:hint="eastAsia" w:ascii="Times New Roman" w:hAnsi="Times New Roman" w:eastAsia="宋体" w:cs="宋体"/>
                <w:color w:val="FF0000"/>
                <w:highlight w:val="none"/>
                <w:lang w:val="en-US" w:eastAsia="zh-CN"/>
              </w:rPr>
              <w:t>2025</w:t>
            </w:r>
            <w:r>
              <w:rPr>
                <w:rFonts w:ascii="Times New Roman" w:hAnsi="Times New Roman" w:eastAsia="宋体" w:cs="宋体"/>
                <w:color w:val="FF0000"/>
                <w:highlight w:val="none"/>
              </w:rPr>
              <w:t>年度细颗粒物年平均浓度</w:t>
            </w:r>
            <w:r>
              <w:rPr>
                <w:rFonts w:hint="eastAsia" w:ascii="Times New Roman" w:hAnsi="Times New Roman" w:eastAsia="宋体" w:cs="宋体"/>
                <w:color w:val="FF0000"/>
                <w:highlight w:val="none"/>
                <w:lang w:eastAsia="zh-CN"/>
              </w:rPr>
              <w:t>已达标，</w:t>
            </w:r>
            <w:r>
              <w:rPr>
                <w:rFonts w:hint="eastAsia" w:ascii="Times New Roman" w:hAnsi="Times New Roman" w:eastAsia="宋体" w:cs="宋体"/>
                <w:color w:val="FF0000"/>
                <w:highlight w:val="none"/>
                <w:lang w:val="en-US" w:eastAsia="zh-CN"/>
              </w:rPr>
              <w:t>O</w:t>
            </w:r>
            <w:r>
              <w:rPr>
                <w:rFonts w:hint="eastAsia" w:ascii="Times New Roman" w:hAnsi="Times New Roman" w:eastAsia="宋体" w:cs="宋体"/>
                <w:color w:val="FF0000"/>
                <w:highlight w:val="none"/>
                <w:vertAlign w:val="subscript"/>
                <w:lang w:val="en-US" w:eastAsia="zh-CN"/>
              </w:rPr>
              <w:t>3</w:t>
            </w:r>
            <w:r>
              <w:rPr>
                <w:rFonts w:hint="eastAsia" w:ascii="Times New Roman" w:hAnsi="Times New Roman" w:eastAsia="宋体" w:cs="宋体"/>
                <w:color w:val="FF0000"/>
                <w:highlight w:val="none"/>
                <w:lang w:val="en-US" w:eastAsia="zh-CN"/>
              </w:rPr>
              <w:t>指标</w:t>
            </w:r>
            <w:r>
              <w:rPr>
                <w:rFonts w:hint="default" w:ascii="Times New Roman" w:hAnsi="Times New Roman" w:eastAsia="宋体" w:cs="宋体"/>
                <w:color w:val="FF0000"/>
                <w:highlight w:val="none"/>
                <w:lang w:val="en-US" w:eastAsia="zh-CN"/>
              </w:rPr>
              <w:t>90%保证率日最大8h滑动平均浓度</w:t>
            </w:r>
            <w:r>
              <w:rPr>
                <w:rFonts w:hint="eastAsia" w:ascii="Times New Roman" w:hAnsi="Times New Roman" w:eastAsia="宋体" w:cs="宋体"/>
                <w:color w:val="FF0000"/>
                <w:highlight w:val="none"/>
                <w:lang w:val="en-US" w:eastAsia="zh-CN"/>
              </w:rPr>
              <w:t>超标，实</w:t>
            </w:r>
            <w:r>
              <w:rPr>
                <w:rFonts w:ascii="Times New Roman" w:hAnsi="Times New Roman" w:eastAsia="宋体" w:cs="宋体"/>
                <w:color w:val="FF0000"/>
                <w:highlight w:val="none"/>
              </w:rPr>
              <w:t>行二氧化硫、烟粉尘</w:t>
            </w:r>
            <w:r>
              <w:rPr>
                <w:rFonts w:hint="eastAsia" w:ascii="Times New Roman" w:hAnsi="Times New Roman" w:eastAsia="宋体" w:cs="宋体"/>
                <w:color w:val="FF0000"/>
                <w:highlight w:val="none"/>
                <w:lang w:eastAsia="zh-CN"/>
              </w:rPr>
              <w:t>两</w:t>
            </w:r>
            <w:r>
              <w:rPr>
                <w:rFonts w:ascii="Times New Roman" w:hAnsi="Times New Roman" w:eastAsia="宋体" w:cs="宋体"/>
                <w:color w:val="FF0000"/>
                <w:highlight w:val="none"/>
              </w:rPr>
              <w:t>项污染物排放总量指标</w:t>
            </w:r>
            <w:r>
              <w:rPr>
                <w:rFonts w:hint="eastAsia" w:ascii="Times New Roman" w:hAnsi="Times New Roman" w:eastAsia="宋体" w:cs="宋体"/>
                <w:color w:val="FF0000"/>
                <w:highlight w:val="none"/>
                <w:lang w:val="en-US" w:eastAsia="zh-CN"/>
              </w:rPr>
              <w:t>按照1：1进行倍量替代，</w:t>
            </w:r>
            <w:r>
              <w:rPr>
                <w:rFonts w:ascii="Times New Roman" w:hAnsi="Times New Roman" w:eastAsia="宋体" w:cs="宋体"/>
                <w:color w:val="FF0000"/>
                <w:highlight w:val="none"/>
              </w:rPr>
              <w:t>氮氧化物、挥发性有机物</w:t>
            </w:r>
            <w:r>
              <w:rPr>
                <w:rFonts w:hint="eastAsia" w:ascii="Times New Roman" w:hAnsi="Times New Roman" w:eastAsia="宋体" w:cs="宋体"/>
                <w:color w:val="FF0000"/>
                <w:highlight w:val="none"/>
                <w:lang w:eastAsia="zh-CN"/>
              </w:rPr>
              <w:t>两</w:t>
            </w:r>
            <w:r>
              <w:rPr>
                <w:rFonts w:ascii="Times New Roman" w:hAnsi="Times New Roman" w:eastAsia="宋体" w:cs="宋体"/>
                <w:color w:val="FF0000"/>
                <w:highlight w:val="none"/>
              </w:rPr>
              <w:t>项污染物排放总量指标2倍削减替代。</w:t>
            </w:r>
          </w:p>
          <w:p w14:paraId="4E0EA498">
            <w:pPr>
              <w:pStyle w:val="38"/>
              <w:bidi w:val="0"/>
              <w:rPr>
                <w:rFonts w:hint="default" w:eastAsia="宋体" w:cs="宋体"/>
                <w:color w:val="auto"/>
                <w:highlight w:val="none"/>
                <w:lang w:val="en-US" w:eastAsia="zh-CN"/>
              </w:rPr>
            </w:pPr>
            <w:r>
              <w:rPr>
                <w:rFonts w:eastAsia="宋体" w:cs="宋体"/>
                <w:color w:val="auto"/>
                <w:highlight w:val="none"/>
              </w:rPr>
              <w:t>根据</w:t>
            </w:r>
            <w:r>
              <w:rPr>
                <w:rFonts w:hint="eastAsia" w:eastAsia="宋体" w:cs="宋体"/>
                <w:color w:val="auto"/>
                <w:highlight w:val="none"/>
                <w:lang w:eastAsia="zh-CN"/>
              </w:rPr>
              <w:t>本项目废气产排</w:t>
            </w:r>
            <w:r>
              <w:rPr>
                <w:rFonts w:eastAsia="宋体" w:cs="宋体"/>
                <w:color w:val="auto"/>
                <w:highlight w:val="none"/>
              </w:rPr>
              <w:t>工程分析可知，本项目有组织</w:t>
            </w:r>
            <w:r>
              <w:rPr>
                <w:rFonts w:hint="eastAsia" w:eastAsia="宋体" w:cs="宋体"/>
                <w:color w:val="auto"/>
                <w:highlight w:val="none"/>
              </w:rPr>
              <w:t>VOCs</w:t>
            </w:r>
            <w:r>
              <w:rPr>
                <w:rFonts w:eastAsia="宋体" w:cs="宋体"/>
                <w:color w:val="auto"/>
                <w:highlight w:val="none"/>
              </w:rPr>
              <w:t>排放量为</w:t>
            </w:r>
            <w:r>
              <w:rPr>
                <w:rFonts w:hint="eastAsia" w:eastAsia="宋体" w:cs="宋体"/>
                <w:color w:val="auto"/>
                <w:highlight w:val="none"/>
                <w:lang w:val="en-US" w:eastAsia="zh-CN"/>
              </w:rPr>
              <w:t>0.0027</w:t>
            </w:r>
            <w:r>
              <w:rPr>
                <w:rFonts w:eastAsia="宋体" w:cs="宋体"/>
                <w:color w:val="auto"/>
                <w:highlight w:val="none"/>
              </w:rPr>
              <w:t>t/a</w:t>
            </w:r>
            <w:r>
              <w:rPr>
                <w:rFonts w:hint="eastAsia" w:eastAsia="宋体" w:cs="宋体"/>
                <w:color w:val="auto"/>
                <w:highlight w:val="none"/>
                <w:lang w:eastAsia="zh-CN"/>
              </w:rPr>
              <w:t>，排放量很小（＜</w:t>
            </w:r>
            <w:r>
              <w:rPr>
                <w:rFonts w:hint="eastAsia" w:eastAsia="宋体" w:cs="宋体"/>
                <w:color w:val="auto"/>
                <w:highlight w:val="none"/>
                <w:lang w:val="en-US" w:eastAsia="zh-CN"/>
              </w:rPr>
              <w:t>0.01t/a</w:t>
            </w:r>
            <w:r>
              <w:rPr>
                <w:rFonts w:hint="eastAsia" w:eastAsia="宋体" w:cs="宋体"/>
                <w:color w:val="auto"/>
                <w:highlight w:val="none"/>
                <w:lang w:eastAsia="zh-CN"/>
              </w:rPr>
              <w:t>）</w:t>
            </w:r>
            <w:r>
              <w:rPr>
                <w:rFonts w:hint="eastAsia" w:eastAsia="宋体" w:cs="宋体"/>
                <w:color w:val="auto"/>
                <w:highlight w:val="none"/>
                <w:lang w:val="en-US" w:eastAsia="zh-CN"/>
              </w:rPr>
              <w:t>。因此无需申请废气总量控制指标</w:t>
            </w:r>
          </w:p>
          <w:p w14:paraId="7B5CD8B1">
            <w:pPr>
              <w:pStyle w:val="38"/>
              <w:bidi w:val="0"/>
              <w:rPr>
                <w:rFonts w:hint="default" w:ascii="Times New Roman" w:hAnsi="Times New Roman" w:cs="Times New Roman"/>
                <w:color w:val="auto"/>
                <w:highlight w:val="none"/>
              </w:rPr>
            </w:pPr>
            <w:r>
              <w:rPr>
                <w:rFonts w:hint="eastAsia" w:eastAsia="宋体" w:cs="宋体"/>
                <w:color w:val="auto"/>
                <w:highlight w:val="none"/>
                <w:lang w:eastAsia="zh-CN"/>
              </w:rPr>
              <w:t>因此本项目无需申请总量控制指标</w:t>
            </w:r>
            <w:r>
              <w:rPr>
                <w:rFonts w:eastAsia="宋体" w:cs="宋体"/>
                <w:color w:val="auto"/>
                <w:highlight w:val="none"/>
              </w:rPr>
              <w:t>。</w:t>
            </w:r>
          </w:p>
        </w:tc>
      </w:tr>
    </w:tbl>
    <w:p w14:paraId="50B4DAD3">
      <w:pPr>
        <w:rPr>
          <w:color w:val="auto"/>
          <w:highlight w:val="none"/>
        </w:rPr>
        <w:sectPr>
          <w:pgSz w:w="11907" w:h="16840"/>
          <w:pgMar w:top="1418" w:right="1247" w:bottom="1418" w:left="1247" w:header="851" w:footer="851" w:gutter="0"/>
          <w:pgBorders>
            <w:top w:val="none" w:sz="0" w:space="0"/>
            <w:left w:val="none" w:sz="0" w:space="0"/>
            <w:bottom w:val="none" w:sz="0" w:space="0"/>
            <w:right w:val="none" w:sz="0" w:space="0"/>
          </w:pgBorders>
          <w:cols w:space="720" w:num="1"/>
          <w:docGrid w:type="lines" w:linePitch="312" w:charSpace="0"/>
        </w:sectPr>
      </w:pPr>
    </w:p>
    <w:p w14:paraId="453BA6BF">
      <w:pPr>
        <w:jc w:val="center"/>
        <w:outlineLvl w:val="0"/>
        <w:rPr>
          <w:rFonts w:hint="eastAsia"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四、主要环境影响和保护措施</w:t>
      </w:r>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16"/>
        <w:gridCol w:w="8977"/>
      </w:tblGrid>
      <w:tr w14:paraId="3EC059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16" w:type="dxa"/>
            <w:tcMar>
              <w:left w:w="28" w:type="dxa"/>
              <w:right w:w="28" w:type="dxa"/>
            </w:tcMar>
            <w:vAlign w:val="center"/>
          </w:tcPr>
          <w:p w14:paraId="1D49889C">
            <w:pPr>
              <w:adjustRightInd w:val="0"/>
              <w:spacing w:line="340" w:lineRule="exact"/>
              <w:jc w:val="center"/>
              <w:rPr>
                <w:bCs/>
                <w:color w:val="auto"/>
                <w:szCs w:val="21"/>
                <w:highlight w:val="none"/>
              </w:rPr>
            </w:pPr>
            <w:r>
              <w:rPr>
                <w:color w:val="auto"/>
                <w:szCs w:val="21"/>
                <w:highlight w:val="none"/>
              </w:rPr>
              <w:t>施工期环境保护措施</w:t>
            </w:r>
          </w:p>
        </w:tc>
        <w:tc>
          <w:tcPr>
            <w:tcW w:w="8977" w:type="dxa"/>
            <w:vAlign w:val="center"/>
          </w:tcPr>
          <w:p w14:paraId="114F4D6E">
            <w:pPr>
              <w:pStyle w:val="38"/>
              <w:bidi w:val="0"/>
              <w:rPr>
                <w:color w:val="auto"/>
                <w:highlight w:val="none"/>
              </w:rPr>
            </w:pPr>
            <w:r>
              <w:rPr>
                <w:rFonts w:hint="eastAsia"/>
                <w:color w:val="auto"/>
                <w:highlight w:val="none"/>
              </w:rPr>
              <w:t>拟建项目利用现有厂房进行生产，施工期主要是对设备进行安装。设备安装过程主要产生噪声、固废和生活污水等。</w:t>
            </w:r>
          </w:p>
          <w:p w14:paraId="53E4B4FA">
            <w:pPr>
              <w:pStyle w:val="38"/>
              <w:bidi w:val="0"/>
              <w:rPr>
                <w:color w:val="auto"/>
                <w:highlight w:val="none"/>
              </w:rPr>
            </w:pPr>
            <w:r>
              <w:rPr>
                <w:rFonts w:hint="eastAsia"/>
                <w:color w:val="auto"/>
                <w:highlight w:val="none"/>
              </w:rPr>
              <w:t>施工期环境保护措施如下：</w:t>
            </w:r>
          </w:p>
          <w:p w14:paraId="58EC2F19">
            <w:pPr>
              <w:pStyle w:val="38"/>
              <w:bidi w:val="0"/>
              <w:rPr>
                <w:color w:val="auto"/>
                <w:highlight w:val="none"/>
              </w:rPr>
            </w:pPr>
            <w:r>
              <w:rPr>
                <w:rFonts w:hint="eastAsia"/>
                <w:b/>
                <w:bCs/>
                <w:color w:val="auto"/>
                <w:highlight w:val="none"/>
              </w:rPr>
              <w:t>1、环境空气影响分析</w:t>
            </w:r>
          </w:p>
          <w:p w14:paraId="048F51DF">
            <w:pPr>
              <w:pStyle w:val="38"/>
              <w:bidi w:val="0"/>
              <w:rPr>
                <w:color w:val="auto"/>
                <w:highlight w:val="none"/>
              </w:rPr>
            </w:pPr>
            <w:r>
              <w:rPr>
                <w:rFonts w:hint="eastAsia"/>
                <w:color w:val="auto"/>
                <w:highlight w:val="none"/>
              </w:rPr>
              <w:t>项目施工期对周围大气环境的影响主要因素是：路面扬尘、施工机械燃油废气、设备安装产生的焊接烟尘等。</w:t>
            </w:r>
          </w:p>
          <w:p w14:paraId="25C63D3B">
            <w:pPr>
              <w:pStyle w:val="38"/>
              <w:bidi w:val="0"/>
              <w:rPr>
                <w:color w:val="auto"/>
                <w:highlight w:val="none"/>
              </w:rPr>
            </w:pPr>
            <w:r>
              <w:rPr>
                <w:rFonts w:hint="eastAsia"/>
                <w:color w:val="auto"/>
                <w:highlight w:val="none"/>
              </w:rPr>
              <w:t>各类施工机械运行中排放尾气，由于污染源较分散，且每天排放的量相对较少，厂区道路定时洒水降尘，施工机械使用国6以上设备，减少燃油排放的废气，焊接烟尘须经烟尘净化器处理后排放，因此，对区域大气环境影响较小。</w:t>
            </w:r>
          </w:p>
          <w:p w14:paraId="0C3B0BF1">
            <w:pPr>
              <w:pStyle w:val="38"/>
              <w:bidi w:val="0"/>
              <w:rPr>
                <w:color w:val="auto"/>
                <w:highlight w:val="none"/>
              </w:rPr>
            </w:pPr>
            <w:r>
              <w:rPr>
                <w:rFonts w:hint="eastAsia"/>
                <w:b/>
                <w:bCs/>
                <w:color w:val="auto"/>
                <w:highlight w:val="none"/>
              </w:rPr>
              <w:t>2、水环境影响分析</w:t>
            </w:r>
          </w:p>
          <w:p w14:paraId="5083715F">
            <w:pPr>
              <w:pStyle w:val="38"/>
              <w:bidi w:val="0"/>
              <w:rPr>
                <w:color w:val="auto"/>
                <w:highlight w:val="none"/>
              </w:rPr>
            </w:pPr>
            <w:r>
              <w:rPr>
                <w:rFonts w:hint="eastAsia"/>
                <w:color w:val="auto"/>
                <w:highlight w:val="none"/>
              </w:rPr>
              <w:t>施工期产生的废水主要为施工人员生活污水，施工生活污水主要为工人盥洗用水，产生量较小，对区域水环境影响较小。</w:t>
            </w:r>
          </w:p>
          <w:p w14:paraId="650790BF">
            <w:pPr>
              <w:pStyle w:val="38"/>
              <w:bidi w:val="0"/>
              <w:rPr>
                <w:color w:val="auto"/>
                <w:highlight w:val="none"/>
              </w:rPr>
            </w:pPr>
            <w:r>
              <w:rPr>
                <w:rFonts w:hint="eastAsia"/>
                <w:b/>
                <w:bCs/>
                <w:color w:val="auto"/>
                <w:highlight w:val="none"/>
              </w:rPr>
              <w:t>3、声环境影响分析</w:t>
            </w:r>
          </w:p>
          <w:p w14:paraId="04A2C3B5">
            <w:pPr>
              <w:pStyle w:val="38"/>
              <w:bidi w:val="0"/>
              <w:rPr>
                <w:rFonts w:hint="eastAsia" w:eastAsia="宋体"/>
                <w:color w:val="auto"/>
                <w:highlight w:val="none"/>
                <w:lang w:eastAsia="zh-CN"/>
              </w:rPr>
            </w:pPr>
            <w:r>
              <w:rPr>
                <w:rFonts w:hint="eastAsia"/>
                <w:color w:val="auto"/>
                <w:highlight w:val="none"/>
              </w:rPr>
              <w:t>施工期主要为施工机械噪声以及作业、运输、装卸所产生的噪声。项目需采取的施工期噪声控制措施有</w:t>
            </w:r>
            <w:r>
              <w:rPr>
                <w:rFonts w:hint="eastAsia"/>
                <w:color w:val="auto"/>
                <w:highlight w:val="none"/>
                <w:lang w:eastAsia="zh-CN"/>
              </w:rPr>
              <w:t>：</w:t>
            </w:r>
          </w:p>
          <w:p w14:paraId="140B1875">
            <w:pPr>
              <w:pStyle w:val="38"/>
              <w:bidi w:val="0"/>
              <w:rPr>
                <w:color w:val="auto"/>
                <w:highlight w:val="none"/>
              </w:rPr>
            </w:pPr>
            <w:r>
              <w:rPr>
                <w:rFonts w:hint="eastAsia"/>
                <w:color w:val="auto"/>
                <w:highlight w:val="none"/>
              </w:rPr>
              <w:t>（1）合理安排施工时间，应尽可能避免大量的高噪声设备同时施工，禁止夜间施工。</w:t>
            </w:r>
          </w:p>
          <w:p w14:paraId="17E054B9">
            <w:pPr>
              <w:pStyle w:val="38"/>
              <w:bidi w:val="0"/>
              <w:rPr>
                <w:color w:val="auto"/>
                <w:highlight w:val="none"/>
              </w:rPr>
            </w:pPr>
            <w:r>
              <w:rPr>
                <w:rFonts w:hint="eastAsia"/>
                <w:color w:val="auto"/>
                <w:highlight w:val="none"/>
              </w:rPr>
              <w:t>（2）降低设备声级。按照《建筑施工场界环境噪声排放标准》（GB 12523-2011），采用低噪声设备，对动力机械设备进行定期的维修、养护、维护不良的设备；闲置不用的设备应立即关闭。</w:t>
            </w:r>
          </w:p>
          <w:p w14:paraId="7FA16895">
            <w:pPr>
              <w:pStyle w:val="38"/>
              <w:bidi w:val="0"/>
              <w:rPr>
                <w:color w:val="auto"/>
                <w:highlight w:val="none"/>
              </w:rPr>
            </w:pPr>
            <w:r>
              <w:rPr>
                <w:rFonts w:hint="eastAsia"/>
                <w:b/>
                <w:bCs/>
                <w:color w:val="auto"/>
                <w:highlight w:val="none"/>
              </w:rPr>
              <w:t>4、固废环境影响分析</w:t>
            </w:r>
          </w:p>
          <w:p w14:paraId="6719BF81">
            <w:pPr>
              <w:pStyle w:val="38"/>
              <w:bidi w:val="0"/>
              <w:rPr>
                <w:color w:val="auto"/>
                <w:highlight w:val="none"/>
              </w:rPr>
            </w:pPr>
            <w:r>
              <w:rPr>
                <w:rFonts w:hint="eastAsia"/>
                <w:color w:val="auto"/>
                <w:highlight w:val="none"/>
              </w:rPr>
              <w:t>本项目租赁现有闲置厂房生产，施工过程主要为设备安装，固体废物主要为包装垃圾及生活垃圾，生活垃圾来源于施工作业人员生活过程遗弃的废物，其成分有厨房余物、塑料、纸类以及砂土等。本项目主要固废控制措施如下：</w:t>
            </w:r>
          </w:p>
          <w:p w14:paraId="741A45A2">
            <w:pPr>
              <w:pStyle w:val="38"/>
              <w:bidi w:val="0"/>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rFonts w:hint="eastAsia"/>
                <w:color w:val="auto"/>
                <w:highlight w:val="none"/>
              </w:rPr>
              <w:t>施工过程产生的包装垃圾外售资源化利用。</w:t>
            </w:r>
          </w:p>
          <w:p w14:paraId="128B8A35">
            <w:pPr>
              <w:pStyle w:val="38"/>
              <w:bidi w:val="0"/>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rFonts w:hint="eastAsia"/>
                <w:color w:val="auto"/>
                <w:highlight w:val="none"/>
              </w:rPr>
              <w:t>生活垃圾应分类回收，做到日产日清，严禁随地丢弃。</w:t>
            </w:r>
          </w:p>
          <w:p w14:paraId="183EDD66">
            <w:pPr>
              <w:pStyle w:val="38"/>
              <w:bidi w:val="0"/>
              <w:rPr>
                <w:rFonts w:hint="eastAsia"/>
                <w:color w:val="auto"/>
                <w:highlight w:val="none"/>
              </w:rPr>
            </w:pPr>
            <w:r>
              <w:rPr>
                <w:rFonts w:hint="eastAsia"/>
                <w:color w:val="auto"/>
                <w:highlight w:val="none"/>
              </w:rPr>
              <w:t>采取以上措施后对</w:t>
            </w:r>
            <w:r>
              <w:rPr>
                <w:rFonts w:hint="eastAsia"/>
                <w:color w:val="auto"/>
                <w:highlight w:val="none"/>
                <w:lang w:eastAsia="zh-CN"/>
              </w:rPr>
              <w:t>项目施工期对</w:t>
            </w:r>
            <w:r>
              <w:rPr>
                <w:rFonts w:hint="eastAsia"/>
                <w:color w:val="auto"/>
                <w:highlight w:val="none"/>
              </w:rPr>
              <w:t>周围环境影响较小</w:t>
            </w:r>
            <w:r>
              <w:rPr>
                <w:color w:val="auto"/>
                <w:highlight w:val="none"/>
              </w:rPr>
              <w:t>。</w:t>
            </w:r>
          </w:p>
        </w:tc>
      </w:tr>
      <w:tr w14:paraId="4DC9B4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16" w:type="dxa"/>
            <w:tcMar>
              <w:left w:w="28" w:type="dxa"/>
              <w:right w:w="28" w:type="dxa"/>
            </w:tcMar>
            <w:vAlign w:val="center"/>
          </w:tcPr>
          <w:p w14:paraId="766E0E7B">
            <w:pPr>
              <w:adjustRightInd w:val="0"/>
              <w:spacing w:line="340" w:lineRule="exact"/>
              <w:jc w:val="center"/>
              <w:rPr>
                <w:color w:val="auto"/>
                <w:szCs w:val="21"/>
                <w:highlight w:val="none"/>
              </w:rPr>
            </w:pPr>
            <w:r>
              <w:rPr>
                <w:bCs/>
                <w:color w:val="auto"/>
                <w:szCs w:val="21"/>
                <w:highlight w:val="none"/>
              </w:rPr>
              <w:t>运营期环境影响和保护措施</w:t>
            </w:r>
          </w:p>
        </w:tc>
        <w:tc>
          <w:tcPr>
            <w:tcW w:w="8977" w:type="dxa"/>
            <w:vAlign w:val="center"/>
          </w:tcPr>
          <w:p w14:paraId="730402C9">
            <w:pPr>
              <w:pStyle w:val="38"/>
              <w:ind w:firstLine="422"/>
              <w:rPr>
                <w:rFonts w:hint="eastAsia"/>
                <w:b/>
                <w:bCs/>
                <w:color w:val="auto"/>
                <w:sz w:val="24"/>
                <w:highlight w:val="none"/>
              </w:rPr>
            </w:pPr>
            <w:r>
              <w:rPr>
                <w:rFonts w:hint="eastAsia"/>
                <w:b/>
                <w:bCs/>
                <w:color w:val="auto"/>
                <w:highlight w:val="none"/>
              </w:rPr>
              <w:t>一、废气</w:t>
            </w:r>
          </w:p>
          <w:p w14:paraId="7BEBCCEE">
            <w:pPr>
              <w:pStyle w:val="38"/>
              <w:ind w:firstLine="422"/>
              <w:rPr>
                <w:rFonts w:hint="eastAsia"/>
                <w:b/>
                <w:bCs/>
                <w:color w:val="auto"/>
                <w:highlight w:val="none"/>
              </w:rPr>
            </w:pPr>
            <w:r>
              <w:rPr>
                <w:rFonts w:hint="eastAsia"/>
                <w:b/>
                <w:bCs/>
                <w:color w:val="auto"/>
                <w:highlight w:val="none"/>
              </w:rPr>
              <w:t>1、废气产生及排放情况简述</w:t>
            </w:r>
          </w:p>
          <w:p w14:paraId="60D0553C">
            <w:pPr>
              <w:pStyle w:val="38"/>
              <w:bidi w:val="0"/>
              <w:rPr>
                <w:rFonts w:hint="eastAsia"/>
                <w:color w:val="auto"/>
                <w:highlight w:val="none"/>
              </w:rPr>
            </w:pPr>
            <w:r>
              <w:rPr>
                <w:rFonts w:hint="default" w:ascii="Times New Roman" w:hAnsi="Times New Roman" w:cs="Times New Roman"/>
                <w:color w:val="auto"/>
                <w:highlight w:val="none"/>
                <w:lang w:val="en-US" w:eastAsia="zh-CN"/>
              </w:rPr>
              <w:t>项目废气主要为</w:t>
            </w:r>
            <w:r>
              <w:rPr>
                <w:rFonts w:hint="eastAsia" w:cs="Times New Roman"/>
                <w:color w:val="auto"/>
                <w:highlight w:val="none"/>
                <w:lang w:val="en-US" w:eastAsia="zh-CN"/>
              </w:rPr>
              <w:t>板材下料、木加工产生的颗粒物、封边产生的VOCs、钢管下料产生的颗粒物及焊接烟尘</w:t>
            </w:r>
            <w:r>
              <w:rPr>
                <w:rFonts w:hint="eastAsia"/>
                <w:color w:val="auto"/>
                <w:highlight w:val="none"/>
              </w:rPr>
              <w:t>。</w:t>
            </w:r>
          </w:p>
          <w:p w14:paraId="4ACF3981">
            <w:pPr>
              <w:pStyle w:val="39"/>
              <w:rPr>
                <w:rFonts w:hint="eastAsia"/>
                <w:bCs/>
                <w:color w:val="auto"/>
                <w:highlight w:val="none"/>
              </w:rPr>
            </w:pPr>
            <w:r>
              <w:rPr>
                <w:rFonts w:hint="eastAsia"/>
                <w:color w:val="auto"/>
                <w:highlight w:val="none"/>
              </w:rPr>
              <w:t>表</w:t>
            </w:r>
            <w:r>
              <w:rPr>
                <w:rFonts w:hint="eastAsia"/>
                <w:color w:val="auto"/>
                <w:highlight w:val="none"/>
                <w:lang w:val="en-US" w:eastAsia="zh-CN"/>
              </w:rPr>
              <w:t>21</w:t>
            </w:r>
            <w:r>
              <w:rPr>
                <w:rFonts w:hint="eastAsia"/>
                <w:color w:val="auto"/>
                <w:highlight w:val="none"/>
              </w:rPr>
              <w:t xml:space="preserve"> </w:t>
            </w:r>
            <w:r>
              <w:rPr>
                <w:rFonts w:hint="eastAsia"/>
                <w:bCs/>
                <w:color w:val="auto"/>
                <w:highlight w:val="none"/>
              </w:rPr>
              <w:t>拟建项目废气产生及排放信息表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1"/>
              <w:gridCol w:w="1649"/>
              <w:gridCol w:w="1901"/>
              <w:gridCol w:w="1726"/>
              <w:gridCol w:w="1094"/>
            </w:tblGrid>
            <w:tr w14:paraId="23FB4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0" w:type="pct"/>
                  <w:shd w:val="clear" w:color="auto" w:fill="auto"/>
                  <w:vAlign w:val="center"/>
                </w:tcPr>
                <w:p w14:paraId="3CA87179">
                  <w:pPr>
                    <w:pStyle w:val="41"/>
                    <w:rPr>
                      <w:rFonts w:hint="eastAsia" w:ascii="宋体" w:hAnsi="宋体" w:eastAsia="宋体" w:cs="Times New Roman"/>
                      <w:color w:val="auto"/>
                      <w:sz w:val="20"/>
                      <w:szCs w:val="20"/>
                      <w:highlight w:val="none"/>
                      <w:lang w:val="en-US" w:eastAsia="zh-CN"/>
                    </w:rPr>
                  </w:pPr>
                  <w:r>
                    <w:rPr>
                      <w:rFonts w:hint="eastAsia" w:ascii="宋体" w:hAnsi="宋体" w:eastAsia="宋体" w:cs="Times New Roman"/>
                      <w:color w:val="auto"/>
                      <w:sz w:val="20"/>
                      <w:szCs w:val="20"/>
                      <w:highlight w:val="none"/>
                      <w:lang w:val="en-US" w:eastAsia="zh-CN"/>
                    </w:rPr>
                    <w:t>产污环节</w:t>
                  </w:r>
                </w:p>
              </w:tc>
              <w:tc>
                <w:tcPr>
                  <w:tcW w:w="942" w:type="pct"/>
                  <w:shd w:val="clear" w:color="auto" w:fill="auto"/>
                  <w:vAlign w:val="center"/>
                </w:tcPr>
                <w:p w14:paraId="2515FA90">
                  <w:pPr>
                    <w:pStyle w:val="41"/>
                    <w:rPr>
                      <w:rFonts w:hint="eastAsia" w:ascii="宋体" w:hAnsi="宋体" w:eastAsia="宋体" w:cs="Times New Roman"/>
                      <w:color w:val="auto"/>
                      <w:sz w:val="20"/>
                      <w:szCs w:val="20"/>
                      <w:highlight w:val="none"/>
                      <w:lang w:val="en-US" w:eastAsia="zh-CN"/>
                    </w:rPr>
                  </w:pPr>
                  <w:r>
                    <w:rPr>
                      <w:rFonts w:hint="eastAsia" w:ascii="宋体" w:hAnsi="宋体" w:eastAsia="宋体" w:cs="Times New Roman"/>
                      <w:color w:val="auto"/>
                      <w:sz w:val="20"/>
                      <w:szCs w:val="20"/>
                      <w:highlight w:val="none"/>
                      <w:lang w:val="en-US" w:eastAsia="zh-CN"/>
                    </w:rPr>
                    <w:t>主要污染物名称</w:t>
                  </w:r>
                </w:p>
              </w:tc>
              <w:tc>
                <w:tcPr>
                  <w:tcW w:w="1086" w:type="pct"/>
                  <w:vAlign w:val="center"/>
                </w:tcPr>
                <w:p w14:paraId="1716C132">
                  <w:pPr>
                    <w:pStyle w:val="41"/>
                    <w:rPr>
                      <w:rFonts w:hint="eastAsia" w:ascii="宋体" w:hAnsi="宋体" w:eastAsia="宋体" w:cs="Times New Roman"/>
                      <w:color w:val="auto"/>
                      <w:sz w:val="20"/>
                      <w:szCs w:val="20"/>
                      <w:highlight w:val="none"/>
                      <w:lang w:val="en-US" w:eastAsia="zh-CN"/>
                    </w:rPr>
                  </w:pPr>
                  <w:r>
                    <w:rPr>
                      <w:rFonts w:hint="eastAsia" w:ascii="宋体" w:hAnsi="宋体" w:eastAsia="宋体" w:cs="Times New Roman"/>
                      <w:color w:val="auto"/>
                      <w:sz w:val="20"/>
                      <w:szCs w:val="20"/>
                      <w:highlight w:val="none"/>
                      <w:lang w:val="en-US" w:eastAsia="zh-CN"/>
                    </w:rPr>
                    <w:t>治理设施</w:t>
                  </w:r>
                </w:p>
              </w:tc>
              <w:tc>
                <w:tcPr>
                  <w:tcW w:w="986" w:type="pct"/>
                  <w:vAlign w:val="center"/>
                </w:tcPr>
                <w:p w14:paraId="2393917E">
                  <w:pPr>
                    <w:pStyle w:val="41"/>
                    <w:rPr>
                      <w:rFonts w:hint="eastAsia" w:ascii="宋体" w:hAnsi="宋体" w:eastAsia="宋体" w:cs="Times New Roman"/>
                      <w:color w:val="auto"/>
                      <w:sz w:val="20"/>
                      <w:szCs w:val="20"/>
                      <w:highlight w:val="none"/>
                      <w:lang w:val="en-US" w:eastAsia="zh-CN"/>
                    </w:rPr>
                  </w:pPr>
                  <w:r>
                    <w:rPr>
                      <w:rFonts w:hint="eastAsia" w:ascii="宋体" w:hAnsi="宋体" w:eastAsia="宋体" w:cs="Times New Roman"/>
                      <w:color w:val="auto"/>
                      <w:sz w:val="20"/>
                      <w:szCs w:val="20"/>
                      <w:highlight w:val="none"/>
                      <w:lang w:val="en-US" w:eastAsia="zh-CN"/>
                    </w:rPr>
                    <w:t>排放去向</w:t>
                  </w:r>
                </w:p>
              </w:tc>
              <w:tc>
                <w:tcPr>
                  <w:tcW w:w="625" w:type="pct"/>
                  <w:shd w:val="clear" w:color="auto" w:fill="auto"/>
                  <w:vAlign w:val="center"/>
                </w:tcPr>
                <w:p w14:paraId="6C9179D1">
                  <w:pPr>
                    <w:pStyle w:val="41"/>
                    <w:rPr>
                      <w:rFonts w:hint="eastAsia" w:ascii="宋体" w:hAnsi="宋体" w:eastAsia="宋体" w:cs="Times New Roman"/>
                      <w:color w:val="auto"/>
                      <w:sz w:val="20"/>
                      <w:szCs w:val="20"/>
                      <w:highlight w:val="none"/>
                      <w:lang w:val="en-US" w:eastAsia="zh-CN"/>
                    </w:rPr>
                  </w:pPr>
                  <w:r>
                    <w:rPr>
                      <w:rFonts w:hint="eastAsia" w:ascii="宋体" w:hAnsi="宋体" w:eastAsia="宋体" w:cs="Times New Roman"/>
                      <w:color w:val="auto"/>
                      <w:sz w:val="20"/>
                      <w:szCs w:val="20"/>
                      <w:highlight w:val="none"/>
                      <w:lang w:val="en-US" w:eastAsia="zh-CN"/>
                    </w:rPr>
                    <w:t>排放规律</w:t>
                  </w:r>
                </w:p>
              </w:tc>
            </w:tr>
            <w:tr w14:paraId="6920B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0" w:type="pct"/>
                  <w:shd w:val="clear" w:color="auto" w:fill="auto"/>
                  <w:vAlign w:val="center"/>
                </w:tcPr>
                <w:p w14:paraId="64A51757">
                  <w:pPr>
                    <w:pStyle w:val="41"/>
                    <w:rPr>
                      <w:rFonts w:hint="default" w:ascii="宋体" w:hAnsi="宋体"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封边废气G2</w:t>
                  </w:r>
                </w:p>
              </w:tc>
              <w:tc>
                <w:tcPr>
                  <w:tcW w:w="942" w:type="pct"/>
                  <w:shd w:val="clear" w:color="auto" w:fill="auto"/>
                  <w:vAlign w:val="center"/>
                </w:tcPr>
                <w:p w14:paraId="2C7D4544">
                  <w:pPr>
                    <w:pStyle w:val="41"/>
                    <w:rPr>
                      <w:rFonts w:hint="default" w:ascii="宋体" w:hAnsi="宋体" w:eastAsia="宋体" w:cs="Times New Roman"/>
                      <w:color w:val="auto"/>
                      <w:sz w:val="20"/>
                      <w:szCs w:val="20"/>
                      <w:highlight w:val="none"/>
                      <w:lang w:val="en-US" w:eastAsia="zh-CN"/>
                    </w:rPr>
                  </w:pPr>
                  <w:r>
                    <w:rPr>
                      <w:rFonts w:hint="eastAsia" w:ascii="宋体" w:hAnsi="宋体" w:eastAsia="宋体" w:cs="Times New Roman"/>
                      <w:color w:val="auto"/>
                      <w:sz w:val="20"/>
                      <w:szCs w:val="20"/>
                      <w:highlight w:val="none"/>
                      <w:lang w:val="en-US" w:eastAsia="zh-CN"/>
                    </w:rPr>
                    <w:t>VOCs</w:t>
                  </w:r>
                </w:p>
              </w:tc>
              <w:tc>
                <w:tcPr>
                  <w:tcW w:w="1086" w:type="pct"/>
                  <w:vAlign w:val="center"/>
                </w:tcPr>
                <w:p w14:paraId="5CD70151">
                  <w:pPr>
                    <w:pStyle w:val="41"/>
                    <w:rPr>
                      <w:rFonts w:hint="eastAsia" w:ascii="宋体" w:hAnsi="宋体" w:eastAsia="宋体" w:cs="Times New Roman"/>
                      <w:color w:val="auto"/>
                      <w:sz w:val="20"/>
                      <w:szCs w:val="20"/>
                      <w:highlight w:val="none"/>
                      <w:lang w:val="en-US" w:eastAsia="zh-CN"/>
                    </w:rPr>
                  </w:pPr>
                  <w:r>
                    <w:rPr>
                      <w:rFonts w:hint="eastAsia" w:ascii="宋体" w:hAnsi="宋体" w:eastAsia="宋体" w:cs="Times New Roman"/>
                      <w:color w:val="auto"/>
                      <w:sz w:val="20"/>
                      <w:szCs w:val="20"/>
                      <w:highlight w:val="none"/>
                      <w:lang w:val="en-US" w:eastAsia="zh-CN"/>
                    </w:rPr>
                    <w:t>二级活性炭吸附</w:t>
                  </w:r>
                </w:p>
              </w:tc>
              <w:tc>
                <w:tcPr>
                  <w:tcW w:w="986" w:type="pct"/>
                  <w:vAlign w:val="center"/>
                </w:tcPr>
                <w:p w14:paraId="3F5A626F">
                  <w:pPr>
                    <w:pStyle w:val="41"/>
                    <w:rPr>
                      <w:rFonts w:hint="eastAsia" w:ascii="宋体" w:hAnsi="宋体" w:eastAsia="宋体" w:cs="Times New Roman"/>
                      <w:color w:val="auto"/>
                      <w:sz w:val="20"/>
                      <w:szCs w:val="20"/>
                      <w:highlight w:val="none"/>
                      <w:lang w:val="en-US" w:eastAsia="zh-CN"/>
                    </w:rPr>
                  </w:pPr>
                  <w:r>
                    <w:rPr>
                      <w:rFonts w:hint="eastAsia" w:ascii="宋体" w:hAnsi="宋体" w:eastAsia="宋体" w:cs="Times New Roman"/>
                      <w:color w:val="auto"/>
                      <w:sz w:val="20"/>
                      <w:szCs w:val="20"/>
                      <w:highlight w:val="none"/>
                      <w:lang w:val="en-US" w:eastAsia="zh-CN"/>
                    </w:rPr>
                    <w:t>15m排气筒P1</w:t>
                  </w:r>
                </w:p>
              </w:tc>
              <w:tc>
                <w:tcPr>
                  <w:tcW w:w="625" w:type="pct"/>
                  <w:shd w:val="clear" w:color="auto" w:fill="auto"/>
                  <w:vAlign w:val="center"/>
                </w:tcPr>
                <w:p w14:paraId="097F0648">
                  <w:pPr>
                    <w:pStyle w:val="41"/>
                    <w:rPr>
                      <w:rFonts w:hint="eastAsia" w:ascii="宋体" w:hAnsi="宋体" w:eastAsia="宋体" w:cs="Times New Roman"/>
                      <w:color w:val="auto"/>
                      <w:sz w:val="20"/>
                      <w:szCs w:val="20"/>
                      <w:highlight w:val="none"/>
                      <w:lang w:val="en-US" w:eastAsia="zh-CN"/>
                    </w:rPr>
                  </w:pPr>
                  <w:r>
                    <w:rPr>
                      <w:rFonts w:hint="eastAsia" w:ascii="宋体" w:hAnsi="宋体" w:eastAsia="宋体" w:cs="Times New Roman"/>
                      <w:color w:val="auto"/>
                      <w:sz w:val="20"/>
                      <w:szCs w:val="20"/>
                      <w:highlight w:val="none"/>
                      <w:lang w:val="en-US" w:eastAsia="zh-CN"/>
                    </w:rPr>
                    <w:t>连续</w:t>
                  </w:r>
                </w:p>
              </w:tc>
            </w:tr>
            <w:tr w14:paraId="0F57C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0" w:type="pct"/>
                  <w:shd w:val="clear" w:color="auto" w:fill="auto"/>
                  <w:vAlign w:val="center"/>
                </w:tcPr>
                <w:p w14:paraId="08785A99">
                  <w:pPr>
                    <w:pStyle w:val="41"/>
                    <w:rPr>
                      <w:rFonts w:hint="default" w:cs="Times New Roman"/>
                      <w:color w:val="auto"/>
                      <w:sz w:val="20"/>
                      <w:szCs w:val="20"/>
                      <w:highlight w:val="none"/>
                      <w:lang w:val="en-US" w:eastAsia="zh-CN"/>
                    </w:rPr>
                  </w:pPr>
                  <w:r>
                    <w:rPr>
                      <w:rFonts w:hint="eastAsia" w:cs="Times New Roman"/>
                      <w:color w:val="auto"/>
                      <w:sz w:val="20"/>
                      <w:szCs w:val="20"/>
                      <w:highlight w:val="none"/>
                      <w:lang w:val="en-US" w:eastAsia="zh-CN"/>
                    </w:rPr>
                    <w:t>板材下料、木加工废气G1</w:t>
                  </w:r>
                </w:p>
              </w:tc>
              <w:tc>
                <w:tcPr>
                  <w:tcW w:w="942" w:type="pct"/>
                  <w:shd w:val="clear" w:color="auto" w:fill="auto"/>
                  <w:vAlign w:val="center"/>
                </w:tcPr>
                <w:p w14:paraId="66D11F8C">
                  <w:pPr>
                    <w:pStyle w:val="41"/>
                    <w:rPr>
                      <w:rFonts w:hint="eastAsia" w:ascii="宋体" w:hAnsi="宋体"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颗粒物</w:t>
                  </w:r>
                </w:p>
              </w:tc>
              <w:tc>
                <w:tcPr>
                  <w:tcW w:w="1086" w:type="pct"/>
                  <w:vAlign w:val="center"/>
                </w:tcPr>
                <w:p w14:paraId="0B33C073">
                  <w:pPr>
                    <w:pStyle w:val="41"/>
                    <w:rPr>
                      <w:rFonts w:hint="eastAsia" w:ascii="宋体" w:hAnsi="宋体"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移动布袋除尘器</w:t>
                  </w:r>
                </w:p>
              </w:tc>
              <w:tc>
                <w:tcPr>
                  <w:tcW w:w="986" w:type="pct"/>
                  <w:vAlign w:val="center"/>
                </w:tcPr>
                <w:p w14:paraId="268646A0">
                  <w:pPr>
                    <w:pStyle w:val="41"/>
                    <w:rPr>
                      <w:rFonts w:hint="eastAsia" w:ascii="宋体" w:hAnsi="宋体"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无组织</w:t>
                  </w:r>
                </w:p>
              </w:tc>
              <w:tc>
                <w:tcPr>
                  <w:tcW w:w="625" w:type="pct"/>
                  <w:shd w:val="clear" w:color="auto" w:fill="auto"/>
                  <w:vAlign w:val="center"/>
                </w:tcPr>
                <w:p w14:paraId="362EFE6A">
                  <w:pPr>
                    <w:pStyle w:val="41"/>
                    <w:rPr>
                      <w:rFonts w:hint="eastAsia" w:ascii="宋体" w:hAnsi="宋体"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间歇</w:t>
                  </w:r>
                </w:p>
              </w:tc>
            </w:tr>
            <w:tr w14:paraId="68510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0" w:type="pct"/>
                  <w:shd w:val="clear" w:color="auto" w:fill="auto"/>
                  <w:vAlign w:val="center"/>
                </w:tcPr>
                <w:p w14:paraId="3FF8B3B9">
                  <w:pPr>
                    <w:pStyle w:val="41"/>
                    <w:rPr>
                      <w:rFonts w:hint="default" w:cs="Times New Roman"/>
                      <w:color w:val="auto"/>
                      <w:sz w:val="20"/>
                      <w:szCs w:val="20"/>
                      <w:highlight w:val="none"/>
                      <w:lang w:val="en-US" w:eastAsia="zh-CN"/>
                    </w:rPr>
                  </w:pPr>
                  <w:r>
                    <w:rPr>
                      <w:rFonts w:hint="eastAsia" w:cs="Times New Roman"/>
                      <w:color w:val="auto"/>
                      <w:sz w:val="20"/>
                      <w:szCs w:val="20"/>
                      <w:highlight w:val="none"/>
                      <w:lang w:val="en-US" w:eastAsia="zh-CN"/>
                    </w:rPr>
                    <w:t>钢管下料G3</w:t>
                  </w:r>
                </w:p>
              </w:tc>
              <w:tc>
                <w:tcPr>
                  <w:tcW w:w="942" w:type="pct"/>
                  <w:shd w:val="clear" w:color="auto" w:fill="auto"/>
                  <w:vAlign w:val="center"/>
                </w:tcPr>
                <w:p w14:paraId="4D569FD0">
                  <w:pPr>
                    <w:pStyle w:val="41"/>
                    <w:rPr>
                      <w:rFonts w:hint="eastAsia" w:ascii="宋体" w:hAnsi="宋体"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颗粒物</w:t>
                  </w:r>
                </w:p>
              </w:tc>
              <w:tc>
                <w:tcPr>
                  <w:tcW w:w="1086" w:type="pct"/>
                  <w:vAlign w:val="center"/>
                </w:tcPr>
                <w:p w14:paraId="0F662843">
                  <w:pPr>
                    <w:pStyle w:val="41"/>
                    <w:rPr>
                      <w:rFonts w:hint="eastAsia" w:ascii="宋体" w:hAnsi="宋体"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厂房密闭、重力沉降</w:t>
                  </w:r>
                </w:p>
              </w:tc>
              <w:tc>
                <w:tcPr>
                  <w:tcW w:w="986" w:type="pct"/>
                  <w:vAlign w:val="center"/>
                </w:tcPr>
                <w:p w14:paraId="3E1DAB88">
                  <w:pPr>
                    <w:pStyle w:val="41"/>
                    <w:rPr>
                      <w:rFonts w:hint="eastAsia" w:ascii="宋体" w:hAnsi="宋体"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无组织</w:t>
                  </w:r>
                </w:p>
              </w:tc>
              <w:tc>
                <w:tcPr>
                  <w:tcW w:w="625" w:type="pct"/>
                  <w:shd w:val="clear" w:color="auto" w:fill="auto"/>
                  <w:vAlign w:val="center"/>
                </w:tcPr>
                <w:p w14:paraId="3CE257C1">
                  <w:pPr>
                    <w:pStyle w:val="41"/>
                    <w:rPr>
                      <w:rFonts w:hint="eastAsia" w:ascii="宋体" w:hAnsi="宋体"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间歇</w:t>
                  </w:r>
                </w:p>
              </w:tc>
            </w:tr>
            <w:tr w14:paraId="5CB69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0" w:type="pct"/>
                  <w:shd w:val="clear" w:color="auto" w:fill="auto"/>
                  <w:vAlign w:val="center"/>
                </w:tcPr>
                <w:p w14:paraId="06918E40">
                  <w:pPr>
                    <w:pStyle w:val="41"/>
                    <w:rPr>
                      <w:rFonts w:hint="default" w:cs="Times New Roman"/>
                      <w:color w:val="auto"/>
                      <w:sz w:val="20"/>
                      <w:szCs w:val="20"/>
                      <w:highlight w:val="none"/>
                      <w:lang w:val="en-US" w:eastAsia="zh-CN"/>
                    </w:rPr>
                  </w:pPr>
                  <w:r>
                    <w:rPr>
                      <w:rFonts w:hint="eastAsia" w:cs="Times New Roman"/>
                      <w:color w:val="auto"/>
                      <w:sz w:val="20"/>
                      <w:szCs w:val="20"/>
                      <w:highlight w:val="none"/>
                      <w:lang w:val="en-US" w:eastAsia="zh-CN"/>
                    </w:rPr>
                    <w:t>钢管焊接G4</w:t>
                  </w:r>
                </w:p>
              </w:tc>
              <w:tc>
                <w:tcPr>
                  <w:tcW w:w="942" w:type="pct"/>
                  <w:shd w:val="clear" w:color="auto" w:fill="auto"/>
                  <w:vAlign w:val="center"/>
                </w:tcPr>
                <w:p w14:paraId="10F00083">
                  <w:pPr>
                    <w:pStyle w:val="41"/>
                    <w:rPr>
                      <w:rFonts w:hint="eastAsia" w:ascii="宋体" w:hAnsi="宋体"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颗粒物</w:t>
                  </w:r>
                </w:p>
              </w:tc>
              <w:tc>
                <w:tcPr>
                  <w:tcW w:w="1086" w:type="pct"/>
                  <w:vAlign w:val="center"/>
                </w:tcPr>
                <w:p w14:paraId="5723AC13">
                  <w:pPr>
                    <w:pStyle w:val="41"/>
                    <w:rPr>
                      <w:rFonts w:hint="eastAsia" w:ascii="宋体" w:hAnsi="宋体"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移动式焊烟净化器</w:t>
                  </w:r>
                </w:p>
              </w:tc>
              <w:tc>
                <w:tcPr>
                  <w:tcW w:w="986" w:type="pct"/>
                  <w:vAlign w:val="center"/>
                </w:tcPr>
                <w:p w14:paraId="6AD3BA35">
                  <w:pPr>
                    <w:pStyle w:val="41"/>
                    <w:rPr>
                      <w:rFonts w:hint="eastAsia" w:ascii="宋体" w:hAnsi="宋体"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无组织</w:t>
                  </w:r>
                </w:p>
              </w:tc>
              <w:tc>
                <w:tcPr>
                  <w:tcW w:w="625" w:type="pct"/>
                  <w:shd w:val="clear" w:color="auto" w:fill="auto"/>
                  <w:vAlign w:val="center"/>
                </w:tcPr>
                <w:p w14:paraId="63AD11F9">
                  <w:pPr>
                    <w:pStyle w:val="41"/>
                    <w:rPr>
                      <w:rFonts w:hint="eastAsia" w:ascii="宋体" w:hAnsi="宋体"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间歇</w:t>
                  </w:r>
                </w:p>
              </w:tc>
            </w:tr>
          </w:tbl>
          <w:p w14:paraId="36914549">
            <w:pPr>
              <w:pStyle w:val="38"/>
              <w:rPr>
                <w:rFonts w:hint="eastAsia"/>
                <w:color w:val="auto"/>
                <w:highlight w:val="none"/>
              </w:rPr>
            </w:pPr>
            <w:r>
              <w:rPr>
                <w:rFonts w:hint="eastAsia"/>
                <w:color w:val="auto"/>
                <w:highlight w:val="none"/>
              </w:rPr>
              <w:t>项目建成后厂区废气走向见下图。</w:t>
            </w:r>
          </w:p>
          <w:p w14:paraId="0A27407A">
            <w:pPr>
              <w:pStyle w:val="38"/>
              <w:bidi w:val="0"/>
              <w:rPr>
                <w:color w:val="auto"/>
                <w:highlight w:val="none"/>
              </w:rPr>
            </w:pPr>
            <w:r>
              <w:rPr>
                <w:color w:val="auto"/>
                <w:highlight w:val="none"/>
              </w:rPr>
              <w:pict>
                <v:shape id="_x0000_s2061" o:spid="_x0000_s2061" o:spt="75" alt="" type="#_x0000_t75" style="position:absolute;left:0pt;margin-left:23.5pt;margin-top:10.15pt;height:169.25pt;width:351.5pt;z-index:-251637760;mso-width-relative:page;mso-height-relative:page;" o:ole="t" filled="f" o:preferrelative="t" stroked="f" coordsize="21600,21600">
                  <v:path/>
                  <v:fill on="f" focussize="0,0"/>
                  <v:stroke on="f"/>
                  <v:imagedata r:id="rId36" o:title=""/>
                  <o:lock v:ext="edit" aspectratio="f"/>
                </v:shape>
                <o:OLEObject Type="Embed" ProgID="Visio.Drawing.11" ShapeID="_x0000_s2061" DrawAspect="Content" ObjectID="_1468075727" r:id="rId35">
                  <o:LockedField>false</o:LockedField>
                </o:OLEObject>
              </w:pict>
            </w:r>
          </w:p>
          <w:p w14:paraId="2CF0E9E7">
            <w:pPr>
              <w:pStyle w:val="38"/>
              <w:bidi w:val="0"/>
              <w:rPr>
                <w:rFonts w:hint="eastAsia"/>
                <w:color w:val="auto"/>
                <w:highlight w:val="none"/>
              </w:rPr>
            </w:pPr>
          </w:p>
          <w:p w14:paraId="4909F18A">
            <w:pPr>
              <w:pStyle w:val="38"/>
              <w:bidi w:val="0"/>
              <w:rPr>
                <w:rFonts w:hint="eastAsia"/>
                <w:color w:val="auto"/>
                <w:highlight w:val="none"/>
              </w:rPr>
            </w:pPr>
          </w:p>
          <w:p w14:paraId="3C96BDBF">
            <w:pPr>
              <w:pStyle w:val="38"/>
              <w:bidi w:val="0"/>
              <w:rPr>
                <w:rFonts w:hint="eastAsia"/>
                <w:color w:val="auto"/>
                <w:highlight w:val="none"/>
              </w:rPr>
            </w:pPr>
          </w:p>
          <w:p w14:paraId="2A71FE50">
            <w:pPr>
              <w:pStyle w:val="38"/>
              <w:bidi w:val="0"/>
              <w:rPr>
                <w:rFonts w:hint="eastAsia"/>
                <w:color w:val="auto"/>
                <w:highlight w:val="none"/>
              </w:rPr>
            </w:pPr>
          </w:p>
          <w:p w14:paraId="474F3B22">
            <w:pPr>
              <w:pStyle w:val="38"/>
              <w:bidi w:val="0"/>
              <w:rPr>
                <w:rFonts w:hint="eastAsia"/>
                <w:color w:val="auto"/>
                <w:highlight w:val="none"/>
              </w:rPr>
            </w:pPr>
          </w:p>
          <w:p w14:paraId="722A0ABA">
            <w:pPr>
              <w:pStyle w:val="38"/>
              <w:bidi w:val="0"/>
              <w:rPr>
                <w:rFonts w:hint="eastAsia"/>
                <w:color w:val="auto"/>
                <w:highlight w:val="none"/>
              </w:rPr>
            </w:pPr>
          </w:p>
          <w:p w14:paraId="23E632D2">
            <w:pPr>
              <w:pStyle w:val="38"/>
              <w:bidi w:val="0"/>
              <w:rPr>
                <w:rFonts w:hint="eastAsia"/>
                <w:color w:val="auto"/>
                <w:highlight w:val="none"/>
              </w:rPr>
            </w:pPr>
          </w:p>
          <w:p w14:paraId="0E695B9E">
            <w:pPr>
              <w:pStyle w:val="38"/>
              <w:bidi w:val="0"/>
              <w:rPr>
                <w:rFonts w:hint="eastAsia"/>
                <w:color w:val="auto"/>
                <w:highlight w:val="none"/>
              </w:rPr>
            </w:pPr>
          </w:p>
          <w:p w14:paraId="1253795B">
            <w:pPr>
              <w:pStyle w:val="38"/>
              <w:bidi w:val="0"/>
              <w:rPr>
                <w:rFonts w:hint="eastAsia"/>
                <w:color w:val="auto"/>
                <w:highlight w:val="none"/>
              </w:rPr>
            </w:pPr>
          </w:p>
          <w:p w14:paraId="65C48570">
            <w:pPr>
              <w:pStyle w:val="39"/>
              <w:rPr>
                <w:rFonts w:hint="eastAsia"/>
                <w:color w:val="auto"/>
                <w:highlight w:val="none"/>
              </w:rPr>
            </w:pPr>
            <w:r>
              <w:rPr>
                <w:rFonts w:hint="eastAsia"/>
                <w:color w:val="auto"/>
                <w:highlight w:val="none"/>
              </w:rPr>
              <w:t>图</w:t>
            </w:r>
            <w:r>
              <w:rPr>
                <w:rFonts w:hint="eastAsia"/>
                <w:color w:val="auto"/>
                <w:highlight w:val="none"/>
                <w:lang w:val="en-US" w:eastAsia="zh-CN"/>
              </w:rPr>
              <w:t>5</w:t>
            </w:r>
            <w:r>
              <w:rPr>
                <w:rFonts w:hint="eastAsia"/>
                <w:color w:val="auto"/>
                <w:highlight w:val="none"/>
              </w:rPr>
              <w:t xml:space="preserve"> 项目建成后厂区废气走向图</w:t>
            </w:r>
          </w:p>
          <w:p w14:paraId="3FC866AC">
            <w:pPr>
              <w:pStyle w:val="38"/>
              <w:ind w:firstLine="422"/>
              <w:rPr>
                <w:rFonts w:hint="eastAsia"/>
                <w:b/>
                <w:bCs/>
                <w:color w:val="auto"/>
                <w:highlight w:val="none"/>
              </w:rPr>
            </w:pPr>
            <w:r>
              <w:rPr>
                <w:b/>
                <w:bCs/>
                <w:color w:val="auto"/>
                <w:highlight w:val="none"/>
              </w:rPr>
              <w:t>2</w:t>
            </w:r>
            <w:r>
              <w:rPr>
                <w:rFonts w:hint="eastAsia"/>
                <w:b/>
                <w:bCs/>
                <w:color w:val="auto"/>
                <w:highlight w:val="none"/>
              </w:rPr>
              <w:t>、废气污染物产排信息汇总</w:t>
            </w:r>
          </w:p>
          <w:p w14:paraId="0617B479">
            <w:pPr>
              <w:pStyle w:val="38"/>
              <w:rPr>
                <w:rFonts w:hint="eastAsia"/>
                <w:color w:val="auto"/>
                <w:highlight w:val="none"/>
              </w:rPr>
            </w:pPr>
            <w:r>
              <w:rPr>
                <w:rFonts w:hint="eastAsia"/>
                <w:color w:val="auto"/>
                <w:highlight w:val="none"/>
              </w:rPr>
              <w:t>拟建项目废气污染物产排信息汇总见下表。</w:t>
            </w:r>
            <w:bookmarkStart w:id="15" w:name="_Ref74682036"/>
          </w:p>
          <w:bookmarkEnd w:id="15"/>
          <w:p w14:paraId="772E7EF7">
            <w:pPr>
              <w:rPr>
                <w:color w:val="auto"/>
                <w:highlight w:val="none"/>
              </w:rPr>
            </w:pPr>
          </w:p>
        </w:tc>
      </w:tr>
    </w:tbl>
    <w:p w14:paraId="1B9A9E14">
      <w:pPr>
        <w:rPr>
          <w:color w:val="auto"/>
          <w:highlight w:val="none"/>
        </w:rPr>
        <w:sectPr>
          <w:headerReference r:id="rId8" w:type="default"/>
          <w:footerReference r:id="rId9" w:type="default"/>
          <w:pgSz w:w="11907" w:h="16840"/>
          <w:pgMar w:top="1418" w:right="1247" w:bottom="1418" w:left="1247" w:header="851" w:footer="851" w:gutter="0"/>
          <w:pgBorders>
            <w:top w:val="none" w:sz="0" w:space="0"/>
            <w:left w:val="none" w:sz="0" w:space="0"/>
            <w:bottom w:val="none" w:sz="0" w:space="0"/>
            <w:right w:val="none" w:sz="0" w:space="0"/>
          </w:pgBorders>
          <w:cols w:space="720" w:num="1"/>
          <w:docGrid w:type="lines" w:linePitch="312" w:charSpace="0"/>
        </w:sectPr>
      </w:pPr>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16"/>
        <w:gridCol w:w="13568"/>
      </w:tblGrid>
      <w:tr w14:paraId="2CB1A8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58" w:hRule="atLeast"/>
          <w:jc w:val="center"/>
        </w:trPr>
        <w:tc>
          <w:tcPr>
            <w:tcW w:w="416" w:type="dxa"/>
            <w:tcMar>
              <w:left w:w="28" w:type="dxa"/>
              <w:right w:w="28" w:type="dxa"/>
            </w:tcMar>
            <w:vAlign w:val="center"/>
          </w:tcPr>
          <w:p w14:paraId="41DDFF95">
            <w:pPr>
              <w:adjustRightInd w:val="0"/>
              <w:spacing w:line="36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运营期环境影响和保护措施</w:t>
            </w:r>
          </w:p>
        </w:tc>
        <w:tc>
          <w:tcPr>
            <w:tcW w:w="13568" w:type="dxa"/>
            <w:vAlign w:val="center"/>
          </w:tcPr>
          <w:p w14:paraId="67B5D3A5">
            <w:pPr>
              <w:pStyle w:val="39"/>
              <w:rPr>
                <w:rFonts w:hint="default" w:ascii="Times New Roman" w:hAnsi="Times New Roman" w:cs="Times New Roman"/>
                <w:color w:val="auto"/>
                <w:highlight w:val="none"/>
              </w:rPr>
            </w:pPr>
            <w:bookmarkStart w:id="16" w:name="_Hlk113370167"/>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22</w:t>
            </w:r>
            <w:r>
              <w:rPr>
                <w:rFonts w:hint="default" w:ascii="Times New Roman" w:hAnsi="Times New Roman" w:cs="Times New Roman"/>
                <w:color w:val="auto"/>
                <w:highlight w:val="none"/>
              </w:rPr>
              <w:t xml:space="preserve"> 拟建项目废气产排信息汇总</w:t>
            </w:r>
            <w:bookmarkEnd w:id="16"/>
          </w:p>
          <w:tbl>
            <w:tblPr>
              <w:tblStyle w:val="29"/>
              <w:tblW w:w="4996" w:type="pct"/>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
            <w:tblGrid>
              <w:gridCol w:w="1351"/>
              <w:gridCol w:w="931"/>
              <w:gridCol w:w="681"/>
              <w:gridCol w:w="920"/>
              <w:gridCol w:w="793"/>
              <w:gridCol w:w="717"/>
              <w:gridCol w:w="1012"/>
              <w:gridCol w:w="1039"/>
              <w:gridCol w:w="821"/>
              <w:gridCol w:w="828"/>
              <w:gridCol w:w="924"/>
              <w:gridCol w:w="881"/>
              <w:gridCol w:w="777"/>
              <w:gridCol w:w="748"/>
              <w:gridCol w:w="899"/>
            </w:tblGrid>
            <w:tr w14:paraId="6122645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7" w:type="pct"/>
                  <w:vMerge w:val="restart"/>
                  <w:tcBorders>
                    <w:tl2br w:val="nil"/>
                    <w:tr2bl w:val="nil"/>
                  </w:tcBorders>
                  <w:noWrap w:val="0"/>
                  <w:vAlign w:val="center"/>
                </w:tcPr>
                <w:p w14:paraId="22CD16D3">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产排污环节</w:t>
                  </w:r>
                </w:p>
              </w:tc>
              <w:tc>
                <w:tcPr>
                  <w:tcW w:w="349" w:type="pct"/>
                  <w:vMerge w:val="restart"/>
                  <w:tcBorders>
                    <w:tl2br w:val="nil"/>
                    <w:tr2bl w:val="nil"/>
                  </w:tcBorders>
                  <w:noWrap w:val="0"/>
                  <w:vAlign w:val="center"/>
                </w:tcPr>
                <w:p w14:paraId="5F2FA3C4">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污染物种类</w:t>
                  </w:r>
                </w:p>
              </w:tc>
              <w:tc>
                <w:tcPr>
                  <w:tcW w:w="255" w:type="pct"/>
                  <w:vMerge w:val="restart"/>
                  <w:tcBorders>
                    <w:tl2br w:val="nil"/>
                    <w:tr2bl w:val="nil"/>
                  </w:tcBorders>
                  <w:noWrap w:val="0"/>
                  <w:vAlign w:val="center"/>
                </w:tcPr>
                <w:p w14:paraId="6861EB3C">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核算方法</w:t>
                  </w:r>
                </w:p>
              </w:tc>
              <w:tc>
                <w:tcPr>
                  <w:tcW w:w="912" w:type="pct"/>
                  <w:gridSpan w:val="3"/>
                  <w:tcBorders>
                    <w:tl2br w:val="nil"/>
                    <w:tr2bl w:val="nil"/>
                  </w:tcBorders>
                  <w:noWrap w:val="0"/>
                  <w:vAlign w:val="center"/>
                </w:tcPr>
                <w:p w14:paraId="59E97F59">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污染物产生</w:t>
                  </w:r>
                </w:p>
              </w:tc>
              <w:tc>
                <w:tcPr>
                  <w:tcW w:w="1388" w:type="pct"/>
                  <w:gridSpan w:val="4"/>
                  <w:tcBorders>
                    <w:tl2br w:val="nil"/>
                    <w:tr2bl w:val="nil"/>
                  </w:tcBorders>
                  <w:noWrap w:val="0"/>
                  <w:vAlign w:val="center"/>
                </w:tcPr>
                <w:p w14:paraId="38A9E5FA">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治理措施</w:t>
                  </w:r>
                </w:p>
              </w:tc>
              <w:tc>
                <w:tcPr>
                  <w:tcW w:w="969" w:type="pct"/>
                  <w:gridSpan w:val="3"/>
                  <w:tcBorders>
                    <w:tl2br w:val="nil"/>
                    <w:tr2bl w:val="nil"/>
                  </w:tcBorders>
                  <w:noWrap w:val="0"/>
                  <w:vAlign w:val="center"/>
                </w:tcPr>
                <w:p w14:paraId="32A0DBB0">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排放情况</w:t>
                  </w:r>
                </w:p>
              </w:tc>
              <w:tc>
                <w:tcPr>
                  <w:tcW w:w="280" w:type="pct"/>
                  <w:vMerge w:val="restart"/>
                  <w:tcBorders>
                    <w:tl2br w:val="nil"/>
                    <w:tr2bl w:val="nil"/>
                  </w:tcBorders>
                  <w:noWrap w:val="0"/>
                  <w:vAlign w:val="center"/>
                </w:tcPr>
                <w:p w14:paraId="10C082BC">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核算排放时间</w:t>
                  </w:r>
                  <w:r>
                    <w:rPr>
                      <w:rFonts w:hint="eastAsia" w:ascii="Times New Roman" w:hAnsi="Times New Roman" w:cs="Times New Roman"/>
                      <w:color w:val="auto"/>
                      <w:spacing w:val="-6"/>
                      <w:sz w:val="18"/>
                      <w:szCs w:val="18"/>
                      <w:highlight w:val="none"/>
                      <w:lang w:val="en-US" w:eastAsia="zh-CN"/>
                    </w:rPr>
                    <w:t>（h）</w:t>
                  </w:r>
                </w:p>
              </w:tc>
              <w:tc>
                <w:tcPr>
                  <w:tcW w:w="337" w:type="pct"/>
                  <w:vMerge w:val="restart"/>
                  <w:tcBorders>
                    <w:tl2br w:val="nil"/>
                    <w:tr2bl w:val="nil"/>
                  </w:tcBorders>
                  <w:noWrap w:val="0"/>
                  <w:vAlign w:val="center"/>
                </w:tcPr>
                <w:p w14:paraId="1F249059">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排放形式</w:t>
                  </w:r>
                  <w:r>
                    <w:rPr>
                      <w:rFonts w:hint="default" w:ascii="Times New Roman" w:hAnsi="Times New Roman" w:eastAsia="宋体" w:cs="Times New Roman"/>
                      <w:color w:val="auto"/>
                      <w:spacing w:val="-6"/>
                      <w:sz w:val="18"/>
                      <w:szCs w:val="18"/>
                      <w:highlight w:val="none"/>
                      <w:lang w:val="en-US" w:eastAsia="zh-CN"/>
                    </w:rPr>
                    <w:t>/</w:t>
                  </w:r>
                  <w:r>
                    <w:rPr>
                      <w:rFonts w:hint="eastAsia" w:ascii="Times New Roman" w:hAnsi="Times New Roman" w:eastAsia="宋体" w:cs="Times New Roman"/>
                      <w:color w:val="auto"/>
                      <w:spacing w:val="-6"/>
                      <w:sz w:val="18"/>
                      <w:szCs w:val="18"/>
                      <w:highlight w:val="none"/>
                      <w:lang w:val="en-US" w:eastAsia="zh-CN"/>
                    </w:rPr>
                    <w:t>编号</w:t>
                  </w:r>
                </w:p>
              </w:tc>
            </w:tr>
            <w:tr w14:paraId="24BCB25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7" w:type="pct"/>
                  <w:vMerge w:val="continue"/>
                  <w:tcBorders>
                    <w:tl2br w:val="nil"/>
                    <w:tr2bl w:val="nil"/>
                  </w:tcBorders>
                  <w:noWrap w:val="0"/>
                  <w:vAlign w:val="center"/>
                </w:tcPr>
                <w:p w14:paraId="21B99CBE">
                  <w:pPr>
                    <w:pStyle w:val="41"/>
                    <w:rPr>
                      <w:rFonts w:hint="eastAsia" w:ascii="Times New Roman" w:hAnsi="Times New Roman" w:eastAsia="宋体" w:cs="Times New Roman"/>
                      <w:color w:val="auto"/>
                      <w:spacing w:val="-6"/>
                      <w:sz w:val="18"/>
                      <w:szCs w:val="18"/>
                      <w:highlight w:val="none"/>
                      <w:lang w:val="en-US" w:eastAsia="zh-CN"/>
                    </w:rPr>
                  </w:pPr>
                </w:p>
              </w:tc>
              <w:tc>
                <w:tcPr>
                  <w:tcW w:w="349" w:type="pct"/>
                  <w:vMerge w:val="continue"/>
                  <w:tcBorders>
                    <w:tl2br w:val="nil"/>
                    <w:tr2bl w:val="nil"/>
                  </w:tcBorders>
                  <w:noWrap w:val="0"/>
                  <w:vAlign w:val="center"/>
                </w:tcPr>
                <w:p w14:paraId="040B7A3F">
                  <w:pPr>
                    <w:pStyle w:val="41"/>
                    <w:rPr>
                      <w:rFonts w:hint="eastAsia" w:ascii="Times New Roman" w:hAnsi="Times New Roman" w:eastAsia="宋体" w:cs="Times New Roman"/>
                      <w:color w:val="auto"/>
                      <w:spacing w:val="-6"/>
                      <w:sz w:val="18"/>
                      <w:szCs w:val="18"/>
                      <w:highlight w:val="none"/>
                      <w:lang w:val="en-US" w:eastAsia="zh-CN"/>
                    </w:rPr>
                  </w:pPr>
                </w:p>
              </w:tc>
              <w:tc>
                <w:tcPr>
                  <w:tcW w:w="255" w:type="pct"/>
                  <w:vMerge w:val="continue"/>
                  <w:tcBorders>
                    <w:tl2br w:val="nil"/>
                    <w:tr2bl w:val="nil"/>
                  </w:tcBorders>
                  <w:noWrap w:val="0"/>
                  <w:vAlign w:val="center"/>
                </w:tcPr>
                <w:p w14:paraId="44F8A101">
                  <w:pPr>
                    <w:pStyle w:val="41"/>
                    <w:rPr>
                      <w:rFonts w:hint="eastAsia" w:ascii="Times New Roman" w:hAnsi="Times New Roman" w:eastAsia="宋体" w:cs="Times New Roman"/>
                      <w:color w:val="auto"/>
                      <w:spacing w:val="-6"/>
                      <w:sz w:val="18"/>
                      <w:szCs w:val="18"/>
                      <w:highlight w:val="none"/>
                      <w:lang w:val="en-US" w:eastAsia="zh-CN"/>
                    </w:rPr>
                  </w:pPr>
                </w:p>
              </w:tc>
              <w:tc>
                <w:tcPr>
                  <w:tcW w:w="345" w:type="pct"/>
                  <w:tcBorders>
                    <w:tl2br w:val="nil"/>
                    <w:tr2bl w:val="nil"/>
                  </w:tcBorders>
                  <w:noWrap w:val="0"/>
                  <w:vAlign w:val="center"/>
                </w:tcPr>
                <w:p w14:paraId="261F0AD7">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废气浓度</w:t>
                  </w:r>
                  <w:r>
                    <w:rPr>
                      <w:rFonts w:hint="eastAsia" w:ascii="Times New Roman" w:hAnsi="Times New Roman" w:cs="Times New Roman"/>
                      <w:color w:val="auto"/>
                      <w:spacing w:val="-6"/>
                      <w:sz w:val="18"/>
                      <w:szCs w:val="18"/>
                      <w:highlight w:val="none"/>
                      <w:lang w:val="en-US" w:eastAsia="zh-CN"/>
                    </w:rPr>
                    <w:t>（</w:t>
                  </w:r>
                  <w:r>
                    <w:rPr>
                      <w:rFonts w:hint="default" w:ascii="Times New Roman" w:hAnsi="Times New Roman" w:eastAsia="宋体" w:cs="Times New Roman"/>
                      <w:color w:val="auto"/>
                      <w:spacing w:val="-6"/>
                      <w:sz w:val="18"/>
                      <w:szCs w:val="18"/>
                      <w:highlight w:val="none"/>
                      <w:lang w:val="en-US" w:eastAsia="zh-CN"/>
                    </w:rPr>
                    <w:t>mg/m</w:t>
                  </w:r>
                  <w:r>
                    <w:rPr>
                      <w:rFonts w:hint="default" w:ascii="Times New Roman" w:hAnsi="Times New Roman" w:eastAsia="宋体" w:cs="Times New Roman"/>
                      <w:color w:val="auto"/>
                      <w:spacing w:val="-6"/>
                      <w:sz w:val="18"/>
                      <w:szCs w:val="18"/>
                      <w:highlight w:val="none"/>
                      <w:vertAlign w:val="superscript"/>
                      <w:lang w:val="en-US" w:eastAsia="zh-CN"/>
                    </w:rPr>
                    <w:t>3</w:t>
                  </w:r>
                  <w:r>
                    <w:rPr>
                      <w:rFonts w:hint="eastAsia" w:ascii="Times New Roman" w:hAnsi="Times New Roman" w:cs="Times New Roman"/>
                      <w:color w:val="auto"/>
                      <w:spacing w:val="-6"/>
                      <w:sz w:val="18"/>
                      <w:szCs w:val="18"/>
                      <w:highlight w:val="none"/>
                      <w:lang w:val="en-US" w:eastAsia="zh-CN"/>
                    </w:rPr>
                    <w:t>）</w:t>
                  </w:r>
                </w:p>
              </w:tc>
              <w:tc>
                <w:tcPr>
                  <w:tcW w:w="297" w:type="pct"/>
                  <w:tcBorders>
                    <w:tl2br w:val="nil"/>
                    <w:tr2bl w:val="nil"/>
                  </w:tcBorders>
                  <w:noWrap w:val="0"/>
                  <w:vAlign w:val="center"/>
                </w:tcPr>
                <w:p w14:paraId="5E0CD58E">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产生速率</w:t>
                  </w:r>
                  <w:r>
                    <w:rPr>
                      <w:rFonts w:hint="eastAsia" w:ascii="Times New Roman" w:hAnsi="Times New Roman" w:cs="Times New Roman"/>
                      <w:color w:val="auto"/>
                      <w:spacing w:val="-6"/>
                      <w:sz w:val="18"/>
                      <w:szCs w:val="18"/>
                      <w:highlight w:val="none"/>
                      <w:lang w:val="en-US" w:eastAsia="zh-CN"/>
                    </w:rPr>
                    <w:t>（kg/h）</w:t>
                  </w:r>
                </w:p>
              </w:tc>
              <w:tc>
                <w:tcPr>
                  <w:tcW w:w="269" w:type="pct"/>
                  <w:tcBorders>
                    <w:tl2br w:val="nil"/>
                    <w:tr2bl w:val="nil"/>
                  </w:tcBorders>
                  <w:noWrap w:val="0"/>
                  <w:vAlign w:val="center"/>
                </w:tcPr>
                <w:p w14:paraId="33A2F0C0">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产生量</w:t>
                  </w:r>
                  <w:r>
                    <w:rPr>
                      <w:rFonts w:hint="eastAsia" w:ascii="Times New Roman" w:hAnsi="Times New Roman" w:cs="Times New Roman"/>
                      <w:color w:val="auto"/>
                      <w:spacing w:val="-6"/>
                      <w:sz w:val="18"/>
                      <w:szCs w:val="18"/>
                      <w:highlight w:val="none"/>
                      <w:lang w:val="en-US" w:eastAsia="zh-CN"/>
                    </w:rPr>
                    <w:t>（t/a）</w:t>
                  </w:r>
                </w:p>
              </w:tc>
              <w:tc>
                <w:tcPr>
                  <w:tcW w:w="379" w:type="pct"/>
                  <w:tcBorders>
                    <w:tl2br w:val="nil"/>
                    <w:tr2bl w:val="nil"/>
                  </w:tcBorders>
                  <w:noWrap w:val="0"/>
                  <w:vAlign w:val="center"/>
                </w:tcPr>
                <w:p w14:paraId="7BB50231">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设施名称</w:t>
                  </w:r>
                </w:p>
              </w:tc>
              <w:tc>
                <w:tcPr>
                  <w:tcW w:w="389" w:type="pct"/>
                  <w:tcBorders>
                    <w:tl2br w:val="nil"/>
                    <w:tr2bl w:val="nil"/>
                  </w:tcBorders>
                  <w:noWrap w:val="0"/>
                  <w:vAlign w:val="center"/>
                </w:tcPr>
                <w:p w14:paraId="72E07999">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废气量（</w:t>
                  </w:r>
                  <w:r>
                    <w:rPr>
                      <w:rFonts w:hint="default" w:ascii="Times New Roman" w:hAnsi="Times New Roman" w:eastAsia="宋体" w:cs="Times New Roman"/>
                      <w:color w:val="auto"/>
                      <w:spacing w:val="-6"/>
                      <w:sz w:val="18"/>
                      <w:szCs w:val="18"/>
                      <w:highlight w:val="none"/>
                      <w:lang w:val="en-US" w:eastAsia="zh-CN"/>
                    </w:rPr>
                    <w:t>m</w:t>
                  </w:r>
                  <w:r>
                    <w:rPr>
                      <w:rFonts w:hint="default" w:ascii="Times New Roman" w:hAnsi="Times New Roman" w:eastAsia="宋体" w:cs="Times New Roman"/>
                      <w:color w:val="auto"/>
                      <w:spacing w:val="-6"/>
                      <w:sz w:val="18"/>
                      <w:szCs w:val="18"/>
                      <w:highlight w:val="none"/>
                      <w:vertAlign w:val="superscript"/>
                      <w:lang w:val="en-US" w:eastAsia="zh-CN"/>
                    </w:rPr>
                    <w:t>3</w:t>
                  </w:r>
                  <w:r>
                    <w:rPr>
                      <w:rFonts w:hint="default" w:ascii="Times New Roman" w:hAnsi="Times New Roman" w:eastAsia="宋体" w:cs="Times New Roman"/>
                      <w:color w:val="auto"/>
                      <w:spacing w:val="-6"/>
                      <w:sz w:val="18"/>
                      <w:szCs w:val="18"/>
                      <w:highlight w:val="none"/>
                      <w:lang w:val="en-US" w:eastAsia="zh-CN"/>
                    </w:rPr>
                    <w:t>/h</w:t>
                  </w:r>
                  <w:r>
                    <w:rPr>
                      <w:rFonts w:hint="eastAsia" w:ascii="Times New Roman" w:hAnsi="Times New Roman" w:eastAsia="宋体" w:cs="Times New Roman"/>
                      <w:color w:val="auto"/>
                      <w:spacing w:val="-6"/>
                      <w:sz w:val="18"/>
                      <w:szCs w:val="18"/>
                      <w:highlight w:val="none"/>
                      <w:lang w:val="en-US" w:eastAsia="zh-CN"/>
                    </w:rPr>
                    <w:t>）</w:t>
                  </w:r>
                </w:p>
              </w:tc>
              <w:tc>
                <w:tcPr>
                  <w:tcW w:w="308" w:type="pct"/>
                  <w:tcBorders>
                    <w:tl2br w:val="nil"/>
                    <w:tr2bl w:val="nil"/>
                  </w:tcBorders>
                  <w:noWrap w:val="0"/>
                  <w:vAlign w:val="center"/>
                </w:tcPr>
                <w:p w14:paraId="5D57F4F8">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收集效率（</w:t>
                  </w:r>
                  <w:r>
                    <w:rPr>
                      <w:rFonts w:hint="default" w:ascii="Times New Roman" w:hAnsi="Times New Roman" w:eastAsia="宋体" w:cs="Times New Roman"/>
                      <w:color w:val="auto"/>
                      <w:spacing w:val="-6"/>
                      <w:sz w:val="18"/>
                      <w:szCs w:val="18"/>
                      <w:highlight w:val="none"/>
                      <w:lang w:val="en-US" w:eastAsia="zh-CN"/>
                    </w:rPr>
                    <w:t>%</w:t>
                  </w:r>
                  <w:r>
                    <w:rPr>
                      <w:rFonts w:hint="eastAsia" w:ascii="Times New Roman" w:hAnsi="Times New Roman" w:eastAsia="宋体" w:cs="Times New Roman"/>
                      <w:color w:val="auto"/>
                      <w:spacing w:val="-6"/>
                      <w:sz w:val="18"/>
                      <w:szCs w:val="18"/>
                      <w:highlight w:val="none"/>
                      <w:lang w:val="en-US" w:eastAsia="zh-CN"/>
                    </w:rPr>
                    <w:t>）</w:t>
                  </w:r>
                </w:p>
              </w:tc>
              <w:tc>
                <w:tcPr>
                  <w:tcW w:w="310" w:type="pct"/>
                  <w:tcBorders>
                    <w:tl2br w:val="nil"/>
                    <w:tr2bl w:val="nil"/>
                  </w:tcBorders>
                  <w:noWrap w:val="0"/>
                  <w:vAlign w:val="center"/>
                </w:tcPr>
                <w:p w14:paraId="412F7698">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去除效率（</w:t>
                  </w:r>
                  <w:r>
                    <w:rPr>
                      <w:rFonts w:hint="default" w:ascii="Times New Roman" w:hAnsi="Times New Roman" w:eastAsia="宋体" w:cs="Times New Roman"/>
                      <w:color w:val="auto"/>
                      <w:spacing w:val="-6"/>
                      <w:sz w:val="18"/>
                      <w:szCs w:val="18"/>
                      <w:highlight w:val="none"/>
                      <w:lang w:val="en-US" w:eastAsia="zh-CN"/>
                    </w:rPr>
                    <w:t>%</w:t>
                  </w:r>
                  <w:r>
                    <w:rPr>
                      <w:rFonts w:hint="eastAsia" w:ascii="Times New Roman" w:hAnsi="Times New Roman" w:eastAsia="宋体" w:cs="Times New Roman"/>
                      <w:color w:val="auto"/>
                      <w:spacing w:val="-6"/>
                      <w:sz w:val="18"/>
                      <w:szCs w:val="18"/>
                      <w:highlight w:val="none"/>
                      <w:lang w:val="en-US" w:eastAsia="zh-CN"/>
                    </w:rPr>
                    <w:t>）</w:t>
                  </w:r>
                </w:p>
              </w:tc>
              <w:tc>
                <w:tcPr>
                  <w:tcW w:w="346" w:type="pct"/>
                  <w:tcBorders>
                    <w:tl2br w:val="nil"/>
                    <w:tr2bl w:val="nil"/>
                  </w:tcBorders>
                  <w:noWrap w:val="0"/>
                  <w:vAlign w:val="center"/>
                </w:tcPr>
                <w:p w14:paraId="7BC9A955">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排放浓度</w:t>
                  </w:r>
                  <w:r>
                    <w:rPr>
                      <w:rFonts w:hint="eastAsia" w:ascii="Times New Roman" w:hAnsi="Times New Roman" w:cs="Times New Roman"/>
                      <w:color w:val="auto"/>
                      <w:spacing w:val="-6"/>
                      <w:sz w:val="18"/>
                      <w:szCs w:val="18"/>
                      <w:highlight w:val="none"/>
                      <w:lang w:val="en-US" w:eastAsia="zh-CN"/>
                    </w:rPr>
                    <w:t>（</w:t>
                  </w:r>
                  <w:r>
                    <w:rPr>
                      <w:rFonts w:hint="default" w:ascii="Times New Roman" w:hAnsi="Times New Roman" w:eastAsia="宋体" w:cs="Times New Roman"/>
                      <w:color w:val="auto"/>
                      <w:spacing w:val="-6"/>
                      <w:sz w:val="18"/>
                      <w:szCs w:val="18"/>
                      <w:highlight w:val="none"/>
                      <w:lang w:val="en-US" w:eastAsia="zh-CN"/>
                    </w:rPr>
                    <w:t>mg/m</w:t>
                  </w:r>
                  <w:r>
                    <w:rPr>
                      <w:rFonts w:hint="default" w:ascii="Times New Roman" w:hAnsi="Times New Roman" w:eastAsia="宋体" w:cs="Times New Roman"/>
                      <w:color w:val="auto"/>
                      <w:spacing w:val="-6"/>
                      <w:sz w:val="18"/>
                      <w:szCs w:val="18"/>
                      <w:highlight w:val="none"/>
                      <w:vertAlign w:val="superscript"/>
                      <w:lang w:val="en-US" w:eastAsia="zh-CN"/>
                    </w:rPr>
                    <w:t>3</w:t>
                  </w:r>
                  <w:r>
                    <w:rPr>
                      <w:rFonts w:hint="eastAsia" w:ascii="Times New Roman" w:hAnsi="Times New Roman" w:cs="Times New Roman"/>
                      <w:color w:val="auto"/>
                      <w:spacing w:val="-6"/>
                      <w:sz w:val="18"/>
                      <w:szCs w:val="18"/>
                      <w:highlight w:val="none"/>
                      <w:lang w:val="en-US" w:eastAsia="zh-CN"/>
                    </w:rPr>
                    <w:t>）</w:t>
                  </w:r>
                </w:p>
              </w:tc>
              <w:tc>
                <w:tcPr>
                  <w:tcW w:w="330" w:type="pct"/>
                  <w:tcBorders>
                    <w:tl2br w:val="nil"/>
                    <w:tr2bl w:val="nil"/>
                  </w:tcBorders>
                  <w:noWrap w:val="0"/>
                  <w:vAlign w:val="center"/>
                </w:tcPr>
                <w:p w14:paraId="16DDCE4F">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排放速率</w:t>
                  </w:r>
                  <w:r>
                    <w:rPr>
                      <w:rFonts w:hint="eastAsia" w:ascii="Times New Roman" w:hAnsi="Times New Roman" w:cs="Times New Roman"/>
                      <w:color w:val="auto"/>
                      <w:spacing w:val="-6"/>
                      <w:sz w:val="18"/>
                      <w:szCs w:val="18"/>
                      <w:highlight w:val="none"/>
                      <w:lang w:val="en-US" w:eastAsia="zh-CN"/>
                    </w:rPr>
                    <w:t>（kg/h）</w:t>
                  </w:r>
                </w:p>
              </w:tc>
              <w:tc>
                <w:tcPr>
                  <w:tcW w:w="291" w:type="pct"/>
                  <w:tcBorders>
                    <w:tl2br w:val="nil"/>
                    <w:tr2bl w:val="nil"/>
                  </w:tcBorders>
                  <w:noWrap w:val="0"/>
                  <w:vAlign w:val="center"/>
                </w:tcPr>
                <w:p w14:paraId="3D2597C4">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排放量</w:t>
                  </w:r>
                  <w:r>
                    <w:rPr>
                      <w:rFonts w:hint="eastAsia" w:ascii="Times New Roman" w:hAnsi="Times New Roman" w:cs="Times New Roman"/>
                      <w:color w:val="auto"/>
                      <w:spacing w:val="-6"/>
                      <w:sz w:val="18"/>
                      <w:szCs w:val="18"/>
                      <w:highlight w:val="none"/>
                      <w:lang w:val="en-US" w:eastAsia="zh-CN"/>
                    </w:rPr>
                    <w:t>（t/a）</w:t>
                  </w:r>
                </w:p>
              </w:tc>
              <w:tc>
                <w:tcPr>
                  <w:tcW w:w="280" w:type="pct"/>
                  <w:vMerge w:val="continue"/>
                  <w:tcBorders>
                    <w:tl2br w:val="nil"/>
                    <w:tr2bl w:val="nil"/>
                  </w:tcBorders>
                  <w:noWrap w:val="0"/>
                  <w:vAlign w:val="center"/>
                </w:tcPr>
                <w:p w14:paraId="7683D75F">
                  <w:pPr>
                    <w:pStyle w:val="41"/>
                    <w:rPr>
                      <w:rFonts w:hint="eastAsia" w:ascii="Times New Roman" w:hAnsi="Times New Roman" w:eastAsia="宋体" w:cs="Times New Roman"/>
                      <w:color w:val="auto"/>
                      <w:spacing w:val="-6"/>
                      <w:sz w:val="18"/>
                      <w:szCs w:val="18"/>
                      <w:highlight w:val="none"/>
                      <w:lang w:val="en-US" w:eastAsia="zh-CN"/>
                    </w:rPr>
                  </w:pPr>
                </w:p>
              </w:tc>
              <w:tc>
                <w:tcPr>
                  <w:tcW w:w="337" w:type="pct"/>
                  <w:vMerge w:val="continue"/>
                  <w:tcBorders>
                    <w:tl2br w:val="nil"/>
                    <w:tr2bl w:val="nil"/>
                  </w:tcBorders>
                  <w:noWrap w:val="0"/>
                  <w:vAlign w:val="center"/>
                </w:tcPr>
                <w:p w14:paraId="4775944E">
                  <w:pPr>
                    <w:pStyle w:val="41"/>
                    <w:rPr>
                      <w:rFonts w:hint="eastAsia" w:ascii="Times New Roman" w:hAnsi="Times New Roman" w:eastAsia="宋体" w:cs="Times New Roman"/>
                      <w:color w:val="auto"/>
                      <w:spacing w:val="-6"/>
                      <w:sz w:val="18"/>
                      <w:szCs w:val="18"/>
                      <w:highlight w:val="none"/>
                      <w:lang w:val="en-US" w:eastAsia="zh-CN"/>
                    </w:rPr>
                  </w:pPr>
                </w:p>
              </w:tc>
            </w:tr>
            <w:tr w14:paraId="086631C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7" w:type="pct"/>
                  <w:tcBorders>
                    <w:tl2br w:val="nil"/>
                    <w:tr2bl w:val="nil"/>
                  </w:tcBorders>
                  <w:noWrap w:val="0"/>
                  <w:vAlign w:val="center"/>
                </w:tcPr>
                <w:p w14:paraId="6D120CC7">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板材封边（有组织）</w:t>
                  </w:r>
                </w:p>
              </w:tc>
              <w:tc>
                <w:tcPr>
                  <w:tcW w:w="349" w:type="pct"/>
                  <w:tcBorders>
                    <w:tl2br w:val="nil"/>
                    <w:tr2bl w:val="nil"/>
                  </w:tcBorders>
                  <w:noWrap/>
                  <w:vAlign w:val="center"/>
                </w:tcPr>
                <w:p w14:paraId="16030146">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VOCs</w:t>
                  </w:r>
                </w:p>
              </w:tc>
              <w:tc>
                <w:tcPr>
                  <w:tcW w:w="255" w:type="pct"/>
                  <w:tcBorders>
                    <w:tl2br w:val="nil"/>
                    <w:tr2bl w:val="nil"/>
                  </w:tcBorders>
                  <w:noWrap/>
                  <w:vAlign w:val="center"/>
                </w:tcPr>
                <w:p w14:paraId="4116795D">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物料衡算法</w:t>
                  </w:r>
                </w:p>
              </w:tc>
              <w:tc>
                <w:tcPr>
                  <w:tcW w:w="345" w:type="pct"/>
                  <w:tcBorders>
                    <w:tl2br w:val="nil"/>
                    <w:tr2bl w:val="nil"/>
                  </w:tcBorders>
                  <w:noWrap w:val="0"/>
                  <w:vAlign w:val="center"/>
                </w:tcPr>
                <w:p w14:paraId="0BF8E580">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11.25</w:t>
                  </w:r>
                </w:p>
              </w:tc>
              <w:tc>
                <w:tcPr>
                  <w:tcW w:w="297" w:type="pct"/>
                  <w:tcBorders>
                    <w:tl2br w:val="nil"/>
                    <w:tr2bl w:val="nil"/>
                  </w:tcBorders>
                  <w:noWrap w:val="0"/>
                  <w:vAlign w:val="center"/>
                </w:tcPr>
                <w:p w14:paraId="75BC39E8">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0.0225</w:t>
                  </w:r>
                </w:p>
              </w:tc>
              <w:tc>
                <w:tcPr>
                  <w:tcW w:w="269" w:type="pct"/>
                  <w:tcBorders>
                    <w:tl2br w:val="nil"/>
                    <w:tr2bl w:val="nil"/>
                  </w:tcBorders>
                  <w:noWrap w:val="0"/>
                  <w:vAlign w:val="center"/>
                </w:tcPr>
                <w:p w14:paraId="19ED3D11">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0.0135</w:t>
                  </w:r>
                </w:p>
              </w:tc>
              <w:tc>
                <w:tcPr>
                  <w:tcW w:w="379" w:type="pct"/>
                  <w:tcBorders>
                    <w:tl2br w:val="nil"/>
                    <w:tr2bl w:val="nil"/>
                  </w:tcBorders>
                  <w:noWrap w:val="0"/>
                  <w:vAlign w:val="center"/>
                </w:tcPr>
                <w:p w14:paraId="5246B704">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二级活性炭吸附设施</w:t>
                  </w:r>
                </w:p>
              </w:tc>
              <w:tc>
                <w:tcPr>
                  <w:tcW w:w="389" w:type="pct"/>
                  <w:tcBorders>
                    <w:tl2br w:val="nil"/>
                    <w:tr2bl w:val="nil"/>
                  </w:tcBorders>
                  <w:noWrap w:val="0"/>
                  <w:vAlign w:val="center"/>
                </w:tcPr>
                <w:p w14:paraId="7E7F82C3">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2000</w:t>
                  </w:r>
                </w:p>
              </w:tc>
              <w:tc>
                <w:tcPr>
                  <w:tcW w:w="308" w:type="pct"/>
                  <w:tcBorders>
                    <w:tl2br w:val="nil"/>
                    <w:tr2bl w:val="nil"/>
                  </w:tcBorders>
                  <w:noWrap w:val="0"/>
                  <w:vAlign w:val="center"/>
                </w:tcPr>
                <w:p w14:paraId="4D5E364E">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90</w:t>
                  </w:r>
                </w:p>
              </w:tc>
              <w:tc>
                <w:tcPr>
                  <w:tcW w:w="310" w:type="pct"/>
                  <w:tcBorders>
                    <w:tl2br w:val="nil"/>
                    <w:tr2bl w:val="nil"/>
                  </w:tcBorders>
                  <w:noWrap w:val="0"/>
                  <w:vAlign w:val="center"/>
                </w:tcPr>
                <w:p w14:paraId="667235F2">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80</w:t>
                  </w:r>
                </w:p>
              </w:tc>
              <w:tc>
                <w:tcPr>
                  <w:tcW w:w="346" w:type="pct"/>
                  <w:tcBorders>
                    <w:tl2br w:val="nil"/>
                    <w:tr2bl w:val="nil"/>
                  </w:tcBorders>
                  <w:noWrap w:val="0"/>
                  <w:vAlign w:val="center"/>
                </w:tcPr>
                <w:p w14:paraId="09B1C991">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2.25</w:t>
                  </w:r>
                </w:p>
              </w:tc>
              <w:tc>
                <w:tcPr>
                  <w:tcW w:w="330" w:type="pct"/>
                  <w:tcBorders>
                    <w:tl2br w:val="nil"/>
                    <w:tr2bl w:val="nil"/>
                  </w:tcBorders>
                  <w:noWrap w:val="0"/>
                  <w:vAlign w:val="center"/>
                </w:tcPr>
                <w:p w14:paraId="7F0DDBD4">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0.0045</w:t>
                  </w:r>
                </w:p>
              </w:tc>
              <w:tc>
                <w:tcPr>
                  <w:tcW w:w="291" w:type="pct"/>
                  <w:tcBorders>
                    <w:tl2br w:val="nil"/>
                    <w:tr2bl w:val="nil"/>
                  </w:tcBorders>
                  <w:noWrap w:val="0"/>
                  <w:vAlign w:val="center"/>
                </w:tcPr>
                <w:p w14:paraId="27708682">
                  <w:pPr>
                    <w:pStyle w:val="41"/>
                    <w:rPr>
                      <w:rFonts w:hint="default" w:ascii="Times New Roman" w:hAnsi="Times New Roman" w:eastAsia="宋体" w:cs="Times New Roman"/>
                      <w:color w:val="auto"/>
                      <w:spacing w:val="-6"/>
                      <w:sz w:val="18"/>
                      <w:szCs w:val="18"/>
                      <w:highlight w:val="none"/>
                      <w:lang w:val="en-US" w:eastAsia="zh-CN"/>
                    </w:rPr>
                  </w:pPr>
                  <w:r>
                    <w:rPr>
                      <w:rFonts w:hint="default" w:ascii="Times New Roman" w:hAnsi="Times New Roman" w:eastAsia="宋体" w:cs="Times New Roman"/>
                      <w:color w:val="auto"/>
                      <w:spacing w:val="-6"/>
                      <w:sz w:val="18"/>
                      <w:szCs w:val="18"/>
                      <w:highlight w:val="none"/>
                      <w:lang w:val="en-US" w:eastAsia="zh-CN"/>
                    </w:rPr>
                    <w:t>0.0</w:t>
                  </w:r>
                  <w:r>
                    <w:rPr>
                      <w:rFonts w:hint="eastAsia" w:ascii="Times New Roman" w:hAnsi="Times New Roman" w:cs="Times New Roman"/>
                      <w:color w:val="auto"/>
                      <w:spacing w:val="-6"/>
                      <w:sz w:val="18"/>
                      <w:szCs w:val="18"/>
                      <w:highlight w:val="none"/>
                      <w:lang w:val="en-US" w:eastAsia="zh-CN"/>
                    </w:rPr>
                    <w:t>027</w:t>
                  </w:r>
                </w:p>
              </w:tc>
              <w:tc>
                <w:tcPr>
                  <w:tcW w:w="280" w:type="pct"/>
                  <w:tcBorders>
                    <w:tl2br w:val="nil"/>
                    <w:tr2bl w:val="nil"/>
                  </w:tcBorders>
                  <w:noWrap w:val="0"/>
                  <w:vAlign w:val="center"/>
                </w:tcPr>
                <w:p w14:paraId="7F539AEC">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600</w:t>
                  </w:r>
                </w:p>
              </w:tc>
              <w:tc>
                <w:tcPr>
                  <w:tcW w:w="337" w:type="pct"/>
                  <w:tcBorders>
                    <w:tl2br w:val="nil"/>
                    <w:tr2bl w:val="nil"/>
                  </w:tcBorders>
                  <w:noWrap w:val="0"/>
                  <w:vAlign w:val="center"/>
                </w:tcPr>
                <w:p w14:paraId="6E6D580B">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有组织</w:t>
                  </w:r>
                  <w:r>
                    <w:rPr>
                      <w:rFonts w:hint="default" w:ascii="Times New Roman" w:hAnsi="Times New Roman" w:eastAsia="宋体" w:cs="Times New Roman"/>
                      <w:color w:val="auto"/>
                      <w:spacing w:val="-6"/>
                      <w:sz w:val="18"/>
                      <w:szCs w:val="18"/>
                      <w:highlight w:val="none"/>
                      <w:lang w:val="en-US" w:eastAsia="zh-CN"/>
                    </w:rPr>
                    <w:t>/</w:t>
                  </w:r>
                  <w:r>
                    <w:rPr>
                      <w:rFonts w:hint="eastAsia" w:ascii="Times New Roman" w:hAnsi="Times New Roman" w:eastAsia="宋体" w:cs="Times New Roman"/>
                      <w:color w:val="auto"/>
                      <w:spacing w:val="-6"/>
                      <w:sz w:val="18"/>
                      <w:szCs w:val="18"/>
                      <w:highlight w:val="none"/>
                      <w:lang w:val="en-US" w:eastAsia="zh-CN"/>
                    </w:rPr>
                    <w:t>P</w:t>
                  </w:r>
                  <w:r>
                    <w:rPr>
                      <w:rFonts w:hint="eastAsia" w:ascii="Times New Roman" w:hAnsi="Times New Roman" w:cs="Times New Roman"/>
                      <w:color w:val="auto"/>
                      <w:spacing w:val="-6"/>
                      <w:sz w:val="18"/>
                      <w:szCs w:val="18"/>
                      <w:highlight w:val="none"/>
                      <w:lang w:val="en-US" w:eastAsia="zh-CN"/>
                    </w:rPr>
                    <w:t>1</w:t>
                  </w:r>
                </w:p>
              </w:tc>
            </w:tr>
            <w:tr w14:paraId="5E2156E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7" w:type="pct"/>
                  <w:tcBorders>
                    <w:tl2br w:val="nil"/>
                    <w:tr2bl w:val="nil"/>
                  </w:tcBorders>
                  <w:noWrap w:val="0"/>
                  <w:vAlign w:val="center"/>
                </w:tcPr>
                <w:p w14:paraId="36DA9711">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封边</w:t>
                  </w:r>
                  <w:r>
                    <w:rPr>
                      <w:rFonts w:hint="eastAsia" w:ascii="Times New Roman" w:hAnsi="Times New Roman" w:eastAsia="宋体" w:cs="Times New Roman"/>
                      <w:color w:val="auto"/>
                      <w:spacing w:val="-6"/>
                      <w:sz w:val="18"/>
                      <w:szCs w:val="18"/>
                      <w:highlight w:val="none"/>
                      <w:lang w:val="en-US" w:eastAsia="zh-CN"/>
                    </w:rPr>
                    <w:t>未收集</w:t>
                  </w:r>
                </w:p>
              </w:tc>
              <w:tc>
                <w:tcPr>
                  <w:tcW w:w="349" w:type="pct"/>
                  <w:tcBorders>
                    <w:tl2br w:val="nil"/>
                    <w:tr2bl w:val="nil"/>
                  </w:tcBorders>
                  <w:noWrap w:val="0"/>
                  <w:vAlign w:val="center"/>
                </w:tcPr>
                <w:p w14:paraId="7B9D7388">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VOCs</w:t>
                  </w:r>
                </w:p>
              </w:tc>
              <w:tc>
                <w:tcPr>
                  <w:tcW w:w="255" w:type="pct"/>
                  <w:tcBorders>
                    <w:tl2br w:val="nil"/>
                    <w:tr2bl w:val="nil"/>
                  </w:tcBorders>
                  <w:noWrap/>
                  <w:vAlign w:val="center"/>
                </w:tcPr>
                <w:p w14:paraId="4DDCE975">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物料衡算法</w:t>
                  </w:r>
                </w:p>
              </w:tc>
              <w:tc>
                <w:tcPr>
                  <w:tcW w:w="345" w:type="pct"/>
                  <w:tcBorders>
                    <w:tl2br w:val="nil"/>
                    <w:tr2bl w:val="nil"/>
                  </w:tcBorders>
                  <w:noWrap/>
                  <w:vAlign w:val="center"/>
                </w:tcPr>
                <w:p w14:paraId="13019016">
                  <w:pPr>
                    <w:pStyle w:val="41"/>
                    <w:rPr>
                      <w:rFonts w:hint="default" w:ascii="Times New Roman" w:hAnsi="Times New Roman" w:eastAsia="宋体" w:cs="Times New Roman"/>
                      <w:color w:val="auto"/>
                      <w:spacing w:val="-6"/>
                      <w:sz w:val="18"/>
                      <w:szCs w:val="18"/>
                      <w:highlight w:val="none"/>
                      <w:lang w:val="en-US" w:eastAsia="zh-CN"/>
                    </w:rPr>
                  </w:pPr>
                  <w:r>
                    <w:rPr>
                      <w:rFonts w:hint="default" w:ascii="Times New Roman" w:hAnsi="Times New Roman" w:eastAsia="宋体" w:cs="Times New Roman"/>
                      <w:color w:val="auto"/>
                      <w:spacing w:val="-6"/>
                      <w:sz w:val="18"/>
                      <w:szCs w:val="18"/>
                      <w:highlight w:val="none"/>
                      <w:lang w:val="en-US" w:eastAsia="zh-CN"/>
                    </w:rPr>
                    <w:t>/</w:t>
                  </w:r>
                </w:p>
              </w:tc>
              <w:tc>
                <w:tcPr>
                  <w:tcW w:w="297" w:type="pct"/>
                  <w:tcBorders>
                    <w:tl2br w:val="nil"/>
                    <w:tr2bl w:val="nil"/>
                  </w:tcBorders>
                  <w:noWrap/>
                  <w:vAlign w:val="center"/>
                </w:tcPr>
                <w:p w14:paraId="6E07E07F">
                  <w:pPr>
                    <w:pStyle w:val="41"/>
                    <w:rPr>
                      <w:rFonts w:hint="default" w:ascii="Times New Roman" w:hAnsi="Times New Roman" w:eastAsia="宋体" w:cs="Times New Roman"/>
                      <w:color w:val="auto"/>
                      <w:spacing w:val="-6"/>
                      <w:sz w:val="18"/>
                      <w:szCs w:val="18"/>
                      <w:highlight w:val="none"/>
                      <w:lang w:val="en-US" w:eastAsia="zh-CN"/>
                    </w:rPr>
                  </w:pPr>
                  <w:r>
                    <w:rPr>
                      <w:rFonts w:hint="default" w:ascii="Times New Roman" w:hAnsi="Times New Roman" w:eastAsia="宋体" w:cs="Times New Roman"/>
                      <w:color w:val="auto"/>
                      <w:spacing w:val="-6"/>
                      <w:sz w:val="18"/>
                      <w:szCs w:val="18"/>
                      <w:highlight w:val="none"/>
                      <w:lang w:val="en-US" w:eastAsia="zh-CN"/>
                    </w:rPr>
                    <w:t>/</w:t>
                  </w:r>
                </w:p>
              </w:tc>
              <w:tc>
                <w:tcPr>
                  <w:tcW w:w="269" w:type="pct"/>
                  <w:tcBorders>
                    <w:tl2br w:val="nil"/>
                    <w:tr2bl w:val="nil"/>
                  </w:tcBorders>
                  <w:noWrap/>
                  <w:vAlign w:val="center"/>
                </w:tcPr>
                <w:p w14:paraId="11CCCF85">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0.0015</w:t>
                  </w:r>
                </w:p>
              </w:tc>
              <w:tc>
                <w:tcPr>
                  <w:tcW w:w="379" w:type="pct"/>
                  <w:tcBorders>
                    <w:tl2br w:val="nil"/>
                    <w:tr2bl w:val="nil"/>
                  </w:tcBorders>
                  <w:noWrap/>
                  <w:vAlign w:val="center"/>
                </w:tcPr>
                <w:p w14:paraId="500B7B59">
                  <w:pPr>
                    <w:pStyle w:val="41"/>
                    <w:rPr>
                      <w:rFonts w:hint="default" w:ascii="Times New Roman" w:hAnsi="Times New Roman" w:eastAsia="宋体" w:cs="Times New Roman"/>
                      <w:color w:val="auto"/>
                      <w:spacing w:val="-6"/>
                      <w:sz w:val="18"/>
                      <w:szCs w:val="18"/>
                      <w:highlight w:val="none"/>
                      <w:lang w:val="en-US" w:eastAsia="zh-CN"/>
                    </w:rPr>
                  </w:pPr>
                  <w:r>
                    <w:rPr>
                      <w:rFonts w:hint="default" w:ascii="Times New Roman" w:hAnsi="Times New Roman" w:eastAsia="宋体" w:cs="Times New Roman"/>
                      <w:color w:val="auto"/>
                      <w:spacing w:val="-6"/>
                      <w:sz w:val="18"/>
                      <w:szCs w:val="18"/>
                      <w:highlight w:val="none"/>
                      <w:lang w:val="en-US" w:eastAsia="zh-CN"/>
                    </w:rPr>
                    <w:t>/</w:t>
                  </w:r>
                </w:p>
              </w:tc>
              <w:tc>
                <w:tcPr>
                  <w:tcW w:w="389" w:type="pct"/>
                  <w:tcBorders>
                    <w:tl2br w:val="nil"/>
                    <w:tr2bl w:val="nil"/>
                  </w:tcBorders>
                  <w:noWrap/>
                  <w:vAlign w:val="center"/>
                </w:tcPr>
                <w:p w14:paraId="227A9768">
                  <w:pPr>
                    <w:pStyle w:val="41"/>
                    <w:rPr>
                      <w:rFonts w:hint="default" w:ascii="Times New Roman" w:hAnsi="Times New Roman" w:eastAsia="宋体" w:cs="Times New Roman"/>
                      <w:color w:val="auto"/>
                      <w:spacing w:val="-6"/>
                      <w:sz w:val="18"/>
                      <w:szCs w:val="18"/>
                      <w:highlight w:val="none"/>
                      <w:lang w:val="en-US" w:eastAsia="zh-CN"/>
                    </w:rPr>
                  </w:pPr>
                  <w:r>
                    <w:rPr>
                      <w:rFonts w:hint="default" w:ascii="Times New Roman" w:hAnsi="Times New Roman" w:eastAsia="宋体" w:cs="Times New Roman"/>
                      <w:color w:val="auto"/>
                      <w:spacing w:val="-6"/>
                      <w:sz w:val="18"/>
                      <w:szCs w:val="18"/>
                      <w:highlight w:val="none"/>
                      <w:lang w:val="en-US" w:eastAsia="zh-CN"/>
                    </w:rPr>
                    <w:t>/</w:t>
                  </w:r>
                </w:p>
              </w:tc>
              <w:tc>
                <w:tcPr>
                  <w:tcW w:w="308" w:type="pct"/>
                  <w:tcBorders>
                    <w:tl2br w:val="nil"/>
                    <w:tr2bl w:val="nil"/>
                  </w:tcBorders>
                  <w:noWrap/>
                  <w:vAlign w:val="center"/>
                </w:tcPr>
                <w:p w14:paraId="6E5353B1">
                  <w:pPr>
                    <w:pStyle w:val="41"/>
                    <w:rPr>
                      <w:rFonts w:hint="default" w:ascii="Times New Roman" w:hAnsi="Times New Roman" w:eastAsia="宋体" w:cs="Times New Roman"/>
                      <w:color w:val="auto"/>
                      <w:spacing w:val="-6"/>
                      <w:sz w:val="18"/>
                      <w:szCs w:val="18"/>
                      <w:highlight w:val="none"/>
                      <w:lang w:val="en-US" w:eastAsia="zh-CN"/>
                    </w:rPr>
                  </w:pPr>
                  <w:r>
                    <w:rPr>
                      <w:rFonts w:hint="default" w:ascii="Times New Roman" w:hAnsi="Times New Roman" w:eastAsia="宋体" w:cs="Times New Roman"/>
                      <w:color w:val="auto"/>
                      <w:spacing w:val="-6"/>
                      <w:sz w:val="18"/>
                      <w:szCs w:val="18"/>
                      <w:highlight w:val="none"/>
                      <w:lang w:val="en-US" w:eastAsia="zh-CN"/>
                    </w:rPr>
                    <w:t>/</w:t>
                  </w:r>
                </w:p>
              </w:tc>
              <w:tc>
                <w:tcPr>
                  <w:tcW w:w="310" w:type="pct"/>
                  <w:tcBorders>
                    <w:tl2br w:val="nil"/>
                    <w:tr2bl w:val="nil"/>
                  </w:tcBorders>
                  <w:noWrap/>
                  <w:vAlign w:val="center"/>
                </w:tcPr>
                <w:p w14:paraId="677F251B">
                  <w:pPr>
                    <w:pStyle w:val="41"/>
                    <w:rPr>
                      <w:rFonts w:hint="default" w:ascii="Times New Roman" w:hAnsi="Times New Roman" w:eastAsia="宋体" w:cs="Times New Roman"/>
                      <w:color w:val="auto"/>
                      <w:spacing w:val="-6"/>
                      <w:sz w:val="18"/>
                      <w:szCs w:val="18"/>
                      <w:highlight w:val="none"/>
                      <w:lang w:val="en-US" w:eastAsia="zh-CN"/>
                    </w:rPr>
                  </w:pPr>
                  <w:r>
                    <w:rPr>
                      <w:rFonts w:hint="default" w:ascii="Times New Roman" w:hAnsi="Times New Roman" w:eastAsia="宋体" w:cs="Times New Roman"/>
                      <w:color w:val="auto"/>
                      <w:spacing w:val="-6"/>
                      <w:sz w:val="18"/>
                      <w:szCs w:val="18"/>
                      <w:highlight w:val="none"/>
                      <w:lang w:val="en-US" w:eastAsia="zh-CN"/>
                    </w:rPr>
                    <w:t>/</w:t>
                  </w:r>
                </w:p>
              </w:tc>
              <w:tc>
                <w:tcPr>
                  <w:tcW w:w="346" w:type="pct"/>
                  <w:tcBorders>
                    <w:tl2br w:val="nil"/>
                    <w:tr2bl w:val="nil"/>
                  </w:tcBorders>
                  <w:noWrap/>
                  <w:vAlign w:val="center"/>
                </w:tcPr>
                <w:p w14:paraId="7C2BEF02">
                  <w:pPr>
                    <w:pStyle w:val="41"/>
                    <w:rPr>
                      <w:rFonts w:hint="default" w:ascii="Times New Roman" w:hAnsi="Times New Roman" w:eastAsia="宋体" w:cs="Times New Roman"/>
                      <w:color w:val="auto"/>
                      <w:spacing w:val="-6"/>
                      <w:sz w:val="18"/>
                      <w:szCs w:val="18"/>
                      <w:highlight w:val="none"/>
                      <w:lang w:val="en-US" w:eastAsia="zh-CN"/>
                    </w:rPr>
                  </w:pPr>
                  <w:r>
                    <w:rPr>
                      <w:rFonts w:hint="default" w:ascii="Times New Roman" w:hAnsi="Times New Roman" w:eastAsia="宋体" w:cs="Times New Roman"/>
                      <w:color w:val="auto"/>
                      <w:spacing w:val="-6"/>
                      <w:sz w:val="18"/>
                      <w:szCs w:val="18"/>
                      <w:highlight w:val="none"/>
                      <w:lang w:val="en-US" w:eastAsia="zh-CN"/>
                    </w:rPr>
                    <w:t>/</w:t>
                  </w:r>
                </w:p>
              </w:tc>
              <w:tc>
                <w:tcPr>
                  <w:tcW w:w="330" w:type="pct"/>
                  <w:tcBorders>
                    <w:tl2br w:val="nil"/>
                    <w:tr2bl w:val="nil"/>
                  </w:tcBorders>
                  <w:noWrap/>
                  <w:vAlign w:val="center"/>
                </w:tcPr>
                <w:p w14:paraId="582CDCC4">
                  <w:pPr>
                    <w:pStyle w:val="41"/>
                    <w:rPr>
                      <w:rFonts w:hint="default" w:ascii="Times New Roman" w:hAnsi="Times New Roman" w:eastAsia="宋体" w:cs="Times New Roman"/>
                      <w:color w:val="auto"/>
                      <w:spacing w:val="-6"/>
                      <w:sz w:val="18"/>
                      <w:szCs w:val="18"/>
                      <w:highlight w:val="none"/>
                      <w:lang w:val="en-US" w:eastAsia="zh-CN"/>
                    </w:rPr>
                  </w:pPr>
                  <w:r>
                    <w:rPr>
                      <w:rFonts w:hint="default" w:ascii="Times New Roman" w:hAnsi="Times New Roman" w:eastAsia="宋体" w:cs="Times New Roman"/>
                      <w:color w:val="auto"/>
                      <w:spacing w:val="-6"/>
                      <w:sz w:val="18"/>
                      <w:szCs w:val="18"/>
                      <w:highlight w:val="none"/>
                      <w:lang w:val="en-US" w:eastAsia="zh-CN"/>
                    </w:rPr>
                    <w:t>/</w:t>
                  </w:r>
                </w:p>
              </w:tc>
              <w:tc>
                <w:tcPr>
                  <w:tcW w:w="291" w:type="pct"/>
                  <w:tcBorders>
                    <w:tl2br w:val="nil"/>
                    <w:tr2bl w:val="nil"/>
                  </w:tcBorders>
                  <w:noWrap/>
                  <w:vAlign w:val="center"/>
                </w:tcPr>
                <w:p w14:paraId="673C286B">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0.0015</w:t>
                  </w:r>
                </w:p>
              </w:tc>
              <w:tc>
                <w:tcPr>
                  <w:tcW w:w="280" w:type="pct"/>
                  <w:tcBorders>
                    <w:tl2br w:val="nil"/>
                    <w:tr2bl w:val="nil"/>
                  </w:tcBorders>
                  <w:noWrap/>
                  <w:vAlign w:val="center"/>
                </w:tcPr>
                <w:p w14:paraId="5C8DE56F">
                  <w:pPr>
                    <w:pStyle w:val="41"/>
                    <w:rPr>
                      <w:rFonts w:hint="default" w:ascii="Times New Roman" w:hAnsi="Times New Roman" w:eastAsia="宋体" w:cs="Times New Roman"/>
                      <w:color w:val="auto"/>
                      <w:spacing w:val="-6"/>
                      <w:sz w:val="18"/>
                      <w:szCs w:val="18"/>
                      <w:highlight w:val="none"/>
                      <w:lang w:val="en-US" w:eastAsia="zh-CN"/>
                    </w:rPr>
                  </w:pPr>
                  <w:r>
                    <w:rPr>
                      <w:rFonts w:hint="default" w:ascii="Times New Roman" w:hAnsi="Times New Roman" w:eastAsia="宋体" w:cs="Times New Roman"/>
                      <w:color w:val="auto"/>
                      <w:spacing w:val="-6"/>
                      <w:sz w:val="18"/>
                      <w:szCs w:val="18"/>
                      <w:highlight w:val="none"/>
                      <w:lang w:val="en-US" w:eastAsia="zh-CN"/>
                    </w:rPr>
                    <w:t>/</w:t>
                  </w:r>
                </w:p>
              </w:tc>
              <w:tc>
                <w:tcPr>
                  <w:tcW w:w="337" w:type="pct"/>
                  <w:tcBorders>
                    <w:tl2br w:val="nil"/>
                    <w:tr2bl w:val="nil"/>
                  </w:tcBorders>
                  <w:noWrap/>
                  <w:vAlign w:val="center"/>
                </w:tcPr>
                <w:p w14:paraId="04C72D5D">
                  <w:pPr>
                    <w:pStyle w:val="41"/>
                    <w:rPr>
                      <w:rFonts w:hint="eastAsia"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无组织</w:t>
                  </w:r>
                </w:p>
              </w:tc>
            </w:tr>
            <w:tr w14:paraId="3A71F23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7" w:type="pct"/>
                  <w:tcBorders>
                    <w:tl2br w:val="nil"/>
                    <w:tr2bl w:val="nil"/>
                  </w:tcBorders>
                  <w:noWrap w:val="0"/>
                  <w:vAlign w:val="center"/>
                </w:tcPr>
                <w:p w14:paraId="434947A6">
                  <w:pPr>
                    <w:pStyle w:val="41"/>
                    <w:rPr>
                      <w:rFonts w:hint="eastAsia" w:ascii="Times New Roman" w:hAnsi="Times New Roman"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板材下料、木加工</w:t>
                  </w:r>
                </w:p>
              </w:tc>
              <w:tc>
                <w:tcPr>
                  <w:tcW w:w="349" w:type="pct"/>
                  <w:tcBorders>
                    <w:tl2br w:val="nil"/>
                    <w:tr2bl w:val="nil"/>
                  </w:tcBorders>
                  <w:noWrap w:val="0"/>
                  <w:vAlign w:val="center"/>
                </w:tcPr>
                <w:p w14:paraId="21B286BD">
                  <w:pPr>
                    <w:pStyle w:val="41"/>
                    <w:rPr>
                      <w:rFonts w:hint="eastAsia" w:ascii="Times New Roman" w:hAnsi="Times New Roman"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颗粒物</w:t>
                  </w:r>
                </w:p>
              </w:tc>
              <w:tc>
                <w:tcPr>
                  <w:tcW w:w="255" w:type="pct"/>
                  <w:tcBorders>
                    <w:tl2br w:val="nil"/>
                    <w:tr2bl w:val="nil"/>
                  </w:tcBorders>
                  <w:noWrap/>
                  <w:vAlign w:val="center"/>
                </w:tcPr>
                <w:p w14:paraId="378484D7">
                  <w:pPr>
                    <w:pStyle w:val="41"/>
                    <w:rPr>
                      <w:rFonts w:hint="eastAsia" w:ascii="Times New Roman" w:hAnsi="Times New Roman"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系数法</w:t>
                  </w:r>
                </w:p>
              </w:tc>
              <w:tc>
                <w:tcPr>
                  <w:tcW w:w="345" w:type="pct"/>
                  <w:tcBorders>
                    <w:tl2br w:val="nil"/>
                    <w:tr2bl w:val="nil"/>
                  </w:tcBorders>
                  <w:shd w:val="clear" w:color="auto" w:fill="auto"/>
                  <w:noWrap/>
                  <w:vAlign w:val="center"/>
                </w:tcPr>
                <w:p w14:paraId="77A49E3D">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default" w:ascii="Times New Roman" w:hAnsi="Times New Roman" w:eastAsia="宋体" w:cs="Times New Roman"/>
                      <w:color w:val="auto"/>
                      <w:spacing w:val="-6"/>
                      <w:sz w:val="18"/>
                      <w:szCs w:val="18"/>
                      <w:highlight w:val="none"/>
                      <w:lang w:val="en-US" w:eastAsia="zh-CN"/>
                    </w:rPr>
                    <w:t>/</w:t>
                  </w:r>
                </w:p>
              </w:tc>
              <w:tc>
                <w:tcPr>
                  <w:tcW w:w="297" w:type="pct"/>
                  <w:tcBorders>
                    <w:tl2br w:val="nil"/>
                    <w:tr2bl w:val="nil"/>
                  </w:tcBorders>
                  <w:shd w:val="clear" w:color="auto" w:fill="auto"/>
                  <w:noWrap/>
                  <w:vAlign w:val="center"/>
                </w:tcPr>
                <w:p w14:paraId="24CDCF4E">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default" w:ascii="Times New Roman" w:hAnsi="Times New Roman" w:eastAsia="宋体" w:cs="Times New Roman"/>
                      <w:color w:val="auto"/>
                      <w:spacing w:val="-6"/>
                      <w:sz w:val="18"/>
                      <w:szCs w:val="18"/>
                      <w:highlight w:val="none"/>
                      <w:lang w:val="en-US" w:eastAsia="zh-CN"/>
                    </w:rPr>
                    <w:t>/</w:t>
                  </w:r>
                </w:p>
              </w:tc>
              <w:tc>
                <w:tcPr>
                  <w:tcW w:w="269" w:type="pct"/>
                  <w:tcBorders>
                    <w:tl2br w:val="nil"/>
                    <w:tr2bl w:val="nil"/>
                  </w:tcBorders>
                  <w:shd w:val="clear" w:color="auto" w:fill="auto"/>
                  <w:noWrap/>
                  <w:vAlign w:val="center"/>
                </w:tcPr>
                <w:p w14:paraId="5325A489">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eastAsia" w:ascii="Times New Roman" w:hAnsi="Times New Roman" w:cs="Times New Roman"/>
                      <w:color w:val="auto"/>
                      <w:spacing w:val="-6"/>
                      <w:sz w:val="18"/>
                      <w:szCs w:val="18"/>
                      <w:highlight w:val="none"/>
                      <w:lang w:val="en-US" w:eastAsia="zh-CN"/>
                    </w:rPr>
                    <w:t>0.015</w:t>
                  </w:r>
                </w:p>
              </w:tc>
              <w:tc>
                <w:tcPr>
                  <w:tcW w:w="379" w:type="pct"/>
                  <w:tcBorders>
                    <w:tl2br w:val="nil"/>
                    <w:tr2bl w:val="nil"/>
                  </w:tcBorders>
                  <w:shd w:val="clear" w:color="auto" w:fill="auto"/>
                  <w:noWrap/>
                  <w:vAlign w:val="center"/>
                </w:tcPr>
                <w:p w14:paraId="60EE88BA">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eastAsia" w:ascii="Times New Roman" w:hAnsi="Times New Roman" w:eastAsia="宋体" w:cs="Times New Roman"/>
                      <w:color w:val="auto"/>
                      <w:spacing w:val="-6"/>
                      <w:sz w:val="18"/>
                      <w:szCs w:val="18"/>
                      <w:highlight w:val="none"/>
                      <w:lang w:val="en-US" w:eastAsia="zh-CN"/>
                    </w:rPr>
                    <w:t>移动式布袋除尘器</w:t>
                  </w:r>
                </w:p>
              </w:tc>
              <w:tc>
                <w:tcPr>
                  <w:tcW w:w="389" w:type="pct"/>
                  <w:tcBorders>
                    <w:tl2br w:val="nil"/>
                    <w:tr2bl w:val="nil"/>
                  </w:tcBorders>
                  <w:shd w:val="clear" w:color="auto" w:fill="auto"/>
                  <w:noWrap/>
                  <w:vAlign w:val="center"/>
                </w:tcPr>
                <w:p w14:paraId="56585F32">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default" w:ascii="Times New Roman" w:hAnsi="Times New Roman" w:eastAsia="宋体" w:cs="Times New Roman"/>
                      <w:color w:val="auto"/>
                      <w:spacing w:val="-6"/>
                      <w:sz w:val="18"/>
                      <w:szCs w:val="18"/>
                      <w:highlight w:val="none"/>
                      <w:lang w:val="en-US" w:eastAsia="zh-CN"/>
                    </w:rPr>
                    <w:t>/</w:t>
                  </w:r>
                </w:p>
              </w:tc>
              <w:tc>
                <w:tcPr>
                  <w:tcW w:w="308" w:type="pct"/>
                  <w:tcBorders>
                    <w:tl2br w:val="nil"/>
                    <w:tr2bl w:val="nil"/>
                  </w:tcBorders>
                  <w:shd w:val="clear" w:color="auto" w:fill="auto"/>
                  <w:noWrap/>
                  <w:vAlign w:val="center"/>
                </w:tcPr>
                <w:p w14:paraId="6C3AD61C">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eastAsia" w:ascii="Times New Roman" w:hAnsi="Times New Roman" w:eastAsia="宋体" w:cs="Times New Roman"/>
                      <w:color w:val="auto"/>
                      <w:spacing w:val="-6"/>
                      <w:sz w:val="18"/>
                      <w:szCs w:val="18"/>
                      <w:highlight w:val="none"/>
                      <w:lang w:val="en-US" w:eastAsia="zh-CN"/>
                    </w:rPr>
                    <w:t>90</w:t>
                  </w:r>
                </w:p>
              </w:tc>
              <w:tc>
                <w:tcPr>
                  <w:tcW w:w="310" w:type="pct"/>
                  <w:tcBorders>
                    <w:tl2br w:val="nil"/>
                    <w:tr2bl w:val="nil"/>
                  </w:tcBorders>
                  <w:shd w:val="clear" w:color="auto" w:fill="auto"/>
                  <w:noWrap/>
                  <w:vAlign w:val="center"/>
                </w:tcPr>
                <w:p w14:paraId="1BD953FC">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eastAsia" w:ascii="Times New Roman" w:hAnsi="Times New Roman" w:eastAsia="宋体" w:cs="Times New Roman"/>
                      <w:color w:val="auto"/>
                      <w:spacing w:val="-6"/>
                      <w:sz w:val="18"/>
                      <w:szCs w:val="18"/>
                      <w:highlight w:val="none"/>
                      <w:lang w:val="en-US" w:eastAsia="zh-CN"/>
                    </w:rPr>
                    <w:t>90</w:t>
                  </w:r>
                </w:p>
              </w:tc>
              <w:tc>
                <w:tcPr>
                  <w:tcW w:w="346" w:type="pct"/>
                  <w:tcBorders>
                    <w:tl2br w:val="nil"/>
                    <w:tr2bl w:val="nil"/>
                  </w:tcBorders>
                  <w:shd w:val="clear" w:color="auto" w:fill="auto"/>
                  <w:noWrap/>
                  <w:vAlign w:val="center"/>
                </w:tcPr>
                <w:p w14:paraId="5733D3C5">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default" w:ascii="Times New Roman" w:hAnsi="Times New Roman" w:eastAsia="宋体" w:cs="Times New Roman"/>
                      <w:color w:val="auto"/>
                      <w:spacing w:val="-6"/>
                      <w:sz w:val="18"/>
                      <w:szCs w:val="18"/>
                      <w:highlight w:val="none"/>
                      <w:lang w:val="en-US" w:eastAsia="zh-CN"/>
                    </w:rPr>
                    <w:t>/</w:t>
                  </w:r>
                </w:p>
              </w:tc>
              <w:tc>
                <w:tcPr>
                  <w:tcW w:w="330" w:type="pct"/>
                  <w:tcBorders>
                    <w:tl2br w:val="nil"/>
                    <w:tr2bl w:val="nil"/>
                  </w:tcBorders>
                  <w:shd w:val="clear" w:color="auto" w:fill="auto"/>
                  <w:noWrap/>
                  <w:vAlign w:val="center"/>
                </w:tcPr>
                <w:p w14:paraId="399FB1CE">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default" w:ascii="Times New Roman" w:hAnsi="Times New Roman" w:eastAsia="宋体" w:cs="Times New Roman"/>
                      <w:color w:val="auto"/>
                      <w:spacing w:val="-6"/>
                      <w:sz w:val="18"/>
                      <w:szCs w:val="18"/>
                      <w:highlight w:val="none"/>
                      <w:lang w:val="en-US" w:eastAsia="zh-CN"/>
                    </w:rPr>
                    <w:t>/</w:t>
                  </w:r>
                </w:p>
              </w:tc>
              <w:tc>
                <w:tcPr>
                  <w:tcW w:w="291" w:type="pct"/>
                  <w:tcBorders>
                    <w:tl2br w:val="nil"/>
                    <w:tr2bl w:val="nil"/>
                  </w:tcBorders>
                  <w:shd w:val="clear" w:color="auto" w:fill="auto"/>
                  <w:noWrap/>
                  <w:vAlign w:val="center"/>
                </w:tcPr>
                <w:p w14:paraId="71F6F340">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eastAsia" w:ascii="Times New Roman" w:hAnsi="Times New Roman" w:cs="Times New Roman"/>
                      <w:color w:val="auto"/>
                      <w:spacing w:val="-6"/>
                      <w:sz w:val="18"/>
                      <w:szCs w:val="18"/>
                      <w:highlight w:val="none"/>
                      <w:lang w:val="en-US" w:eastAsia="zh-CN"/>
                    </w:rPr>
                    <w:t>0.0029</w:t>
                  </w:r>
                </w:p>
              </w:tc>
              <w:tc>
                <w:tcPr>
                  <w:tcW w:w="280" w:type="pct"/>
                  <w:tcBorders>
                    <w:tl2br w:val="nil"/>
                    <w:tr2bl w:val="nil"/>
                  </w:tcBorders>
                  <w:shd w:val="clear" w:color="auto" w:fill="auto"/>
                  <w:noWrap/>
                  <w:vAlign w:val="center"/>
                </w:tcPr>
                <w:p w14:paraId="10458AB3">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default" w:ascii="Times New Roman" w:hAnsi="Times New Roman" w:eastAsia="宋体" w:cs="Times New Roman"/>
                      <w:color w:val="auto"/>
                      <w:spacing w:val="-6"/>
                      <w:sz w:val="18"/>
                      <w:szCs w:val="18"/>
                      <w:highlight w:val="none"/>
                      <w:lang w:val="en-US" w:eastAsia="zh-CN"/>
                    </w:rPr>
                    <w:t>/</w:t>
                  </w:r>
                </w:p>
              </w:tc>
              <w:tc>
                <w:tcPr>
                  <w:tcW w:w="337" w:type="pct"/>
                  <w:tcBorders>
                    <w:tl2br w:val="nil"/>
                    <w:tr2bl w:val="nil"/>
                  </w:tcBorders>
                  <w:shd w:val="clear" w:color="auto" w:fill="auto"/>
                  <w:noWrap/>
                  <w:vAlign w:val="center"/>
                </w:tcPr>
                <w:p w14:paraId="2DDB5D92">
                  <w:pPr>
                    <w:pStyle w:val="41"/>
                    <w:rPr>
                      <w:rFonts w:hint="eastAsia" w:ascii="Times New Roman" w:hAnsi="Times New Roman" w:eastAsia="宋体" w:cs="Times New Roman"/>
                      <w:color w:val="auto"/>
                      <w:spacing w:val="-6"/>
                      <w:kern w:val="2"/>
                      <w:sz w:val="18"/>
                      <w:szCs w:val="18"/>
                      <w:highlight w:val="none"/>
                      <w:lang w:val="en-US" w:eastAsia="zh-CN" w:bidi="ar-SA"/>
                    </w:rPr>
                  </w:pPr>
                  <w:r>
                    <w:rPr>
                      <w:rFonts w:hint="eastAsia" w:ascii="Times New Roman" w:hAnsi="Times New Roman" w:eastAsia="宋体" w:cs="Times New Roman"/>
                      <w:color w:val="auto"/>
                      <w:spacing w:val="-6"/>
                      <w:sz w:val="18"/>
                      <w:szCs w:val="18"/>
                      <w:highlight w:val="none"/>
                      <w:lang w:val="en-US" w:eastAsia="zh-CN"/>
                    </w:rPr>
                    <w:t>无组织</w:t>
                  </w:r>
                </w:p>
              </w:tc>
            </w:tr>
            <w:tr w14:paraId="13211CE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7" w:type="pct"/>
                  <w:tcBorders>
                    <w:tl2br w:val="nil"/>
                    <w:tr2bl w:val="nil"/>
                  </w:tcBorders>
                  <w:noWrap w:val="0"/>
                  <w:vAlign w:val="center"/>
                </w:tcPr>
                <w:p w14:paraId="2013A3BA">
                  <w:pPr>
                    <w:pStyle w:val="41"/>
                    <w:rPr>
                      <w:rFonts w:hint="eastAsia" w:ascii="Times New Roman" w:hAnsi="Times New Roman"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钢管切割</w:t>
                  </w:r>
                </w:p>
              </w:tc>
              <w:tc>
                <w:tcPr>
                  <w:tcW w:w="349" w:type="pct"/>
                  <w:tcBorders>
                    <w:tl2br w:val="nil"/>
                    <w:tr2bl w:val="nil"/>
                  </w:tcBorders>
                  <w:noWrap w:val="0"/>
                  <w:vAlign w:val="center"/>
                </w:tcPr>
                <w:p w14:paraId="533098D5">
                  <w:pPr>
                    <w:pStyle w:val="41"/>
                    <w:rPr>
                      <w:rFonts w:hint="eastAsia" w:ascii="Times New Roman" w:hAnsi="Times New Roman"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颗粒物</w:t>
                  </w:r>
                </w:p>
              </w:tc>
              <w:tc>
                <w:tcPr>
                  <w:tcW w:w="255" w:type="pct"/>
                  <w:tcBorders>
                    <w:tl2br w:val="nil"/>
                    <w:tr2bl w:val="nil"/>
                  </w:tcBorders>
                  <w:noWrap/>
                  <w:vAlign w:val="center"/>
                </w:tcPr>
                <w:p w14:paraId="1B0816CF">
                  <w:pPr>
                    <w:pStyle w:val="41"/>
                    <w:rPr>
                      <w:rFonts w:hint="eastAsia" w:ascii="Times New Roman" w:hAnsi="Times New Roman"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系数法</w:t>
                  </w:r>
                </w:p>
              </w:tc>
              <w:tc>
                <w:tcPr>
                  <w:tcW w:w="345" w:type="pct"/>
                  <w:tcBorders>
                    <w:tl2br w:val="nil"/>
                    <w:tr2bl w:val="nil"/>
                  </w:tcBorders>
                  <w:shd w:val="clear" w:color="auto" w:fill="auto"/>
                  <w:noWrap/>
                  <w:vAlign w:val="center"/>
                </w:tcPr>
                <w:p w14:paraId="1D27C855">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default" w:ascii="Times New Roman" w:hAnsi="Times New Roman" w:eastAsia="宋体" w:cs="Times New Roman"/>
                      <w:color w:val="auto"/>
                      <w:spacing w:val="-6"/>
                      <w:sz w:val="18"/>
                      <w:szCs w:val="18"/>
                      <w:highlight w:val="none"/>
                      <w:lang w:val="en-US" w:eastAsia="zh-CN"/>
                    </w:rPr>
                    <w:t>/</w:t>
                  </w:r>
                </w:p>
              </w:tc>
              <w:tc>
                <w:tcPr>
                  <w:tcW w:w="297" w:type="pct"/>
                  <w:tcBorders>
                    <w:tl2br w:val="nil"/>
                    <w:tr2bl w:val="nil"/>
                  </w:tcBorders>
                  <w:shd w:val="clear" w:color="auto" w:fill="auto"/>
                  <w:noWrap/>
                  <w:vAlign w:val="center"/>
                </w:tcPr>
                <w:p w14:paraId="20EF1579">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default" w:ascii="Times New Roman" w:hAnsi="Times New Roman" w:eastAsia="宋体" w:cs="Times New Roman"/>
                      <w:color w:val="auto"/>
                      <w:spacing w:val="-6"/>
                      <w:sz w:val="18"/>
                      <w:szCs w:val="18"/>
                      <w:highlight w:val="none"/>
                      <w:lang w:val="en-US" w:eastAsia="zh-CN"/>
                    </w:rPr>
                    <w:t>/</w:t>
                  </w:r>
                </w:p>
              </w:tc>
              <w:tc>
                <w:tcPr>
                  <w:tcW w:w="269" w:type="pct"/>
                  <w:tcBorders>
                    <w:tl2br w:val="nil"/>
                    <w:tr2bl w:val="nil"/>
                  </w:tcBorders>
                  <w:shd w:val="clear" w:color="auto" w:fill="auto"/>
                  <w:noWrap/>
                  <w:vAlign w:val="center"/>
                </w:tcPr>
                <w:p w14:paraId="0BCF8334">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eastAsia" w:ascii="Times New Roman" w:hAnsi="Times New Roman" w:cs="Times New Roman"/>
                      <w:color w:val="auto"/>
                      <w:spacing w:val="-6"/>
                      <w:sz w:val="18"/>
                      <w:szCs w:val="18"/>
                      <w:highlight w:val="none"/>
                      <w:lang w:val="en-US" w:eastAsia="zh-CN"/>
                    </w:rPr>
                    <w:t>0.0044</w:t>
                  </w:r>
                </w:p>
              </w:tc>
              <w:tc>
                <w:tcPr>
                  <w:tcW w:w="379" w:type="pct"/>
                  <w:tcBorders>
                    <w:tl2br w:val="nil"/>
                    <w:tr2bl w:val="nil"/>
                  </w:tcBorders>
                  <w:shd w:val="clear" w:color="auto" w:fill="auto"/>
                  <w:noWrap/>
                  <w:vAlign w:val="center"/>
                </w:tcPr>
                <w:p w14:paraId="26C9A3B6">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eastAsia" w:ascii="Times New Roman" w:hAnsi="Times New Roman" w:eastAsia="宋体" w:cs="Times New Roman"/>
                      <w:color w:val="auto"/>
                      <w:spacing w:val="-6"/>
                      <w:sz w:val="18"/>
                      <w:szCs w:val="18"/>
                      <w:highlight w:val="none"/>
                      <w:lang w:val="en-US" w:eastAsia="zh-CN"/>
                    </w:rPr>
                    <w:t>厂房阻隔及沉降</w:t>
                  </w:r>
                </w:p>
              </w:tc>
              <w:tc>
                <w:tcPr>
                  <w:tcW w:w="389" w:type="pct"/>
                  <w:tcBorders>
                    <w:tl2br w:val="nil"/>
                    <w:tr2bl w:val="nil"/>
                  </w:tcBorders>
                  <w:shd w:val="clear" w:color="auto" w:fill="auto"/>
                  <w:noWrap/>
                  <w:vAlign w:val="center"/>
                </w:tcPr>
                <w:p w14:paraId="7F2C4D37">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default" w:ascii="Times New Roman" w:hAnsi="Times New Roman" w:eastAsia="宋体" w:cs="Times New Roman"/>
                      <w:color w:val="auto"/>
                      <w:spacing w:val="-6"/>
                      <w:sz w:val="18"/>
                      <w:szCs w:val="18"/>
                      <w:highlight w:val="none"/>
                      <w:lang w:val="en-US" w:eastAsia="zh-CN"/>
                    </w:rPr>
                    <w:t>/</w:t>
                  </w:r>
                </w:p>
              </w:tc>
              <w:tc>
                <w:tcPr>
                  <w:tcW w:w="308" w:type="pct"/>
                  <w:tcBorders>
                    <w:tl2br w:val="nil"/>
                    <w:tr2bl w:val="nil"/>
                  </w:tcBorders>
                  <w:shd w:val="clear" w:color="auto" w:fill="auto"/>
                  <w:noWrap/>
                  <w:vAlign w:val="center"/>
                </w:tcPr>
                <w:p w14:paraId="1702023D">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eastAsia" w:ascii="Times New Roman" w:hAnsi="Times New Roman" w:eastAsia="宋体" w:cs="Times New Roman"/>
                      <w:color w:val="auto"/>
                      <w:spacing w:val="-6"/>
                      <w:sz w:val="18"/>
                      <w:szCs w:val="18"/>
                      <w:highlight w:val="none"/>
                      <w:lang w:val="en-US" w:eastAsia="zh-CN"/>
                    </w:rPr>
                    <w:t>/</w:t>
                  </w:r>
                </w:p>
              </w:tc>
              <w:tc>
                <w:tcPr>
                  <w:tcW w:w="310" w:type="pct"/>
                  <w:tcBorders>
                    <w:tl2br w:val="nil"/>
                    <w:tr2bl w:val="nil"/>
                  </w:tcBorders>
                  <w:shd w:val="clear" w:color="auto" w:fill="auto"/>
                  <w:noWrap/>
                  <w:vAlign w:val="center"/>
                </w:tcPr>
                <w:p w14:paraId="7AC95546">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eastAsia" w:ascii="Times New Roman" w:hAnsi="Times New Roman" w:eastAsia="宋体" w:cs="Times New Roman"/>
                      <w:color w:val="auto"/>
                      <w:spacing w:val="-6"/>
                      <w:sz w:val="18"/>
                      <w:szCs w:val="18"/>
                      <w:highlight w:val="none"/>
                      <w:lang w:val="en-US" w:eastAsia="zh-CN"/>
                    </w:rPr>
                    <w:t>85</w:t>
                  </w:r>
                </w:p>
              </w:tc>
              <w:tc>
                <w:tcPr>
                  <w:tcW w:w="346" w:type="pct"/>
                  <w:tcBorders>
                    <w:tl2br w:val="nil"/>
                    <w:tr2bl w:val="nil"/>
                  </w:tcBorders>
                  <w:shd w:val="clear" w:color="auto" w:fill="auto"/>
                  <w:noWrap/>
                  <w:vAlign w:val="center"/>
                </w:tcPr>
                <w:p w14:paraId="074A17C1">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default" w:ascii="Times New Roman" w:hAnsi="Times New Roman" w:eastAsia="宋体" w:cs="Times New Roman"/>
                      <w:color w:val="auto"/>
                      <w:spacing w:val="-6"/>
                      <w:sz w:val="18"/>
                      <w:szCs w:val="18"/>
                      <w:highlight w:val="none"/>
                      <w:lang w:val="en-US" w:eastAsia="zh-CN"/>
                    </w:rPr>
                    <w:t>/</w:t>
                  </w:r>
                </w:p>
              </w:tc>
              <w:tc>
                <w:tcPr>
                  <w:tcW w:w="330" w:type="pct"/>
                  <w:tcBorders>
                    <w:tl2br w:val="nil"/>
                    <w:tr2bl w:val="nil"/>
                  </w:tcBorders>
                  <w:shd w:val="clear" w:color="auto" w:fill="auto"/>
                  <w:noWrap/>
                  <w:vAlign w:val="center"/>
                </w:tcPr>
                <w:p w14:paraId="509EEA92">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default" w:ascii="Times New Roman" w:hAnsi="Times New Roman" w:eastAsia="宋体" w:cs="Times New Roman"/>
                      <w:color w:val="auto"/>
                      <w:spacing w:val="-6"/>
                      <w:sz w:val="18"/>
                      <w:szCs w:val="18"/>
                      <w:highlight w:val="none"/>
                      <w:lang w:val="en-US" w:eastAsia="zh-CN"/>
                    </w:rPr>
                    <w:t>/</w:t>
                  </w:r>
                </w:p>
              </w:tc>
              <w:tc>
                <w:tcPr>
                  <w:tcW w:w="291" w:type="pct"/>
                  <w:tcBorders>
                    <w:tl2br w:val="nil"/>
                    <w:tr2bl w:val="nil"/>
                  </w:tcBorders>
                  <w:shd w:val="clear" w:color="auto" w:fill="auto"/>
                  <w:noWrap/>
                  <w:vAlign w:val="center"/>
                </w:tcPr>
                <w:p w14:paraId="4C3896FC">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eastAsia" w:ascii="Times New Roman" w:hAnsi="Times New Roman" w:cs="Times New Roman"/>
                      <w:color w:val="auto"/>
                      <w:spacing w:val="-6"/>
                      <w:sz w:val="18"/>
                      <w:szCs w:val="18"/>
                      <w:highlight w:val="none"/>
                      <w:lang w:val="en-US" w:eastAsia="zh-CN"/>
                    </w:rPr>
                    <w:t>0.0006</w:t>
                  </w:r>
                </w:p>
              </w:tc>
              <w:tc>
                <w:tcPr>
                  <w:tcW w:w="280" w:type="pct"/>
                  <w:tcBorders>
                    <w:tl2br w:val="nil"/>
                    <w:tr2bl w:val="nil"/>
                  </w:tcBorders>
                  <w:shd w:val="clear" w:color="auto" w:fill="auto"/>
                  <w:noWrap/>
                  <w:vAlign w:val="center"/>
                </w:tcPr>
                <w:p w14:paraId="46E4A064">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default" w:ascii="Times New Roman" w:hAnsi="Times New Roman" w:eastAsia="宋体" w:cs="Times New Roman"/>
                      <w:color w:val="auto"/>
                      <w:spacing w:val="-6"/>
                      <w:sz w:val="18"/>
                      <w:szCs w:val="18"/>
                      <w:highlight w:val="none"/>
                      <w:lang w:val="en-US" w:eastAsia="zh-CN"/>
                    </w:rPr>
                    <w:t>/</w:t>
                  </w:r>
                </w:p>
              </w:tc>
              <w:tc>
                <w:tcPr>
                  <w:tcW w:w="337" w:type="pct"/>
                  <w:tcBorders>
                    <w:tl2br w:val="nil"/>
                    <w:tr2bl w:val="nil"/>
                  </w:tcBorders>
                  <w:shd w:val="clear" w:color="auto" w:fill="auto"/>
                  <w:noWrap/>
                  <w:vAlign w:val="center"/>
                </w:tcPr>
                <w:p w14:paraId="12F04BD3">
                  <w:pPr>
                    <w:pStyle w:val="41"/>
                    <w:rPr>
                      <w:rFonts w:hint="eastAsia" w:ascii="Times New Roman" w:hAnsi="Times New Roman" w:eastAsia="宋体" w:cs="Times New Roman"/>
                      <w:color w:val="auto"/>
                      <w:spacing w:val="-6"/>
                      <w:kern w:val="2"/>
                      <w:sz w:val="18"/>
                      <w:szCs w:val="18"/>
                      <w:highlight w:val="none"/>
                      <w:lang w:val="en-US" w:eastAsia="zh-CN" w:bidi="ar-SA"/>
                    </w:rPr>
                  </w:pPr>
                  <w:r>
                    <w:rPr>
                      <w:rFonts w:hint="eastAsia" w:ascii="Times New Roman" w:hAnsi="Times New Roman" w:eastAsia="宋体" w:cs="Times New Roman"/>
                      <w:color w:val="auto"/>
                      <w:spacing w:val="-6"/>
                      <w:sz w:val="18"/>
                      <w:szCs w:val="18"/>
                      <w:highlight w:val="none"/>
                      <w:lang w:val="en-US" w:eastAsia="zh-CN"/>
                    </w:rPr>
                    <w:t>无组织</w:t>
                  </w:r>
                </w:p>
              </w:tc>
            </w:tr>
            <w:tr w14:paraId="5C93A17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7" w:type="pct"/>
                  <w:tcBorders>
                    <w:tl2br w:val="nil"/>
                    <w:tr2bl w:val="nil"/>
                  </w:tcBorders>
                  <w:noWrap w:val="0"/>
                  <w:vAlign w:val="center"/>
                </w:tcPr>
                <w:p w14:paraId="49CC347B">
                  <w:pPr>
                    <w:pStyle w:val="41"/>
                    <w:rPr>
                      <w:rFonts w:hint="eastAsia" w:ascii="Times New Roman" w:hAnsi="Times New Roman"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钢管焊接</w:t>
                  </w:r>
                </w:p>
              </w:tc>
              <w:tc>
                <w:tcPr>
                  <w:tcW w:w="349" w:type="pct"/>
                  <w:tcBorders>
                    <w:tl2br w:val="nil"/>
                    <w:tr2bl w:val="nil"/>
                  </w:tcBorders>
                  <w:noWrap w:val="0"/>
                  <w:vAlign w:val="center"/>
                </w:tcPr>
                <w:p w14:paraId="17F0E7CB">
                  <w:pPr>
                    <w:pStyle w:val="41"/>
                    <w:rPr>
                      <w:rFonts w:hint="eastAsia" w:ascii="Times New Roman" w:hAnsi="Times New Roman"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颗粒物</w:t>
                  </w:r>
                </w:p>
              </w:tc>
              <w:tc>
                <w:tcPr>
                  <w:tcW w:w="255" w:type="pct"/>
                  <w:tcBorders>
                    <w:tl2br w:val="nil"/>
                    <w:tr2bl w:val="nil"/>
                  </w:tcBorders>
                  <w:noWrap/>
                  <w:vAlign w:val="center"/>
                </w:tcPr>
                <w:p w14:paraId="57378C18">
                  <w:pPr>
                    <w:pStyle w:val="41"/>
                    <w:rPr>
                      <w:rFonts w:hint="eastAsia" w:ascii="Times New Roman" w:hAnsi="Times New Roman"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系数法</w:t>
                  </w:r>
                </w:p>
              </w:tc>
              <w:tc>
                <w:tcPr>
                  <w:tcW w:w="345" w:type="pct"/>
                  <w:tcBorders>
                    <w:tl2br w:val="nil"/>
                    <w:tr2bl w:val="nil"/>
                  </w:tcBorders>
                  <w:noWrap/>
                  <w:vAlign w:val="center"/>
                </w:tcPr>
                <w:p w14:paraId="13FDEC41">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w:t>
                  </w:r>
                </w:p>
              </w:tc>
              <w:tc>
                <w:tcPr>
                  <w:tcW w:w="297" w:type="pct"/>
                  <w:tcBorders>
                    <w:tl2br w:val="nil"/>
                    <w:tr2bl w:val="nil"/>
                  </w:tcBorders>
                  <w:noWrap/>
                  <w:vAlign w:val="center"/>
                </w:tcPr>
                <w:p w14:paraId="63EA0C84">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w:t>
                  </w:r>
                </w:p>
              </w:tc>
              <w:tc>
                <w:tcPr>
                  <w:tcW w:w="269" w:type="pct"/>
                  <w:tcBorders>
                    <w:tl2br w:val="nil"/>
                    <w:tr2bl w:val="nil"/>
                  </w:tcBorders>
                  <w:noWrap/>
                  <w:vAlign w:val="center"/>
                </w:tcPr>
                <w:p w14:paraId="00016BDB">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0.0009</w:t>
                  </w:r>
                </w:p>
              </w:tc>
              <w:tc>
                <w:tcPr>
                  <w:tcW w:w="379" w:type="pct"/>
                  <w:tcBorders>
                    <w:tl2br w:val="nil"/>
                    <w:tr2bl w:val="nil"/>
                  </w:tcBorders>
                  <w:noWrap/>
                  <w:vAlign w:val="center"/>
                </w:tcPr>
                <w:p w14:paraId="59D5186C">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移动焊烟净化器</w:t>
                  </w:r>
                </w:p>
              </w:tc>
              <w:tc>
                <w:tcPr>
                  <w:tcW w:w="389" w:type="pct"/>
                  <w:tcBorders>
                    <w:tl2br w:val="nil"/>
                    <w:tr2bl w:val="nil"/>
                  </w:tcBorders>
                  <w:noWrap/>
                  <w:vAlign w:val="center"/>
                </w:tcPr>
                <w:p w14:paraId="6EFCDE77">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w:t>
                  </w:r>
                </w:p>
              </w:tc>
              <w:tc>
                <w:tcPr>
                  <w:tcW w:w="308" w:type="pct"/>
                  <w:tcBorders>
                    <w:tl2br w:val="nil"/>
                    <w:tr2bl w:val="nil"/>
                  </w:tcBorders>
                  <w:noWrap/>
                  <w:vAlign w:val="center"/>
                </w:tcPr>
                <w:p w14:paraId="6CE8CB53">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90</w:t>
                  </w:r>
                </w:p>
              </w:tc>
              <w:tc>
                <w:tcPr>
                  <w:tcW w:w="310" w:type="pct"/>
                  <w:tcBorders>
                    <w:tl2br w:val="nil"/>
                    <w:tr2bl w:val="nil"/>
                  </w:tcBorders>
                  <w:noWrap/>
                  <w:vAlign w:val="center"/>
                </w:tcPr>
                <w:p w14:paraId="3DF13B66">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90</w:t>
                  </w:r>
                </w:p>
              </w:tc>
              <w:tc>
                <w:tcPr>
                  <w:tcW w:w="346" w:type="pct"/>
                  <w:tcBorders>
                    <w:tl2br w:val="nil"/>
                    <w:tr2bl w:val="nil"/>
                  </w:tcBorders>
                  <w:noWrap/>
                  <w:vAlign w:val="center"/>
                </w:tcPr>
                <w:p w14:paraId="603A962B">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w:t>
                  </w:r>
                </w:p>
              </w:tc>
              <w:tc>
                <w:tcPr>
                  <w:tcW w:w="330" w:type="pct"/>
                  <w:tcBorders>
                    <w:tl2br w:val="nil"/>
                    <w:tr2bl w:val="nil"/>
                  </w:tcBorders>
                  <w:noWrap/>
                  <w:vAlign w:val="center"/>
                </w:tcPr>
                <w:p w14:paraId="028B9BE2">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w:t>
                  </w:r>
                </w:p>
              </w:tc>
              <w:tc>
                <w:tcPr>
                  <w:tcW w:w="291" w:type="pct"/>
                  <w:tcBorders>
                    <w:tl2br w:val="nil"/>
                    <w:tr2bl w:val="nil"/>
                  </w:tcBorders>
                  <w:noWrap/>
                  <w:vAlign w:val="center"/>
                </w:tcPr>
                <w:p w14:paraId="322B7154">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0.0002</w:t>
                  </w:r>
                </w:p>
              </w:tc>
              <w:tc>
                <w:tcPr>
                  <w:tcW w:w="280" w:type="pct"/>
                  <w:tcBorders>
                    <w:tl2br w:val="nil"/>
                    <w:tr2bl w:val="nil"/>
                  </w:tcBorders>
                  <w:shd w:val="clear" w:color="auto" w:fill="auto"/>
                  <w:noWrap/>
                  <w:vAlign w:val="center"/>
                </w:tcPr>
                <w:p w14:paraId="3EC68F5F">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default" w:ascii="Times New Roman" w:hAnsi="Times New Roman" w:eastAsia="宋体" w:cs="Times New Roman"/>
                      <w:color w:val="auto"/>
                      <w:spacing w:val="-6"/>
                      <w:sz w:val="18"/>
                      <w:szCs w:val="18"/>
                      <w:highlight w:val="none"/>
                      <w:lang w:val="en-US" w:eastAsia="zh-CN"/>
                    </w:rPr>
                    <w:t>/</w:t>
                  </w:r>
                </w:p>
              </w:tc>
              <w:tc>
                <w:tcPr>
                  <w:tcW w:w="337" w:type="pct"/>
                  <w:tcBorders>
                    <w:tl2br w:val="nil"/>
                    <w:tr2bl w:val="nil"/>
                  </w:tcBorders>
                  <w:shd w:val="clear" w:color="auto" w:fill="auto"/>
                  <w:noWrap/>
                  <w:vAlign w:val="center"/>
                </w:tcPr>
                <w:p w14:paraId="6B3D9BEA">
                  <w:pPr>
                    <w:pStyle w:val="41"/>
                    <w:rPr>
                      <w:rFonts w:hint="eastAsia" w:ascii="Times New Roman" w:hAnsi="Times New Roman" w:eastAsia="宋体" w:cs="Times New Roman"/>
                      <w:color w:val="auto"/>
                      <w:spacing w:val="-6"/>
                      <w:kern w:val="2"/>
                      <w:sz w:val="18"/>
                      <w:szCs w:val="18"/>
                      <w:highlight w:val="none"/>
                      <w:lang w:val="en-US" w:eastAsia="zh-CN" w:bidi="ar-SA"/>
                    </w:rPr>
                  </w:pPr>
                  <w:r>
                    <w:rPr>
                      <w:rFonts w:hint="eastAsia" w:ascii="Times New Roman" w:hAnsi="Times New Roman" w:eastAsia="宋体" w:cs="Times New Roman"/>
                      <w:color w:val="auto"/>
                      <w:spacing w:val="-6"/>
                      <w:sz w:val="18"/>
                      <w:szCs w:val="18"/>
                      <w:highlight w:val="none"/>
                      <w:lang w:val="en-US" w:eastAsia="zh-CN"/>
                    </w:rPr>
                    <w:t>无组织</w:t>
                  </w:r>
                </w:p>
              </w:tc>
            </w:tr>
          </w:tbl>
          <w:p w14:paraId="43FDB32F">
            <w:pPr>
              <w:pStyle w:val="3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w:t>
            </w:r>
            <w:r>
              <w:rPr>
                <w:rFonts w:hint="eastAsia" w:ascii="Times New Roman" w:hAnsi="Times New Roman" w:cs="Times New Roman"/>
                <w:color w:val="auto"/>
                <w:highlight w:val="none"/>
                <w:lang w:val="en-US" w:eastAsia="zh-CN"/>
              </w:rPr>
              <w:t xml:space="preserve">23 </w:t>
            </w:r>
            <w:r>
              <w:rPr>
                <w:rFonts w:hint="default" w:ascii="Times New Roman" w:hAnsi="Times New Roman" w:cs="Times New Roman"/>
                <w:color w:val="auto"/>
                <w:highlight w:val="none"/>
                <w:lang w:val="en-US" w:eastAsia="zh-CN"/>
              </w:rPr>
              <w:t>项目排放口基本情况表</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30"/>
              <w:gridCol w:w="576"/>
              <w:gridCol w:w="561"/>
              <w:gridCol w:w="846"/>
              <w:gridCol w:w="1546"/>
              <w:gridCol w:w="1625"/>
              <w:gridCol w:w="863"/>
              <w:gridCol w:w="838"/>
              <w:gridCol w:w="622"/>
              <w:gridCol w:w="3556"/>
              <w:gridCol w:w="871"/>
              <w:gridCol w:w="803"/>
            </w:tblGrid>
            <w:tr w14:paraId="584D7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6" w:type="pct"/>
                  <w:vMerge w:val="restart"/>
                  <w:noWrap w:val="0"/>
                  <w:vAlign w:val="center"/>
                </w:tcPr>
                <w:p w14:paraId="5A050080">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排放口编号</w:t>
                  </w:r>
                </w:p>
              </w:tc>
              <w:tc>
                <w:tcPr>
                  <w:tcW w:w="215" w:type="pct"/>
                  <w:vMerge w:val="restart"/>
                  <w:noWrap w:val="0"/>
                  <w:vAlign w:val="center"/>
                </w:tcPr>
                <w:p w14:paraId="4C1E5EA0">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排放口名称</w:t>
                  </w:r>
                </w:p>
              </w:tc>
              <w:tc>
                <w:tcPr>
                  <w:tcW w:w="210" w:type="pct"/>
                  <w:vMerge w:val="restart"/>
                  <w:noWrap w:val="0"/>
                  <w:vAlign w:val="center"/>
                </w:tcPr>
                <w:p w14:paraId="5E2BCCEF">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排放口类型</w:t>
                  </w:r>
                </w:p>
              </w:tc>
              <w:tc>
                <w:tcPr>
                  <w:tcW w:w="317" w:type="pct"/>
                  <w:vMerge w:val="restart"/>
                  <w:noWrap w:val="0"/>
                  <w:vAlign w:val="center"/>
                </w:tcPr>
                <w:p w14:paraId="1DDCC805">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污染物</w:t>
                  </w:r>
                </w:p>
                <w:p w14:paraId="2FDDE9A2">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种类</w:t>
                  </w:r>
                </w:p>
              </w:tc>
              <w:tc>
                <w:tcPr>
                  <w:tcW w:w="1188" w:type="pct"/>
                  <w:gridSpan w:val="2"/>
                  <w:noWrap w:val="0"/>
                  <w:vAlign w:val="center"/>
                </w:tcPr>
                <w:p w14:paraId="69B11843">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排放口地理坐标</w:t>
                  </w:r>
                </w:p>
              </w:tc>
              <w:tc>
                <w:tcPr>
                  <w:tcW w:w="323" w:type="pct"/>
                  <w:vMerge w:val="restart"/>
                  <w:noWrap w:val="0"/>
                  <w:vAlign w:val="center"/>
                </w:tcPr>
                <w:p w14:paraId="32FBF0EE">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排气筒高度（m）</w:t>
                  </w:r>
                </w:p>
              </w:tc>
              <w:tc>
                <w:tcPr>
                  <w:tcW w:w="314" w:type="pct"/>
                  <w:vMerge w:val="restart"/>
                  <w:noWrap w:val="0"/>
                  <w:vAlign w:val="center"/>
                </w:tcPr>
                <w:p w14:paraId="58DCBA9A">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排气筒出口内径（m）</w:t>
                  </w:r>
                </w:p>
              </w:tc>
              <w:tc>
                <w:tcPr>
                  <w:tcW w:w="233" w:type="pct"/>
                  <w:vMerge w:val="restart"/>
                  <w:noWrap w:val="0"/>
                  <w:vAlign w:val="center"/>
                </w:tcPr>
                <w:p w14:paraId="7311E2E1">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排气</w:t>
                  </w:r>
                </w:p>
                <w:p w14:paraId="428C451F">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温度℃</w:t>
                  </w:r>
                </w:p>
              </w:tc>
              <w:tc>
                <w:tcPr>
                  <w:tcW w:w="1960" w:type="pct"/>
                  <w:gridSpan w:val="3"/>
                  <w:noWrap w:val="0"/>
                  <w:vAlign w:val="center"/>
                </w:tcPr>
                <w:p w14:paraId="05357884">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国家或地方污染物排放标准</w:t>
                  </w:r>
                </w:p>
              </w:tc>
            </w:tr>
            <w:tr w14:paraId="236AE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6" w:type="pct"/>
                  <w:vMerge w:val="continue"/>
                  <w:noWrap w:val="0"/>
                  <w:vAlign w:val="center"/>
                </w:tcPr>
                <w:p w14:paraId="7A502816">
                  <w:pPr>
                    <w:pStyle w:val="41"/>
                    <w:rPr>
                      <w:rFonts w:hint="default" w:ascii="Times New Roman" w:hAnsi="Times New Roman" w:cs="Times New Roman"/>
                      <w:color w:val="auto"/>
                      <w:spacing w:val="-6"/>
                      <w:sz w:val="18"/>
                      <w:szCs w:val="18"/>
                      <w:highlight w:val="none"/>
                      <w:lang w:val="en-US" w:eastAsia="zh-CN"/>
                    </w:rPr>
                  </w:pPr>
                </w:p>
              </w:tc>
              <w:tc>
                <w:tcPr>
                  <w:tcW w:w="215" w:type="pct"/>
                  <w:vMerge w:val="continue"/>
                  <w:noWrap w:val="0"/>
                  <w:vAlign w:val="center"/>
                </w:tcPr>
                <w:p w14:paraId="4B5E17BA">
                  <w:pPr>
                    <w:pStyle w:val="41"/>
                    <w:rPr>
                      <w:rFonts w:hint="default" w:ascii="Times New Roman" w:hAnsi="Times New Roman" w:cs="Times New Roman"/>
                      <w:color w:val="auto"/>
                      <w:spacing w:val="-6"/>
                      <w:sz w:val="18"/>
                      <w:szCs w:val="18"/>
                      <w:highlight w:val="none"/>
                      <w:lang w:val="en-US" w:eastAsia="zh-CN"/>
                    </w:rPr>
                  </w:pPr>
                </w:p>
              </w:tc>
              <w:tc>
                <w:tcPr>
                  <w:tcW w:w="210" w:type="pct"/>
                  <w:vMerge w:val="continue"/>
                  <w:noWrap w:val="0"/>
                  <w:vAlign w:val="center"/>
                </w:tcPr>
                <w:p w14:paraId="410D6468">
                  <w:pPr>
                    <w:pStyle w:val="41"/>
                    <w:rPr>
                      <w:rFonts w:hint="default" w:ascii="Times New Roman" w:hAnsi="Times New Roman" w:cs="Times New Roman"/>
                      <w:color w:val="auto"/>
                      <w:spacing w:val="-6"/>
                      <w:sz w:val="18"/>
                      <w:szCs w:val="18"/>
                      <w:highlight w:val="none"/>
                      <w:lang w:val="en-US" w:eastAsia="zh-CN"/>
                    </w:rPr>
                  </w:pPr>
                </w:p>
              </w:tc>
              <w:tc>
                <w:tcPr>
                  <w:tcW w:w="317" w:type="pct"/>
                  <w:vMerge w:val="continue"/>
                  <w:noWrap w:val="0"/>
                  <w:vAlign w:val="center"/>
                </w:tcPr>
                <w:p w14:paraId="3E4A7AED">
                  <w:pPr>
                    <w:pStyle w:val="41"/>
                    <w:rPr>
                      <w:rFonts w:hint="default" w:ascii="Times New Roman" w:hAnsi="Times New Roman" w:cs="Times New Roman"/>
                      <w:color w:val="auto"/>
                      <w:spacing w:val="-6"/>
                      <w:sz w:val="18"/>
                      <w:szCs w:val="18"/>
                      <w:highlight w:val="none"/>
                      <w:lang w:val="en-US" w:eastAsia="zh-CN"/>
                    </w:rPr>
                  </w:pPr>
                </w:p>
              </w:tc>
              <w:tc>
                <w:tcPr>
                  <w:tcW w:w="579" w:type="pct"/>
                  <w:noWrap w:val="0"/>
                  <w:vAlign w:val="center"/>
                </w:tcPr>
                <w:p w14:paraId="6389EF53">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经度</w:t>
                  </w:r>
                </w:p>
              </w:tc>
              <w:tc>
                <w:tcPr>
                  <w:tcW w:w="609" w:type="pct"/>
                  <w:noWrap w:val="0"/>
                  <w:vAlign w:val="center"/>
                </w:tcPr>
                <w:p w14:paraId="0D029F4C">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纬度</w:t>
                  </w:r>
                </w:p>
              </w:tc>
              <w:tc>
                <w:tcPr>
                  <w:tcW w:w="323" w:type="pct"/>
                  <w:vMerge w:val="continue"/>
                  <w:noWrap w:val="0"/>
                  <w:vAlign w:val="center"/>
                </w:tcPr>
                <w:p w14:paraId="71D2155A">
                  <w:pPr>
                    <w:pStyle w:val="41"/>
                    <w:rPr>
                      <w:rFonts w:hint="default" w:ascii="Times New Roman" w:hAnsi="Times New Roman" w:cs="Times New Roman"/>
                      <w:color w:val="auto"/>
                      <w:spacing w:val="-6"/>
                      <w:sz w:val="18"/>
                      <w:szCs w:val="18"/>
                      <w:highlight w:val="none"/>
                      <w:lang w:val="en-US" w:eastAsia="zh-CN"/>
                    </w:rPr>
                  </w:pPr>
                </w:p>
              </w:tc>
              <w:tc>
                <w:tcPr>
                  <w:tcW w:w="314" w:type="pct"/>
                  <w:vMerge w:val="continue"/>
                  <w:noWrap w:val="0"/>
                  <w:vAlign w:val="center"/>
                </w:tcPr>
                <w:p w14:paraId="173B1704">
                  <w:pPr>
                    <w:pStyle w:val="41"/>
                    <w:rPr>
                      <w:rFonts w:hint="default" w:ascii="Times New Roman" w:hAnsi="Times New Roman" w:cs="Times New Roman"/>
                      <w:color w:val="auto"/>
                      <w:spacing w:val="-6"/>
                      <w:sz w:val="18"/>
                      <w:szCs w:val="18"/>
                      <w:highlight w:val="none"/>
                      <w:lang w:val="en-US" w:eastAsia="zh-CN"/>
                    </w:rPr>
                  </w:pPr>
                </w:p>
              </w:tc>
              <w:tc>
                <w:tcPr>
                  <w:tcW w:w="233" w:type="pct"/>
                  <w:vMerge w:val="continue"/>
                  <w:noWrap w:val="0"/>
                  <w:vAlign w:val="center"/>
                </w:tcPr>
                <w:p w14:paraId="13EAC618">
                  <w:pPr>
                    <w:pStyle w:val="41"/>
                    <w:rPr>
                      <w:rFonts w:hint="default" w:ascii="Times New Roman" w:hAnsi="Times New Roman" w:cs="Times New Roman"/>
                      <w:color w:val="auto"/>
                      <w:spacing w:val="-6"/>
                      <w:sz w:val="18"/>
                      <w:szCs w:val="18"/>
                      <w:highlight w:val="none"/>
                      <w:lang w:val="en-US" w:eastAsia="zh-CN"/>
                    </w:rPr>
                  </w:pPr>
                </w:p>
              </w:tc>
              <w:tc>
                <w:tcPr>
                  <w:tcW w:w="1333" w:type="pct"/>
                  <w:noWrap w:val="0"/>
                  <w:vAlign w:val="center"/>
                </w:tcPr>
                <w:p w14:paraId="07127185">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名称</w:t>
                  </w:r>
                </w:p>
              </w:tc>
              <w:tc>
                <w:tcPr>
                  <w:tcW w:w="326" w:type="pct"/>
                  <w:noWrap w:val="0"/>
                  <w:vAlign w:val="center"/>
                </w:tcPr>
                <w:p w14:paraId="2F86E2BE">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浓度限值</w:t>
                  </w:r>
                </w:p>
                <w:p w14:paraId="79B48D90">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mg/Nm</w:t>
                  </w:r>
                  <w:r>
                    <w:rPr>
                      <w:rFonts w:hint="default" w:ascii="Times New Roman" w:hAnsi="Times New Roman" w:cs="Times New Roman"/>
                      <w:color w:val="auto"/>
                      <w:spacing w:val="-6"/>
                      <w:sz w:val="18"/>
                      <w:szCs w:val="18"/>
                      <w:highlight w:val="none"/>
                      <w:vertAlign w:val="superscript"/>
                      <w:lang w:val="en-US" w:eastAsia="zh-CN"/>
                    </w:rPr>
                    <w:t>3</w:t>
                  </w:r>
                </w:p>
              </w:tc>
              <w:tc>
                <w:tcPr>
                  <w:tcW w:w="301" w:type="pct"/>
                  <w:noWrap w:val="0"/>
                  <w:vAlign w:val="center"/>
                </w:tcPr>
                <w:p w14:paraId="5D9F19D2">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速率限值（</w:t>
                  </w:r>
                  <w:r>
                    <w:rPr>
                      <w:rFonts w:hint="eastAsia" w:ascii="Times New Roman" w:hAnsi="Times New Roman" w:cs="Times New Roman"/>
                      <w:color w:val="auto"/>
                      <w:spacing w:val="-6"/>
                      <w:sz w:val="18"/>
                      <w:szCs w:val="18"/>
                      <w:highlight w:val="none"/>
                      <w:lang w:val="en-US" w:eastAsia="zh-CN"/>
                    </w:rPr>
                    <w:t>kg</w:t>
                  </w:r>
                  <w:r>
                    <w:rPr>
                      <w:rFonts w:hint="default" w:ascii="Times New Roman" w:hAnsi="Times New Roman" w:cs="Times New Roman"/>
                      <w:color w:val="auto"/>
                      <w:spacing w:val="-6"/>
                      <w:sz w:val="18"/>
                      <w:szCs w:val="18"/>
                      <w:highlight w:val="none"/>
                      <w:lang w:val="en-US" w:eastAsia="zh-CN"/>
                    </w:rPr>
                    <w:t>/h）</w:t>
                  </w:r>
                </w:p>
              </w:tc>
            </w:tr>
            <w:tr w14:paraId="4B106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6" w:type="pct"/>
                  <w:noWrap w:val="0"/>
                  <w:vAlign w:val="center"/>
                </w:tcPr>
                <w:p w14:paraId="7C857AEB">
                  <w:pPr>
                    <w:pStyle w:val="41"/>
                    <w:rPr>
                      <w:rFonts w:hint="default" w:ascii="Times New Roman" w:hAnsi="Times New Roman"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P1</w:t>
                  </w:r>
                </w:p>
              </w:tc>
              <w:tc>
                <w:tcPr>
                  <w:tcW w:w="215" w:type="pct"/>
                  <w:noWrap w:val="0"/>
                  <w:vAlign w:val="center"/>
                </w:tcPr>
                <w:p w14:paraId="277F9815">
                  <w:pPr>
                    <w:pStyle w:val="41"/>
                    <w:rPr>
                      <w:rFonts w:hint="eastAsia" w:ascii="Times New Roman" w:hAnsi="Times New Roman"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排气筒</w:t>
                  </w:r>
                </w:p>
              </w:tc>
              <w:tc>
                <w:tcPr>
                  <w:tcW w:w="210" w:type="pct"/>
                  <w:noWrap w:val="0"/>
                  <w:vAlign w:val="center"/>
                </w:tcPr>
                <w:p w14:paraId="2D22EFA0">
                  <w:pPr>
                    <w:pStyle w:val="41"/>
                    <w:rPr>
                      <w:rFonts w:hint="default" w:ascii="Times New Roman" w:hAnsi="Times New Roman"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一般</w:t>
                  </w:r>
                </w:p>
              </w:tc>
              <w:tc>
                <w:tcPr>
                  <w:tcW w:w="317" w:type="pct"/>
                  <w:noWrap w:val="0"/>
                  <w:vAlign w:val="center"/>
                </w:tcPr>
                <w:p w14:paraId="2670546A">
                  <w:pPr>
                    <w:pStyle w:val="41"/>
                    <w:rPr>
                      <w:rFonts w:hint="default" w:ascii="Times New Roman" w:hAnsi="Times New Roman"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VOCs</w:t>
                  </w:r>
                </w:p>
              </w:tc>
              <w:tc>
                <w:tcPr>
                  <w:tcW w:w="579" w:type="pct"/>
                  <w:noWrap w:val="0"/>
                  <w:vAlign w:val="center"/>
                </w:tcPr>
                <w:p w14:paraId="2BA48764">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11</w:t>
                  </w:r>
                  <w:r>
                    <w:rPr>
                      <w:rFonts w:hint="eastAsia" w:ascii="Times New Roman" w:hAnsi="Times New Roman" w:cs="Times New Roman"/>
                      <w:color w:val="auto"/>
                      <w:spacing w:val="-6"/>
                      <w:sz w:val="18"/>
                      <w:szCs w:val="18"/>
                      <w:highlight w:val="none"/>
                      <w:lang w:val="en-US" w:eastAsia="zh-CN"/>
                    </w:rPr>
                    <w:t>7</w:t>
                  </w:r>
                  <w:r>
                    <w:rPr>
                      <w:rFonts w:hint="default" w:ascii="Times New Roman" w:hAnsi="Times New Roman" w:cs="Times New Roman"/>
                      <w:color w:val="auto"/>
                      <w:spacing w:val="-6"/>
                      <w:sz w:val="18"/>
                      <w:szCs w:val="18"/>
                      <w:highlight w:val="none"/>
                      <w:lang w:val="en-US" w:eastAsia="zh-CN"/>
                    </w:rPr>
                    <w:t>°</w:t>
                  </w:r>
                  <w:r>
                    <w:rPr>
                      <w:rFonts w:hint="eastAsia" w:ascii="Times New Roman" w:hAnsi="Times New Roman" w:cs="Times New Roman"/>
                      <w:color w:val="auto"/>
                      <w:spacing w:val="-6"/>
                      <w:sz w:val="18"/>
                      <w:szCs w:val="18"/>
                      <w:highlight w:val="none"/>
                      <w:lang w:val="en-US" w:eastAsia="zh-CN"/>
                    </w:rPr>
                    <w:t>58</w:t>
                  </w:r>
                  <w:r>
                    <w:rPr>
                      <w:rFonts w:hint="default" w:ascii="Times New Roman" w:hAnsi="Times New Roman" w:cs="Times New Roman"/>
                      <w:color w:val="auto"/>
                      <w:spacing w:val="-6"/>
                      <w:sz w:val="18"/>
                      <w:szCs w:val="18"/>
                      <w:highlight w:val="none"/>
                      <w:lang w:val="en-US" w:eastAsia="zh-CN"/>
                    </w:rPr>
                    <w:t>′</w:t>
                  </w:r>
                  <w:r>
                    <w:rPr>
                      <w:rFonts w:hint="eastAsia" w:ascii="Times New Roman" w:hAnsi="Times New Roman" w:cs="Times New Roman"/>
                      <w:color w:val="auto"/>
                      <w:spacing w:val="-6"/>
                      <w:sz w:val="18"/>
                      <w:szCs w:val="18"/>
                      <w:highlight w:val="none"/>
                      <w:lang w:val="en-US" w:eastAsia="zh-CN"/>
                    </w:rPr>
                    <w:t>5.466</w:t>
                  </w:r>
                  <w:r>
                    <w:rPr>
                      <w:rFonts w:hint="default" w:ascii="Times New Roman" w:hAnsi="Times New Roman" w:cs="Times New Roman"/>
                      <w:color w:val="auto"/>
                      <w:spacing w:val="-6"/>
                      <w:sz w:val="18"/>
                      <w:szCs w:val="18"/>
                      <w:highlight w:val="none"/>
                      <w:lang w:val="en-US" w:eastAsia="zh-CN"/>
                    </w:rPr>
                    <w:t>″</w:t>
                  </w:r>
                </w:p>
              </w:tc>
              <w:tc>
                <w:tcPr>
                  <w:tcW w:w="609" w:type="pct"/>
                  <w:noWrap w:val="0"/>
                  <w:vAlign w:val="center"/>
                </w:tcPr>
                <w:p w14:paraId="6C381049">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36°</w:t>
                  </w:r>
                  <w:r>
                    <w:rPr>
                      <w:rFonts w:hint="eastAsia" w:ascii="Times New Roman" w:hAnsi="Times New Roman" w:cs="Times New Roman"/>
                      <w:color w:val="auto"/>
                      <w:spacing w:val="-6"/>
                      <w:sz w:val="18"/>
                      <w:szCs w:val="18"/>
                      <w:highlight w:val="none"/>
                      <w:lang w:val="en-US" w:eastAsia="zh-CN"/>
                    </w:rPr>
                    <w:t>44</w:t>
                  </w:r>
                  <w:r>
                    <w:rPr>
                      <w:rFonts w:hint="default" w:ascii="Times New Roman" w:hAnsi="Times New Roman" w:cs="Times New Roman"/>
                      <w:color w:val="auto"/>
                      <w:spacing w:val="-6"/>
                      <w:sz w:val="18"/>
                      <w:szCs w:val="18"/>
                      <w:highlight w:val="none"/>
                      <w:lang w:val="en-US" w:eastAsia="zh-CN"/>
                    </w:rPr>
                    <w:t>′</w:t>
                  </w:r>
                  <w:r>
                    <w:rPr>
                      <w:rFonts w:hint="eastAsia" w:ascii="Times New Roman" w:hAnsi="Times New Roman" w:cs="Times New Roman"/>
                      <w:color w:val="auto"/>
                      <w:spacing w:val="-6"/>
                      <w:sz w:val="18"/>
                      <w:szCs w:val="18"/>
                      <w:highlight w:val="none"/>
                      <w:lang w:val="en-US" w:eastAsia="zh-CN"/>
                    </w:rPr>
                    <w:t>33.903</w:t>
                  </w:r>
                  <w:r>
                    <w:rPr>
                      <w:rFonts w:hint="default" w:ascii="Times New Roman" w:hAnsi="Times New Roman" w:cs="Times New Roman"/>
                      <w:color w:val="auto"/>
                      <w:spacing w:val="-6"/>
                      <w:sz w:val="18"/>
                      <w:szCs w:val="18"/>
                      <w:highlight w:val="none"/>
                      <w:lang w:val="en-US" w:eastAsia="zh-CN"/>
                    </w:rPr>
                    <w:t>″</w:t>
                  </w:r>
                </w:p>
              </w:tc>
              <w:tc>
                <w:tcPr>
                  <w:tcW w:w="323" w:type="pct"/>
                  <w:noWrap w:val="0"/>
                  <w:vAlign w:val="center"/>
                </w:tcPr>
                <w:p w14:paraId="3B867F6E">
                  <w:pPr>
                    <w:pStyle w:val="41"/>
                    <w:rPr>
                      <w:rFonts w:hint="default" w:ascii="Times New Roman" w:hAnsi="Times New Roman"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15</w:t>
                  </w:r>
                </w:p>
              </w:tc>
              <w:tc>
                <w:tcPr>
                  <w:tcW w:w="314" w:type="pct"/>
                  <w:noWrap w:val="0"/>
                  <w:vAlign w:val="center"/>
                </w:tcPr>
                <w:p w14:paraId="63FA2F37">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0.2</w:t>
                  </w:r>
                </w:p>
              </w:tc>
              <w:tc>
                <w:tcPr>
                  <w:tcW w:w="233" w:type="pct"/>
                  <w:noWrap w:val="0"/>
                  <w:vAlign w:val="center"/>
                </w:tcPr>
                <w:p w14:paraId="24326BB2">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常温</w:t>
                  </w:r>
                </w:p>
              </w:tc>
              <w:tc>
                <w:tcPr>
                  <w:tcW w:w="1333" w:type="pct"/>
                  <w:noWrap w:val="0"/>
                  <w:vAlign w:val="center"/>
                </w:tcPr>
                <w:p w14:paraId="09A0A88E">
                  <w:pPr>
                    <w:pStyle w:val="41"/>
                    <w:rPr>
                      <w:rFonts w:hint="default" w:ascii="Times New Roman" w:hAnsi="Times New Roman" w:eastAsia="宋体" w:cs="Times New Roman"/>
                      <w:color w:val="auto"/>
                      <w:spacing w:val="-6"/>
                      <w:sz w:val="18"/>
                      <w:szCs w:val="18"/>
                      <w:highlight w:val="none"/>
                      <w:lang w:val="en-US" w:eastAsia="zh-CN"/>
                    </w:rPr>
                  </w:pPr>
                  <w:r>
                    <w:rPr>
                      <w:rFonts w:hint="default" w:ascii="Times New Roman" w:hAnsi="Times New Roman" w:eastAsia="宋体" w:cs="Times New Roman"/>
                      <w:color w:val="auto"/>
                      <w:spacing w:val="-6"/>
                      <w:sz w:val="18"/>
                      <w:szCs w:val="18"/>
                      <w:highlight w:val="none"/>
                      <w:lang w:val="en-US" w:eastAsia="zh-CN"/>
                    </w:rPr>
                    <w:t>《挥发性有机物排放标准第3部分：家具制造业》（DB37/2801.3-2017）</w:t>
                  </w:r>
                </w:p>
              </w:tc>
              <w:tc>
                <w:tcPr>
                  <w:tcW w:w="326" w:type="pct"/>
                  <w:noWrap w:val="0"/>
                  <w:vAlign w:val="center"/>
                </w:tcPr>
                <w:p w14:paraId="0ABD0D7B">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40</w:t>
                  </w:r>
                </w:p>
              </w:tc>
              <w:tc>
                <w:tcPr>
                  <w:tcW w:w="301" w:type="pct"/>
                  <w:noWrap w:val="0"/>
                  <w:vAlign w:val="center"/>
                </w:tcPr>
                <w:p w14:paraId="0C039279">
                  <w:pPr>
                    <w:pStyle w:val="41"/>
                    <w:rPr>
                      <w:rFonts w:hint="default" w:ascii="Times New Roman" w:hAnsi="Times New Roman" w:eastAsia="宋体" w:cs="Times New Roman"/>
                      <w:color w:val="auto"/>
                      <w:spacing w:val="-6"/>
                      <w:sz w:val="18"/>
                      <w:szCs w:val="18"/>
                      <w:highlight w:val="none"/>
                      <w:lang w:val="en-US" w:eastAsia="zh-CN"/>
                    </w:rPr>
                  </w:pPr>
                  <w:r>
                    <w:rPr>
                      <w:rFonts w:hint="eastAsia" w:ascii="Times New Roman" w:hAnsi="Times New Roman" w:eastAsia="宋体" w:cs="Times New Roman"/>
                      <w:color w:val="auto"/>
                      <w:spacing w:val="-6"/>
                      <w:sz w:val="18"/>
                      <w:szCs w:val="18"/>
                      <w:highlight w:val="none"/>
                      <w:lang w:val="en-US" w:eastAsia="zh-CN"/>
                    </w:rPr>
                    <w:t>2.4</w:t>
                  </w:r>
                </w:p>
              </w:tc>
            </w:tr>
            <w:tr w14:paraId="1E031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6" w:type="pct"/>
                  <w:vMerge w:val="restart"/>
                  <w:noWrap w:val="0"/>
                  <w:vAlign w:val="center"/>
                </w:tcPr>
                <w:p w14:paraId="5571F92C">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厂界</w:t>
                  </w:r>
                </w:p>
              </w:tc>
              <w:tc>
                <w:tcPr>
                  <w:tcW w:w="215" w:type="pct"/>
                  <w:vMerge w:val="restart"/>
                  <w:noWrap w:val="0"/>
                  <w:vAlign w:val="center"/>
                </w:tcPr>
                <w:p w14:paraId="33E14764">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无组织</w:t>
                  </w:r>
                </w:p>
              </w:tc>
              <w:tc>
                <w:tcPr>
                  <w:tcW w:w="210" w:type="pct"/>
                  <w:vMerge w:val="restart"/>
                  <w:noWrap w:val="0"/>
                  <w:vAlign w:val="center"/>
                </w:tcPr>
                <w:p w14:paraId="6532794C">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w:t>
                  </w:r>
                </w:p>
              </w:tc>
              <w:tc>
                <w:tcPr>
                  <w:tcW w:w="317" w:type="pct"/>
                  <w:noWrap w:val="0"/>
                  <w:vAlign w:val="center"/>
                </w:tcPr>
                <w:p w14:paraId="106EC944">
                  <w:pPr>
                    <w:pStyle w:val="41"/>
                    <w:rPr>
                      <w:rFonts w:hint="eastAsia" w:ascii="Times New Roman" w:hAnsi="Times New Roman"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颗粒物</w:t>
                  </w:r>
                </w:p>
              </w:tc>
              <w:tc>
                <w:tcPr>
                  <w:tcW w:w="579" w:type="pct"/>
                  <w:noWrap w:val="0"/>
                  <w:vAlign w:val="center"/>
                </w:tcPr>
                <w:p w14:paraId="151B5BA4">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w:t>
                  </w:r>
                </w:p>
              </w:tc>
              <w:tc>
                <w:tcPr>
                  <w:tcW w:w="609" w:type="pct"/>
                  <w:noWrap w:val="0"/>
                  <w:vAlign w:val="center"/>
                </w:tcPr>
                <w:p w14:paraId="3DC46281">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w:t>
                  </w:r>
                </w:p>
              </w:tc>
              <w:tc>
                <w:tcPr>
                  <w:tcW w:w="323" w:type="pct"/>
                  <w:noWrap w:val="0"/>
                  <w:vAlign w:val="center"/>
                </w:tcPr>
                <w:p w14:paraId="3D966AA1">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w:t>
                  </w:r>
                </w:p>
              </w:tc>
              <w:tc>
                <w:tcPr>
                  <w:tcW w:w="314" w:type="pct"/>
                  <w:noWrap w:val="0"/>
                  <w:vAlign w:val="center"/>
                </w:tcPr>
                <w:p w14:paraId="74E68CD1">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w:t>
                  </w:r>
                </w:p>
              </w:tc>
              <w:tc>
                <w:tcPr>
                  <w:tcW w:w="233" w:type="pct"/>
                  <w:noWrap w:val="0"/>
                  <w:vAlign w:val="center"/>
                </w:tcPr>
                <w:p w14:paraId="7A9E9F6D">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w:t>
                  </w:r>
                </w:p>
              </w:tc>
              <w:tc>
                <w:tcPr>
                  <w:tcW w:w="1333" w:type="pct"/>
                  <w:noWrap w:val="0"/>
                  <w:vAlign w:val="center"/>
                </w:tcPr>
                <w:p w14:paraId="521E73A9">
                  <w:pPr>
                    <w:pStyle w:val="41"/>
                    <w:rPr>
                      <w:rFonts w:hint="eastAsia"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《大气污染物综合排放标准》（GB16297-1996）</w:t>
                  </w:r>
                </w:p>
              </w:tc>
              <w:tc>
                <w:tcPr>
                  <w:tcW w:w="326" w:type="pct"/>
                  <w:noWrap w:val="0"/>
                  <w:vAlign w:val="center"/>
                </w:tcPr>
                <w:p w14:paraId="37790209">
                  <w:pPr>
                    <w:pStyle w:val="41"/>
                    <w:rPr>
                      <w:rFonts w:hint="default" w:ascii="Times New Roman" w:hAnsi="Times New Roman"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1.0</w:t>
                  </w:r>
                </w:p>
              </w:tc>
              <w:tc>
                <w:tcPr>
                  <w:tcW w:w="301" w:type="pct"/>
                  <w:noWrap w:val="0"/>
                  <w:vAlign w:val="center"/>
                </w:tcPr>
                <w:p w14:paraId="59AF2F4E">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w:t>
                  </w:r>
                </w:p>
              </w:tc>
            </w:tr>
            <w:tr w14:paraId="5C4EB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6" w:type="pct"/>
                  <w:vMerge w:val="continue"/>
                  <w:noWrap w:val="0"/>
                  <w:vAlign w:val="center"/>
                </w:tcPr>
                <w:p w14:paraId="4FDE1901">
                  <w:pPr>
                    <w:pStyle w:val="41"/>
                    <w:rPr>
                      <w:rFonts w:hint="default" w:ascii="Times New Roman" w:hAnsi="Times New Roman" w:cs="Times New Roman"/>
                      <w:color w:val="auto"/>
                      <w:spacing w:val="-6"/>
                      <w:sz w:val="18"/>
                      <w:szCs w:val="18"/>
                      <w:highlight w:val="none"/>
                      <w:lang w:val="en-US" w:eastAsia="zh-CN"/>
                    </w:rPr>
                  </w:pPr>
                </w:p>
              </w:tc>
              <w:tc>
                <w:tcPr>
                  <w:tcW w:w="215" w:type="pct"/>
                  <w:vMerge w:val="continue"/>
                  <w:noWrap w:val="0"/>
                  <w:vAlign w:val="center"/>
                </w:tcPr>
                <w:p w14:paraId="44A9773C">
                  <w:pPr>
                    <w:pStyle w:val="41"/>
                    <w:rPr>
                      <w:rFonts w:hint="default" w:ascii="Times New Roman" w:hAnsi="Times New Roman" w:cs="Times New Roman"/>
                      <w:color w:val="auto"/>
                      <w:spacing w:val="-6"/>
                      <w:sz w:val="18"/>
                      <w:szCs w:val="18"/>
                      <w:highlight w:val="none"/>
                      <w:lang w:val="en-US" w:eastAsia="zh-CN"/>
                    </w:rPr>
                  </w:pPr>
                </w:p>
              </w:tc>
              <w:tc>
                <w:tcPr>
                  <w:tcW w:w="210" w:type="pct"/>
                  <w:vMerge w:val="continue"/>
                  <w:noWrap w:val="0"/>
                  <w:vAlign w:val="center"/>
                </w:tcPr>
                <w:p w14:paraId="404E2B75">
                  <w:pPr>
                    <w:pStyle w:val="41"/>
                    <w:rPr>
                      <w:rFonts w:hint="default" w:ascii="Times New Roman" w:hAnsi="Times New Roman" w:cs="Times New Roman"/>
                      <w:color w:val="auto"/>
                      <w:spacing w:val="-6"/>
                      <w:sz w:val="18"/>
                      <w:szCs w:val="18"/>
                      <w:highlight w:val="none"/>
                      <w:lang w:val="en-US" w:eastAsia="zh-CN"/>
                    </w:rPr>
                  </w:pPr>
                </w:p>
              </w:tc>
              <w:tc>
                <w:tcPr>
                  <w:tcW w:w="317" w:type="pct"/>
                  <w:noWrap w:val="0"/>
                  <w:vAlign w:val="center"/>
                </w:tcPr>
                <w:p w14:paraId="272EE867">
                  <w:pPr>
                    <w:pStyle w:val="41"/>
                    <w:rPr>
                      <w:rFonts w:hint="eastAsia" w:ascii="Times New Roman" w:hAnsi="Times New Roman"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VOCs</w:t>
                  </w:r>
                </w:p>
              </w:tc>
              <w:tc>
                <w:tcPr>
                  <w:tcW w:w="579" w:type="pct"/>
                  <w:shd w:val="clear" w:color="auto" w:fill="auto"/>
                  <w:noWrap w:val="0"/>
                  <w:vAlign w:val="center"/>
                </w:tcPr>
                <w:p w14:paraId="24060B66">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default" w:ascii="Times New Roman" w:hAnsi="Times New Roman" w:cs="Times New Roman"/>
                      <w:color w:val="auto"/>
                      <w:spacing w:val="-6"/>
                      <w:sz w:val="18"/>
                      <w:szCs w:val="18"/>
                      <w:highlight w:val="none"/>
                      <w:lang w:val="en-US" w:eastAsia="zh-CN"/>
                    </w:rPr>
                    <w:t>/</w:t>
                  </w:r>
                </w:p>
              </w:tc>
              <w:tc>
                <w:tcPr>
                  <w:tcW w:w="609" w:type="pct"/>
                  <w:shd w:val="clear" w:color="auto" w:fill="auto"/>
                  <w:noWrap w:val="0"/>
                  <w:vAlign w:val="center"/>
                </w:tcPr>
                <w:p w14:paraId="1FF219E8">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default" w:ascii="Times New Roman" w:hAnsi="Times New Roman" w:cs="Times New Roman"/>
                      <w:color w:val="auto"/>
                      <w:spacing w:val="-6"/>
                      <w:sz w:val="18"/>
                      <w:szCs w:val="18"/>
                      <w:highlight w:val="none"/>
                      <w:lang w:val="en-US" w:eastAsia="zh-CN"/>
                    </w:rPr>
                    <w:t>/</w:t>
                  </w:r>
                </w:p>
              </w:tc>
              <w:tc>
                <w:tcPr>
                  <w:tcW w:w="323" w:type="pct"/>
                  <w:shd w:val="clear" w:color="auto" w:fill="auto"/>
                  <w:noWrap w:val="0"/>
                  <w:vAlign w:val="center"/>
                </w:tcPr>
                <w:p w14:paraId="218D6F3C">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default" w:ascii="Times New Roman" w:hAnsi="Times New Roman" w:cs="Times New Roman"/>
                      <w:color w:val="auto"/>
                      <w:spacing w:val="-6"/>
                      <w:sz w:val="18"/>
                      <w:szCs w:val="18"/>
                      <w:highlight w:val="none"/>
                      <w:lang w:val="en-US" w:eastAsia="zh-CN"/>
                    </w:rPr>
                    <w:t>/</w:t>
                  </w:r>
                </w:p>
              </w:tc>
              <w:tc>
                <w:tcPr>
                  <w:tcW w:w="314" w:type="pct"/>
                  <w:shd w:val="clear" w:color="auto" w:fill="auto"/>
                  <w:noWrap w:val="0"/>
                  <w:vAlign w:val="center"/>
                </w:tcPr>
                <w:p w14:paraId="53280FB8">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default" w:ascii="Times New Roman" w:hAnsi="Times New Roman" w:cs="Times New Roman"/>
                      <w:color w:val="auto"/>
                      <w:spacing w:val="-6"/>
                      <w:sz w:val="18"/>
                      <w:szCs w:val="18"/>
                      <w:highlight w:val="none"/>
                      <w:lang w:val="en-US" w:eastAsia="zh-CN"/>
                    </w:rPr>
                    <w:t>/</w:t>
                  </w:r>
                </w:p>
              </w:tc>
              <w:tc>
                <w:tcPr>
                  <w:tcW w:w="233" w:type="pct"/>
                  <w:shd w:val="clear" w:color="auto" w:fill="auto"/>
                  <w:noWrap w:val="0"/>
                  <w:vAlign w:val="center"/>
                </w:tcPr>
                <w:p w14:paraId="51883758">
                  <w:pPr>
                    <w:pStyle w:val="41"/>
                    <w:rPr>
                      <w:rFonts w:hint="default" w:ascii="Times New Roman" w:hAnsi="Times New Roman" w:eastAsia="宋体" w:cs="Times New Roman"/>
                      <w:color w:val="auto"/>
                      <w:spacing w:val="-6"/>
                      <w:kern w:val="2"/>
                      <w:sz w:val="18"/>
                      <w:szCs w:val="18"/>
                      <w:highlight w:val="none"/>
                      <w:lang w:val="en-US" w:eastAsia="zh-CN" w:bidi="ar-SA"/>
                    </w:rPr>
                  </w:pPr>
                  <w:r>
                    <w:rPr>
                      <w:rFonts w:hint="default" w:ascii="Times New Roman" w:hAnsi="Times New Roman" w:cs="Times New Roman"/>
                      <w:color w:val="auto"/>
                      <w:spacing w:val="-6"/>
                      <w:sz w:val="18"/>
                      <w:szCs w:val="18"/>
                      <w:highlight w:val="none"/>
                      <w:lang w:val="en-US" w:eastAsia="zh-CN"/>
                    </w:rPr>
                    <w:t>/</w:t>
                  </w:r>
                </w:p>
              </w:tc>
              <w:tc>
                <w:tcPr>
                  <w:tcW w:w="1333" w:type="pct"/>
                  <w:noWrap w:val="0"/>
                  <w:vAlign w:val="center"/>
                </w:tcPr>
                <w:p w14:paraId="4C95E2D6">
                  <w:pPr>
                    <w:pStyle w:val="41"/>
                    <w:rPr>
                      <w:rFonts w:hint="default" w:ascii="Times New Roman" w:hAnsi="Times New Roman" w:cs="Times New Roman"/>
                      <w:color w:val="auto"/>
                      <w:spacing w:val="-6"/>
                      <w:sz w:val="18"/>
                      <w:szCs w:val="18"/>
                      <w:highlight w:val="none"/>
                      <w:lang w:val="en-US" w:eastAsia="zh-CN"/>
                    </w:rPr>
                  </w:pPr>
                  <w:r>
                    <w:rPr>
                      <w:rFonts w:hint="default" w:ascii="Times New Roman" w:hAnsi="Times New Roman" w:eastAsia="宋体" w:cs="Times New Roman"/>
                      <w:color w:val="auto"/>
                      <w:spacing w:val="-6"/>
                      <w:sz w:val="18"/>
                      <w:szCs w:val="18"/>
                      <w:highlight w:val="none"/>
                      <w:lang w:val="en-US" w:eastAsia="zh-CN"/>
                    </w:rPr>
                    <w:t>《挥发性有机物排放标准第3部分：家具制造业》（DB37/2801.3-2017）</w:t>
                  </w:r>
                </w:p>
              </w:tc>
              <w:tc>
                <w:tcPr>
                  <w:tcW w:w="326" w:type="pct"/>
                  <w:noWrap w:val="0"/>
                  <w:vAlign w:val="center"/>
                </w:tcPr>
                <w:p w14:paraId="1653733C">
                  <w:pPr>
                    <w:pStyle w:val="41"/>
                    <w:rPr>
                      <w:rFonts w:hint="default" w:ascii="Times New Roman" w:hAnsi="Times New Roman"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2.0</w:t>
                  </w:r>
                </w:p>
              </w:tc>
              <w:tc>
                <w:tcPr>
                  <w:tcW w:w="301" w:type="pct"/>
                  <w:noWrap w:val="0"/>
                  <w:vAlign w:val="center"/>
                </w:tcPr>
                <w:p w14:paraId="08782B91">
                  <w:pPr>
                    <w:pStyle w:val="41"/>
                    <w:rPr>
                      <w:rFonts w:hint="default" w:ascii="Times New Roman" w:hAnsi="Times New Roman" w:cs="Times New Roman"/>
                      <w:color w:val="auto"/>
                      <w:spacing w:val="-6"/>
                      <w:sz w:val="18"/>
                      <w:szCs w:val="18"/>
                      <w:highlight w:val="none"/>
                      <w:lang w:val="en-US" w:eastAsia="zh-CN"/>
                    </w:rPr>
                  </w:pPr>
                  <w:r>
                    <w:rPr>
                      <w:rFonts w:hint="eastAsia" w:ascii="Times New Roman" w:hAnsi="Times New Roman" w:cs="Times New Roman"/>
                      <w:color w:val="auto"/>
                      <w:spacing w:val="-6"/>
                      <w:sz w:val="18"/>
                      <w:szCs w:val="18"/>
                      <w:highlight w:val="none"/>
                      <w:lang w:val="en-US" w:eastAsia="zh-CN"/>
                    </w:rPr>
                    <w:t>/</w:t>
                  </w:r>
                </w:p>
              </w:tc>
            </w:tr>
          </w:tbl>
          <w:p w14:paraId="0B2E063C">
            <w:pPr>
              <w:rPr>
                <w:rFonts w:hint="default" w:ascii="Times New Roman" w:hAnsi="Times New Roman" w:cs="Times New Roman"/>
                <w:color w:val="auto"/>
                <w:highlight w:val="none"/>
              </w:rPr>
            </w:pPr>
          </w:p>
        </w:tc>
      </w:tr>
    </w:tbl>
    <w:p w14:paraId="2DF1C250">
      <w:pPr>
        <w:rPr>
          <w:color w:val="auto"/>
          <w:highlight w:val="none"/>
        </w:rPr>
        <w:sectPr>
          <w:pgSz w:w="16840" w:h="11907" w:orient="landscape"/>
          <w:pgMar w:top="1247" w:right="1418" w:bottom="1247" w:left="1418" w:header="851" w:footer="851" w:gutter="0"/>
          <w:pgBorders>
            <w:top w:val="none" w:sz="0" w:space="0"/>
            <w:left w:val="none" w:sz="0" w:space="0"/>
            <w:bottom w:val="none" w:sz="0" w:space="0"/>
            <w:right w:val="none" w:sz="0" w:space="0"/>
          </w:pgBorders>
          <w:cols w:space="720" w:num="1"/>
          <w:docGrid w:type="lines" w:linePitch="312" w:charSpace="0"/>
        </w:sectPr>
      </w:pPr>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16"/>
        <w:gridCol w:w="8976"/>
      </w:tblGrid>
      <w:tr w14:paraId="762808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16" w:type="dxa"/>
            <w:tcMar>
              <w:left w:w="28" w:type="dxa"/>
              <w:right w:w="28" w:type="dxa"/>
            </w:tcMar>
            <w:vAlign w:val="center"/>
          </w:tcPr>
          <w:p w14:paraId="1B1F4BF0">
            <w:pPr>
              <w:adjustRightInd w:val="0"/>
              <w:spacing w:line="340" w:lineRule="exact"/>
              <w:jc w:val="center"/>
              <w:rPr>
                <w:color w:val="auto"/>
                <w:szCs w:val="21"/>
                <w:highlight w:val="none"/>
              </w:rPr>
            </w:pPr>
            <w:r>
              <w:rPr>
                <w:bCs/>
                <w:color w:val="auto"/>
                <w:szCs w:val="21"/>
                <w:highlight w:val="none"/>
              </w:rPr>
              <w:t>运营期环境影响和保护措施</w:t>
            </w:r>
          </w:p>
        </w:tc>
        <w:tc>
          <w:tcPr>
            <w:tcW w:w="8977" w:type="dxa"/>
            <w:vAlign w:val="center"/>
          </w:tcPr>
          <w:p w14:paraId="534650B8">
            <w:pPr>
              <w:pStyle w:val="38"/>
              <w:bidi w:val="0"/>
              <w:rPr>
                <w:rFonts w:hint="eastAsia" w:eastAsia="宋体"/>
                <w:color w:val="auto"/>
                <w:highlight w:val="none"/>
                <w:lang w:eastAsia="zh-CN"/>
              </w:rPr>
            </w:pPr>
            <w:r>
              <w:rPr>
                <w:rFonts w:hint="eastAsia"/>
                <w:color w:val="auto"/>
                <w:highlight w:val="none"/>
                <w:lang w:eastAsia="zh-CN"/>
              </w:rPr>
              <w:t>源强核算过程简述：</w:t>
            </w:r>
          </w:p>
          <w:p w14:paraId="33DFFD3D">
            <w:pPr>
              <w:pStyle w:val="38"/>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）有组织废气</w:t>
            </w:r>
          </w:p>
          <w:p w14:paraId="0B997AD9">
            <w:pPr>
              <w:pStyle w:val="38"/>
              <w:bidi w:val="0"/>
              <w:rPr>
                <w:rFonts w:hint="eastAsia"/>
                <w:color w:val="FF0000"/>
                <w:highlight w:val="none"/>
                <w:lang w:val="zh-CN" w:eastAsia="zh-CN"/>
              </w:rPr>
            </w:pPr>
            <w:r>
              <w:rPr>
                <w:rFonts w:hint="eastAsia"/>
                <w:color w:val="FF0000"/>
                <w:highlight w:val="none"/>
                <w:lang w:val="en-US" w:eastAsia="zh-CN"/>
              </w:rPr>
              <w:t>本项目有组织废气主要为板材</w:t>
            </w:r>
            <w:r>
              <w:rPr>
                <w:rFonts w:hint="eastAsia"/>
                <w:color w:val="FF0000"/>
                <w:highlight w:val="none"/>
                <w:lang w:eastAsia="zh-CN"/>
              </w:rPr>
              <w:t>（三聚氰胺板）</w:t>
            </w:r>
            <w:r>
              <w:rPr>
                <w:rFonts w:hint="eastAsia"/>
                <w:color w:val="FF0000"/>
                <w:highlight w:val="none"/>
                <w:lang w:val="en-US" w:eastAsia="zh-CN"/>
              </w:rPr>
              <w:t>封边工序产生的VOCs。</w:t>
            </w:r>
          </w:p>
          <w:p w14:paraId="6888AC91">
            <w:pPr>
              <w:pStyle w:val="38"/>
              <w:bidi w:val="0"/>
              <w:rPr>
                <w:rFonts w:hint="default" w:eastAsia="宋体"/>
                <w:color w:val="FF0000"/>
                <w:highlight w:val="none"/>
                <w:lang w:val="en-US" w:eastAsia="zh-CN"/>
              </w:rPr>
            </w:pPr>
            <w:r>
              <w:rPr>
                <w:rFonts w:hint="eastAsia"/>
                <w:color w:val="FF0000"/>
                <w:highlight w:val="none"/>
                <w:lang w:val="en-US" w:eastAsia="zh-CN"/>
              </w:rPr>
              <w:t>本项目封边工序使用EVA热熔胶，根据企业提供的封边热熔胶检测报告（附件8），项目用热熔胶</w:t>
            </w:r>
            <w:r>
              <w:rPr>
                <w:rFonts w:hint="eastAsia"/>
                <w:color w:val="FF0000"/>
                <w:highlight w:val="none"/>
                <w:lang w:eastAsia="zh-CN"/>
              </w:rPr>
              <w:t>主要成分为乙烯</w:t>
            </w:r>
            <w:r>
              <w:rPr>
                <w:rFonts w:hint="eastAsia"/>
                <w:color w:val="FF0000"/>
                <w:highlight w:val="none"/>
                <w:lang w:val="en-US" w:eastAsia="zh-CN"/>
              </w:rPr>
              <w:t>-</w:t>
            </w:r>
            <w:r>
              <w:rPr>
                <w:rFonts w:hint="eastAsia"/>
                <w:color w:val="FF0000"/>
                <w:highlight w:val="none"/>
                <w:lang w:eastAsia="zh-CN"/>
              </w:rPr>
              <w:t>醋酸乙烯酯共聚物，常温下为固态，不含挥发性有机溶剂，加热熔融后冷却固化。产品化学稳定性较好，常温下无有害物质释放，仅在高温熔融时产生微量挥发性有机物，属于低VOC环保型胶粘剂。项目用热熔胶检测报告见附件</w:t>
            </w:r>
            <w:r>
              <w:rPr>
                <w:rFonts w:hint="eastAsia"/>
                <w:color w:val="FF0000"/>
                <w:highlight w:val="none"/>
                <w:lang w:val="en-US" w:eastAsia="zh-CN"/>
              </w:rPr>
              <w:t>7。</w:t>
            </w:r>
            <w:r>
              <w:rPr>
                <w:rFonts w:hint="eastAsia"/>
                <w:color w:val="FF0000"/>
                <w:highlight w:val="none"/>
                <w:lang w:eastAsia="zh-CN"/>
              </w:rPr>
              <w:t>本次评价保守考虑以</w:t>
            </w:r>
            <w:r>
              <w:rPr>
                <w:rFonts w:hint="eastAsia"/>
                <w:color w:val="FF0000"/>
                <w:highlight w:val="none"/>
              </w:rPr>
              <w:t>《胶粘剂挥发性有机化合物限量》（GB 33372-2020）</w:t>
            </w:r>
            <w:r>
              <w:rPr>
                <w:color w:val="FF0000"/>
                <w:highlight w:val="none"/>
              </w:rPr>
              <w:t>表3本体型胶粘剂VOC含量限值50g/kg</w:t>
            </w:r>
            <w:r>
              <w:rPr>
                <w:rFonts w:hint="eastAsia"/>
                <w:color w:val="FF0000"/>
                <w:highlight w:val="none"/>
                <w:lang w:eastAsia="zh-CN"/>
              </w:rPr>
              <w:t>计并考虑加热熔融过程其全部挥发，本项目热熔胶用量为</w:t>
            </w:r>
            <w:r>
              <w:rPr>
                <w:rFonts w:hint="eastAsia"/>
                <w:color w:val="FF0000"/>
                <w:highlight w:val="none"/>
                <w:lang w:val="en-US" w:eastAsia="zh-CN"/>
              </w:rPr>
              <w:t>0.3t/a，则本项目板材</w:t>
            </w:r>
            <w:r>
              <w:rPr>
                <w:rFonts w:hint="eastAsia"/>
                <w:color w:val="FF0000"/>
                <w:highlight w:val="none"/>
                <w:lang w:eastAsia="zh-CN"/>
              </w:rPr>
              <w:t>（三聚氰胺板）</w:t>
            </w:r>
            <w:r>
              <w:rPr>
                <w:rFonts w:hint="eastAsia"/>
                <w:color w:val="FF0000"/>
                <w:highlight w:val="none"/>
                <w:lang w:val="en-US" w:eastAsia="zh-CN"/>
              </w:rPr>
              <w:t>封边工序VOCs产生量为0.015t/a。</w:t>
            </w:r>
          </w:p>
          <w:p w14:paraId="1FADC8E3">
            <w:pPr>
              <w:pStyle w:val="38"/>
              <w:bidi w:val="0"/>
              <w:rPr>
                <w:rFonts w:hint="eastAsia"/>
                <w:color w:val="FF0000"/>
                <w:highlight w:val="none"/>
                <w:lang w:val="en-US" w:eastAsia="zh-CN"/>
              </w:rPr>
            </w:pPr>
            <w:r>
              <w:rPr>
                <w:rFonts w:hint="eastAsia"/>
                <w:color w:val="FF0000"/>
                <w:highlight w:val="none"/>
                <w:lang w:val="en-US" w:eastAsia="zh-CN"/>
              </w:rPr>
              <w:t>项目有组织废气源强核算结果如下表所示。</w:t>
            </w:r>
          </w:p>
          <w:p w14:paraId="182F123C">
            <w:pPr>
              <w:pStyle w:val="39"/>
              <w:rPr>
                <w:rFonts w:hint="default" w:ascii="Times New Roman" w:hAnsi="Times New Roman" w:cs="Times New Roman"/>
                <w:color w:val="FF0000"/>
                <w:highlight w:val="none"/>
                <w:lang w:val="en-US" w:eastAsia="zh-CN"/>
              </w:rPr>
            </w:pPr>
            <w:r>
              <w:rPr>
                <w:rFonts w:hint="eastAsia" w:ascii="Times New Roman" w:hAnsi="Times New Roman" w:cs="Times New Roman"/>
                <w:color w:val="FF0000"/>
                <w:highlight w:val="none"/>
                <w:lang w:val="en-US" w:eastAsia="zh-CN"/>
              </w:rPr>
              <w:t>表24 项目废气源强核算表</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6"/>
              <w:gridCol w:w="1116"/>
              <w:gridCol w:w="897"/>
              <w:gridCol w:w="2133"/>
              <w:gridCol w:w="1102"/>
              <w:gridCol w:w="985"/>
              <w:gridCol w:w="968"/>
            </w:tblGrid>
            <w:tr w14:paraId="40DDA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84" w:type="pct"/>
                  <w:noWrap w:val="0"/>
                  <w:vAlign w:val="center"/>
                </w:tcPr>
                <w:p w14:paraId="3227A5FD">
                  <w:pPr>
                    <w:pStyle w:val="41"/>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生产线</w:t>
                  </w:r>
                </w:p>
              </w:tc>
              <w:tc>
                <w:tcPr>
                  <w:tcW w:w="638" w:type="pct"/>
                  <w:noWrap w:val="0"/>
                  <w:vAlign w:val="center"/>
                </w:tcPr>
                <w:p w14:paraId="5F391336">
                  <w:pPr>
                    <w:pStyle w:val="41"/>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产污环节</w:t>
                  </w:r>
                </w:p>
              </w:tc>
              <w:tc>
                <w:tcPr>
                  <w:tcW w:w="513" w:type="pct"/>
                  <w:noWrap w:val="0"/>
                  <w:vAlign w:val="center"/>
                </w:tcPr>
                <w:p w14:paraId="2E748DA1">
                  <w:pPr>
                    <w:pStyle w:val="41"/>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产生量（t/a）</w:t>
                  </w:r>
                </w:p>
              </w:tc>
              <w:tc>
                <w:tcPr>
                  <w:tcW w:w="1219" w:type="pct"/>
                  <w:noWrap w:val="0"/>
                  <w:vAlign w:val="center"/>
                </w:tcPr>
                <w:p w14:paraId="66BE69C9">
                  <w:pPr>
                    <w:pStyle w:val="41"/>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收集方式</w:t>
                  </w:r>
                </w:p>
              </w:tc>
              <w:tc>
                <w:tcPr>
                  <w:tcW w:w="630" w:type="pct"/>
                  <w:noWrap w:val="0"/>
                  <w:vAlign w:val="center"/>
                </w:tcPr>
                <w:p w14:paraId="27DE867F">
                  <w:pPr>
                    <w:pStyle w:val="41"/>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收集效率（%）</w:t>
                  </w:r>
                </w:p>
              </w:tc>
              <w:tc>
                <w:tcPr>
                  <w:tcW w:w="563" w:type="pct"/>
                  <w:noWrap w:val="0"/>
                  <w:vAlign w:val="center"/>
                </w:tcPr>
                <w:p w14:paraId="4691FDBD">
                  <w:pPr>
                    <w:pStyle w:val="41"/>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运行时间（h/a）</w:t>
                  </w:r>
                </w:p>
              </w:tc>
              <w:tc>
                <w:tcPr>
                  <w:tcW w:w="549" w:type="pct"/>
                  <w:noWrap w:val="0"/>
                  <w:vAlign w:val="center"/>
                </w:tcPr>
                <w:p w14:paraId="075E461A">
                  <w:pPr>
                    <w:pStyle w:val="41"/>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收集量（t/a）</w:t>
                  </w:r>
                </w:p>
              </w:tc>
            </w:tr>
            <w:tr w14:paraId="06644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84" w:type="pct"/>
                  <w:noWrap w:val="0"/>
                  <w:vAlign w:val="center"/>
                </w:tcPr>
                <w:p w14:paraId="0A347D23">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板材封边</w:t>
                  </w:r>
                </w:p>
              </w:tc>
              <w:tc>
                <w:tcPr>
                  <w:tcW w:w="638" w:type="pct"/>
                  <w:noWrap w:val="0"/>
                  <w:vAlign w:val="center"/>
                </w:tcPr>
                <w:p w14:paraId="723A5AEC">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封边工序</w:t>
                  </w:r>
                </w:p>
              </w:tc>
              <w:tc>
                <w:tcPr>
                  <w:tcW w:w="513" w:type="pct"/>
                  <w:noWrap w:val="0"/>
                  <w:vAlign w:val="center"/>
                </w:tcPr>
                <w:p w14:paraId="3ED890AF">
                  <w:pPr>
                    <w:pStyle w:val="41"/>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0.015</w:t>
                  </w:r>
                </w:p>
              </w:tc>
              <w:tc>
                <w:tcPr>
                  <w:tcW w:w="1219" w:type="pct"/>
                  <w:noWrap w:val="0"/>
                  <w:vAlign w:val="center"/>
                </w:tcPr>
                <w:p w14:paraId="7469C174">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半密闭空间，集气罩微负压收集</w:t>
                  </w:r>
                </w:p>
              </w:tc>
              <w:tc>
                <w:tcPr>
                  <w:tcW w:w="630" w:type="pct"/>
                  <w:noWrap w:val="0"/>
                  <w:vAlign w:val="center"/>
                </w:tcPr>
                <w:p w14:paraId="76DF17B2">
                  <w:pPr>
                    <w:pStyle w:val="41"/>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90</w:t>
                  </w:r>
                </w:p>
              </w:tc>
              <w:tc>
                <w:tcPr>
                  <w:tcW w:w="563" w:type="pct"/>
                  <w:noWrap w:val="0"/>
                  <w:vAlign w:val="center"/>
                </w:tcPr>
                <w:p w14:paraId="3196AA1B">
                  <w:pPr>
                    <w:pStyle w:val="41"/>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600</w:t>
                  </w:r>
                </w:p>
              </w:tc>
              <w:tc>
                <w:tcPr>
                  <w:tcW w:w="549" w:type="pct"/>
                  <w:noWrap w:val="0"/>
                  <w:vAlign w:val="center"/>
                </w:tcPr>
                <w:p w14:paraId="43D0A33B">
                  <w:pPr>
                    <w:pStyle w:val="41"/>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0.0135</w:t>
                  </w:r>
                </w:p>
              </w:tc>
            </w:tr>
            <w:tr w14:paraId="426F7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000" w:type="pct"/>
                  <w:gridSpan w:val="7"/>
                  <w:noWrap w:val="0"/>
                  <w:vAlign w:val="center"/>
                </w:tcPr>
                <w:p w14:paraId="44227296">
                  <w:pPr>
                    <w:pStyle w:val="41"/>
                    <w:jc w:val="both"/>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注：封边工序年运行时间约600小时。</w:t>
                  </w:r>
                </w:p>
              </w:tc>
            </w:tr>
          </w:tbl>
          <w:p w14:paraId="0D83228A">
            <w:pPr>
              <w:pStyle w:val="38"/>
              <w:bidi w:val="0"/>
              <w:rPr>
                <w:rFonts w:hint="eastAsia"/>
                <w:color w:val="FF0000"/>
                <w:highlight w:val="none"/>
                <w:lang w:val="en-US" w:eastAsia="zh-CN"/>
              </w:rPr>
            </w:pPr>
            <w:r>
              <w:rPr>
                <w:rFonts w:hint="eastAsia"/>
                <w:color w:val="FF0000"/>
                <w:highlight w:val="none"/>
                <w:lang w:val="en-US" w:eastAsia="zh-CN"/>
              </w:rPr>
              <w:t>封边工序</w:t>
            </w:r>
            <w:r>
              <w:rPr>
                <w:rFonts w:hint="default"/>
                <w:color w:val="FF0000"/>
                <w:highlight w:val="none"/>
                <w:lang w:val="en-US" w:eastAsia="zh-CN"/>
              </w:rPr>
              <w:t>收集的</w:t>
            </w:r>
            <w:r>
              <w:rPr>
                <w:rFonts w:hint="eastAsia"/>
                <w:color w:val="FF0000"/>
                <w:highlight w:val="none"/>
                <w:lang w:val="en-US" w:eastAsia="zh-CN"/>
              </w:rPr>
              <w:t>VOCs经过一套二级活性炭吸附装置</w:t>
            </w:r>
            <w:r>
              <w:rPr>
                <w:rFonts w:hint="default"/>
                <w:color w:val="FF0000"/>
                <w:highlight w:val="none"/>
                <w:lang w:val="en-US" w:eastAsia="zh-CN"/>
              </w:rPr>
              <w:t>进行处理，处理后通过废气</w:t>
            </w:r>
            <w:r>
              <w:rPr>
                <w:rFonts w:hint="eastAsia"/>
                <w:color w:val="FF0000"/>
                <w:highlight w:val="none"/>
                <w:lang w:val="en-US" w:eastAsia="zh-CN"/>
              </w:rPr>
              <w:t>排气筒（P1）</w:t>
            </w:r>
            <w:r>
              <w:rPr>
                <w:rFonts w:hint="default"/>
                <w:color w:val="FF0000"/>
                <w:highlight w:val="none"/>
                <w:lang w:val="en-US" w:eastAsia="zh-CN"/>
              </w:rPr>
              <w:t>进行排放。未收集的</w:t>
            </w:r>
            <w:r>
              <w:rPr>
                <w:rFonts w:hint="eastAsia"/>
                <w:color w:val="FF0000"/>
                <w:highlight w:val="none"/>
                <w:lang w:val="en-US" w:eastAsia="zh-CN"/>
              </w:rPr>
              <w:t>VOCs以</w:t>
            </w:r>
            <w:r>
              <w:rPr>
                <w:rFonts w:hint="default"/>
                <w:color w:val="FF0000"/>
                <w:highlight w:val="none"/>
                <w:lang w:val="en-US" w:eastAsia="zh-CN"/>
              </w:rPr>
              <w:t>无组织</w:t>
            </w:r>
            <w:r>
              <w:rPr>
                <w:rFonts w:hint="eastAsia"/>
                <w:color w:val="FF0000"/>
                <w:highlight w:val="none"/>
                <w:lang w:val="en-US" w:eastAsia="zh-CN"/>
              </w:rPr>
              <w:t>形式</w:t>
            </w:r>
            <w:r>
              <w:rPr>
                <w:rFonts w:hint="default"/>
                <w:color w:val="FF0000"/>
                <w:highlight w:val="none"/>
                <w:lang w:val="en-US" w:eastAsia="zh-CN"/>
              </w:rPr>
              <w:t>排放</w:t>
            </w:r>
            <w:r>
              <w:rPr>
                <w:rFonts w:hint="eastAsia"/>
                <w:color w:val="FF0000"/>
                <w:highlight w:val="none"/>
                <w:lang w:val="en-US" w:eastAsia="zh-CN"/>
              </w:rPr>
              <w:t>。</w:t>
            </w:r>
          </w:p>
          <w:p w14:paraId="1CBFD5A7">
            <w:pPr>
              <w:pStyle w:val="38"/>
              <w:bidi w:val="0"/>
              <w:rPr>
                <w:rFonts w:hint="eastAsia"/>
                <w:color w:val="FF0000"/>
                <w:highlight w:val="none"/>
                <w:lang w:val="en-US" w:eastAsia="zh-CN"/>
              </w:rPr>
            </w:pPr>
            <w:r>
              <w:rPr>
                <w:rFonts w:hint="eastAsia"/>
                <w:color w:val="FF0000"/>
                <w:highlight w:val="none"/>
                <w:lang w:val="en-US" w:eastAsia="zh-CN"/>
              </w:rPr>
              <w:t>风机风量核算：</w:t>
            </w:r>
          </w:p>
          <w:p w14:paraId="55915CBC">
            <w:pPr>
              <w:pStyle w:val="38"/>
              <w:bidi w:val="0"/>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FF0000"/>
                <w:highlight w:val="none"/>
                <w:lang w:val="en-US" w:eastAsia="zh-CN"/>
              </w:rPr>
              <w:t>项目</w:t>
            </w:r>
            <w:r>
              <w:rPr>
                <w:rFonts w:hint="default" w:ascii="Times New Roman" w:hAnsi="Times New Roman" w:cs="Times New Roman"/>
                <w:color w:val="FF0000"/>
                <w:highlight w:val="none"/>
                <w:lang w:eastAsia="zh-CN"/>
              </w:rPr>
              <w:t>对</w:t>
            </w:r>
            <w:r>
              <w:rPr>
                <w:rFonts w:hint="eastAsia" w:ascii="Times New Roman" w:hAnsi="Times New Roman" w:cs="Times New Roman"/>
                <w:color w:val="FF0000"/>
                <w:highlight w:val="none"/>
                <w:lang w:eastAsia="zh-CN"/>
              </w:rPr>
              <w:t>封边</w:t>
            </w:r>
            <w:r>
              <w:rPr>
                <w:rFonts w:hint="default" w:ascii="Times New Roman" w:hAnsi="Times New Roman" w:cs="Times New Roman"/>
                <w:color w:val="FF0000"/>
                <w:highlight w:val="none"/>
                <w:lang w:eastAsia="zh-CN"/>
              </w:rPr>
              <w:t>工序废气进行收集</w:t>
            </w:r>
            <w:r>
              <w:rPr>
                <w:rFonts w:hint="default" w:ascii="Times New Roman" w:hAnsi="Times New Roman" w:eastAsia="宋体" w:cs="Times New Roman"/>
                <w:color w:val="FF0000"/>
                <w:highlight w:val="none"/>
                <w:lang w:val="en-US" w:eastAsia="zh-CN"/>
              </w:rPr>
              <w:t>，</w:t>
            </w:r>
            <w:r>
              <w:rPr>
                <w:rFonts w:hint="default" w:ascii="Times New Roman" w:hAnsi="Times New Roman" w:eastAsia="宋体" w:cs="Times New Roman"/>
                <w:color w:val="FF0000"/>
                <w:highlight w:val="none"/>
              </w:rPr>
              <w:t>根据</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lang w:val="en-US" w:eastAsia="zh-CN"/>
              </w:rPr>
              <w:t>环境工程设计手册（修订版）</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lang w:val="en-US" w:eastAsia="zh-CN"/>
              </w:rPr>
              <w:t>中</w:t>
            </w:r>
            <w:r>
              <w:rPr>
                <w:rFonts w:hint="default" w:ascii="Times New Roman" w:hAnsi="Times New Roman" w:eastAsia="宋体" w:cs="Times New Roman"/>
                <w:color w:val="FF0000"/>
                <w:highlight w:val="none"/>
              </w:rPr>
              <w:t>外部吸</w:t>
            </w:r>
            <w:r>
              <w:rPr>
                <w:rFonts w:hint="default" w:ascii="Times New Roman" w:hAnsi="Times New Roman" w:eastAsia="宋体" w:cs="Times New Roman"/>
                <w:color w:val="FF0000"/>
                <w:highlight w:val="none"/>
                <w:lang w:val="en-US" w:eastAsia="zh-CN"/>
              </w:rPr>
              <w:t>气</w:t>
            </w:r>
            <w:r>
              <w:rPr>
                <w:rFonts w:hint="default" w:ascii="Times New Roman" w:hAnsi="Times New Roman" w:eastAsia="宋体" w:cs="Times New Roman"/>
                <w:color w:val="FF0000"/>
                <w:highlight w:val="none"/>
              </w:rPr>
              <w:t>罩风量计算中公式：</w:t>
            </w:r>
          </w:p>
          <w:p w14:paraId="0FCE6883">
            <w:pPr>
              <w:pStyle w:val="38"/>
              <w:bidi w:val="0"/>
              <w:rPr>
                <w:rFonts w:hint="default" w:ascii="Times New Roman" w:hAnsi="Times New Roman" w:eastAsia="宋体" w:cs="Times New Roman"/>
                <w:color w:val="FF0000"/>
                <w:highlight w:val="none"/>
              </w:rPr>
            </w:pPr>
            <w:r>
              <w:rPr>
                <w:rFonts w:hint="default" w:ascii="Times New Roman" w:hAnsi="Times New Roman" w:cs="Times New Roman"/>
                <w:color w:val="FF0000"/>
                <w:highlight w:val="none"/>
                <w:lang w:val="en-US" w:eastAsia="zh-CN"/>
              </w:rPr>
              <w:t>L=（10X</w:t>
            </w:r>
            <w:r>
              <w:rPr>
                <w:rFonts w:hint="default" w:ascii="Times New Roman" w:hAnsi="Times New Roman" w:cs="Times New Roman"/>
                <w:color w:val="FF0000"/>
                <w:highlight w:val="none"/>
                <w:vertAlign w:val="superscript"/>
                <w:lang w:val="en-US" w:eastAsia="zh-CN"/>
              </w:rPr>
              <w:t>2</w:t>
            </w:r>
            <w:r>
              <w:rPr>
                <w:rFonts w:hint="default" w:ascii="Times New Roman" w:hAnsi="Times New Roman" w:cs="Times New Roman"/>
                <w:color w:val="FF0000"/>
                <w:highlight w:val="none"/>
                <w:vertAlign w:val="baseline"/>
                <w:lang w:val="en-US" w:eastAsia="zh-CN"/>
              </w:rPr>
              <w:t>+F</w:t>
            </w:r>
            <w:r>
              <w:rPr>
                <w:rFonts w:hint="default" w:ascii="Times New Roman" w:hAnsi="Times New Roman" w:cs="Times New Roman"/>
                <w:color w:val="FF0000"/>
                <w:highlight w:val="none"/>
                <w:lang w:val="en-US" w:eastAsia="zh-CN"/>
              </w:rPr>
              <w:t>）×</w:t>
            </w:r>
            <w:r>
              <w:rPr>
                <w:rFonts w:hint="default" w:ascii="Times New Roman" w:hAnsi="Times New Roman" w:eastAsia="宋体" w:cs="Times New Roman"/>
                <w:color w:val="FF0000"/>
                <w:highlight w:val="none"/>
                <w:lang w:val="en-US" w:eastAsia="zh-CN"/>
              </w:rPr>
              <w:t>Vx</w:t>
            </w:r>
            <w:r>
              <w:rPr>
                <w:rFonts w:hint="default" w:ascii="Times New Roman" w:hAnsi="Times New Roman" w:cs="Times New Roman"/>
                <w:color w:val="FF0000"/>
                <w:highlight w:val="none"/>
                <w:lang w:val="en-US" w:eastAsia="zh-CN"/>
              </w:rPr>
              <w:t>×3600</w:t>
            </w:r>
          </w:p>
          <w:p w14:paraId="005AA6AD">
            <w:pPr>
              <w:pStyle w:val="38"/>
              <w:bidi w:val="0"/>
              <w:rPr>
                <w:rFonts w:hint="default" w:ascii="Times New Roman" w:hAnsi="Times New Roman" w:eastAsia="宋体" w:cs="Times New Roman"/>
                <w:color w:val="FF0000"/>
                <w:highlight w:val="none"/>
                <w:lang w:eastAsia="zh-CN"/>
              </w:rPr>
            </w:pPr>
            <w:r>
              <w:rPr>
                <w:rFonts w:hint="default" w:ascii="Times New Roman" w:hAnsi="Times New Roman" w:eastAsia="宋体" w:cs="Times New Roman"/>
                <w:color w:val="FF0000"/>
                <w:highlight w:val="none"/>
              </w:rPr>
              <w:t>式中：</w:t>
            </w:r>
            <w:r>
              <w:rPr>
                <w:rFonts w:hint="default" w:ascii="Times New Roman" w:hAnsi="Times New Roman" w:eastAsia="宋体" w:cs="Times New Roman"/>
                <w:color w:val="FF0000"/>
                <w:highlight w:val="none"/>
                <w:lang w:val="en-US" w:eastAsia="zh-CN"/>
              </w:rPr>
              <w:t>Vx</w:t>
            </w:r>
            <w:r>
              <w:rPr>
                <w:rFonts w:hint="default" w:ascii="Times New Roman" w:hAnsi="Times New Roman" w:eastAsia="宋体" w:cs="Times New Roman"/>
                <w:color w:val="FF0000"/>
                <w:highlight w:val="none"/>
              </w:rPr>
              <w:t>-控制点的吸</w:t>
            </w:r>
            <w:r>
              <w:rPr>
                <w:rFonts w:hint="default" w:ascii="Times New Roman" w:hAnsi="Times New Roman" w:eastAsia="宋体" w:cs="Times New Roman"/>
                <w:color w:val="FF0000"/>
                <w:highlight w:val="none"/>
                <w:lang w:val="en-US" w:eastAsia="zh-CN"/>
              </w:rPr>
              <w:t>入</w:t>
            </w:r>
            <w:r>
              <w:rPr>
                <w:rFonts w:hint="default" w:ascii="Times New Roman" w:hAnsi="Times New Roman" w:eastAsia="宋体" w:cs="Times New Roman"/>
                <w:color w:val="FF0000"/>
                <w:highlight w:val="none"/>
              </w:rPr>
              <w:t>速度，m/s</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lang w:val="en-US" w:eastAsia="zh-CN"/>
              </w:rPr>
              <w:t>本项目取0.3m/s</w:t>
            </w:r>
            <w:r>
              <w:rPr>
                <w:rFonts w:hint="default" w:ascii="Times New Roman" w:hAnsi="Times New Roman" w:eastAsia="宋体" w:cs="Times New Roman"/>
                <w:color w:val="FF0000"/>
                <w:highlight w:val="none"/>
                <w:lang w:eastAsia="zh-CN"/>
              </w:rPr>
              <w:t>；</w:t>
            </w:r>
          </w:p>
          <w:p w14:paraId="4D7409B4">
            <w:pPr>
              <w:pStyle w:val="38"/>
              <w:bidi w:val="0"/>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FF0000"/>
                <w:highlight w:val="none"/>
              </w:rPr>
              <w:t>F--吸气口的面积，m</w:t>
            </w:r>
            <w:r>
              <w:rPr>
                <w:rFonts w:hint="default" w:ascii="Times New Roman" w:hAnsi="Times New Roman" w:eastAsia="宋体" w:cs="Times New Roman"/>
                <w:color w:val="FF0000"/>
                <w:highlight w:val="none"/>
                <w:vertAlign w:val="superscript"/>
                <w:lang w:val="en-US" w:eastAsia="zh-CN"/>
              </w:rPr>
              <w:t>2</w:t>
            </w:r>
            <w:r>
              <w:rPr>
                <w:rFonts w:hint="default" w:ascii="Times New Roman" w:hAnsi="Times New Roman" w:eastAsia="宋体" w:cs="Times New Roman"/>
                <w:color w:val="FF0000"/>
                <w:highlight w:val="none"/>
                <w:lang w:val="en-US" w:eastAsia="zh-CN"/>
              </w:rPr>
              <w:t>；</w:t>
            </w:r>
            <w:r>
              <w:rPr>
                <w:rFonts w:hint="default" w:ascii="Times New Roman" w:hAnsi="Times New Roman" w:cs="Times New Roman"/>
                <w:color w:val="FF0000"/>
                <w:highlight w:val="none"/>
                <w:lang w:val="en-US" w:eastAsia="zh-CN"/>
              </w:rPr>
              <w:t>根据建设单位提供资料，</w:t>
            </w:r>
            <w:r>
              <w:rPr>
                <w:rFonts w:hint="default" w:ascii="Times New Roman" w:hAnsi="Times New Roman" w:eastAsia="宋体" w:cs="Times New Roman"/>
                <w:color w:val="FF0000"/>
                <w:highlight w:val="none"/>
                <w:lang w:val="en-US" w:eastAsia="zh-CN"/>
              </w:rPr>
              <w:t>项目</w:t>
            </w:r>
            <w:r>
              <w:rPr>
                <w:rFonts w:hint="eastAsia" w:ascii="Times New Roman" w:hAnsi="Times New Roman" w:cs="Times New Roman"/>
                <w:color w:val="FF0000"/>
                <w:highlight w:val="none"/>
                <w:lang w:eastAsia="zh-CN"/>
              </w:rPr>
              <w:t>封边</w:t>
            </w:r>
            <w:r>
              <w:rPr>
                <w:rFonts w:hint="default" w:ascii="Times New Roman" w:hAnsi="Times New Roman" w:cs="Times New Roman"/>
                <w:color w:val="FF0000"/>
                <w:highlight w:val="none"/>
                <w:lang w:val="en-US" w:eastAsia="zh-CN"/>
              </w:rPr>
              <w:t>工序</w:t>
            </w:r>
            <w:r>
              <w:rPr>
                <w:rFonts w:hint="eastAsia" w:cs="Times New Roman"/>
                <w:color w:val="FF0000"/>
                <w:highlight w:val="none"/>
                <w:lang w:val="en-US" w:eastAsia="zh-CN"/>
              </w:rPr>
              <w:t>高度约1.2m，封边熔融段尺寸为1.5m</w:t>
            </w:r>
            <w:r>
              <w:rPr>
                <w:rFonts w:hint="default" w:ascii="Times New Roman" w:hAnsi="Times New Roman" w:cs="Times New Roman"/>
                <w:color w:val="FF0000"/>
                <w:highlight w:val="none"/>
                <w:lang w:val="en-US" w:eastAsia="zh-CN"/>
              </w:rPr>
              <w:t>×</w:t>
            </w:r>
            <w:r>
              <w:rPr>
                <w:rFonts w:hint="eastAsia" w:ascii="Times New Roman" w:hAnsi="Times New Roman" w:cs="Times New Roman"/>
                <w:color w:val="FF0000"/>
                <w:highlight w:val="none"/>
                <w:lang w:val="en-US" w:eastAsia="zh-CN"/>
              </w:rPr>
              <w:t>0.8m，在该段上方设置集气罩进行收集，</w:t>
            </w:r>
            <w:r>
              <w:rPr>
                <w:rFonts w:hint="default" w:ascii="Times New Roman" w:hAnsi="Times New Roman" w:eastAsia="宋体" w:cs="Times New Roman"/>
                <w:color w:val="FF0000"/>
                <w:highlight w:val="none"/>
                <w:lang w:val="en-US" w:eastAsia="zh-CN"/>
              </w:rPr>
              <w:t>集气罩面积设计值为</w:t>
            </w:r>
            <w:r>
              <w:rPr>
                <w:rFonts w:hint="eastAsia" w:ascii="Times New Roman" w:hAnsi="Times New Roman" w:cs="Times New Roman"/>
                <w:color w:val="FF0000"/>
                <w:highlight w:val="none"/>
                <w:lang w:val="en-US" w:eastAsia="zh-CN"/>
              </w:rPr>
              <w:t>1.2</w:t>
            </w:r>
            <w:r>
              <w:rPr>
                <w:rFonts w:hint="default" w:ascii="Times New Roman" w:hAnsi="Times New Roman" w:eastAsia="宋体" w:cs="Times New Roman"/>
                <w:color w:val="FF0000"/>
                <w:highlight w:val="none"/>
              </w:rPr>
              <w:t>m</w:t>
            </w:r>
            <w:r>
              <w:rPr>
                <w:rFonts w:hint="default" w:ascii="Times New Roman" w:hAnsi="Times New Roman" w:eastAsia="宋体" w:cs="Times New Roman"/>
                <w:color w:val="FF0000"/>
                <w:highlight w:val="none"/>
                <w:vertAlign w:val="superscript"/>
              </w:rPr>
              <w:t>2</w:t>
            </w:r>
            <w:r>
              <w:rPr>
                <w:rFonts w:hint="default" w:ascii="Times New Roman" w:hAnsi="Times New Roman" w:eastAsia="宋体" w:cs="Times New Roman"/>
                <w:color w:val="FF0000"/>
                <w:highlight w:val="none"/>
                <w:lang w:val="en-US" w:eastAsia="zh-CN"/>
              </w:rPr>
              <w:t>。</w:t>
            </w:r>
          </w:p>
          <w:p w14:paraId="534CF0C2">
            <w:pPr>
              <w:pStyle w:val="38"/>
              <w:bidi w:val="0"/>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lang w:val="en-US" w:eastAsia="zh-CN"/>
              </w:rPr>
              <w:t>x</w:t>
            </w:r>
            <w:r>
              <w:rPr>
                <w:rFonts w:hint="default" w:ascii="Times New Roman" w:hAnsi="Times New Roman" w:eastAsia="宋体" w:cs="Times New Roman"/>
                <w:color w:val="FF0000"/>
                <w:highlight w:val="none"/>
              </w:rPr>
              <w:t>-</w:t>
            </w:r>
            <w:r>
              <w:rPr>
                <w:rFonts w:hint="default" w:ascii="Times New Roman" w:hAnsi="Times New Roman" w:eastAsia="宋体" w:cs="Times New Roman"/>
                <w:color w:val="FF0000"/>
                <w:highlight w:val="none"/>
                <w:lang w:val="en-US" w:eastAsia="zh-CN"/>
              </w:rPr>
              <w:t>-</w:t>
            </w:r>
            <w:r>
              <w:rPr>
                <w:rFonts w:hint="default" w:ascii="Times New Roman" w:hAnsi="Times New Roman" w:eastAsia="宋体" w:cs="Times New Roman"/>
                <w:color w:val="FF0000"/>
                <w:highlight w:val="none"/>
              </w:rPr>
              <w:t>控制点至吸气</w:t>
            </w:r>
            <w:r>
              <w:rPr>
                <w:rFonts w:hint="default" w:ascii="Times New Roman" w:hAnsi="Times New Roman" w:eastAsia="宋体" w:cs="Times New Roman"/>
                <w:color w:val="FF0000"/>
                <w:highlight w:val="none"/>
                <w:lang w:val="en-US" w:eastAsia="zh-CN"/>
              </w:rPr>
              <w:t>口</w:t>
            </w:r>
            <w:r>
              <w:rPr>
                <w:rFonts w:hint="default" w:ascii="Times New Roman" w:hAnsi="Times New Roman" w:eastAsia="宋体" w:cs="Times New Roman"/>
                <w:color w:val="FF0000"/>
                <w:highlight w:val="none"/>
              </w:rPr>
              <w:t>的距离</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lang w:val="en-US" w:eastAsia="zh-CN"/>
              </w:rPr>
              <w:t>项目设计为</w:t>
            </w:r>
            <w:r>
              <w:rPr>
                <w:rFonts w:hint="eastAsia" w:ascii="Times New Roman" w:hAnsi="Times New Roman" w:cs="Times New Roman"/>
                <w:color w:val="FF0000"/>
                <w:highlight w:val="none"/>
                <w:lang w:val="en-US" w:eastAsia="zh-CN"/>
              </w:rPr>
              <w:t>0.25</w:t>
            </w:r>
            <w:r>
              <w:rPr>
                <w:rFonts w:hint="default" w:ascii="Times New Roman" w:hAnsi="Times New Roman" w:eastAsia="宋体" w:cs="Times New Roman"/>
                <w:color w:val="FF0000"/>
                <w:highlight w:val="none"/>
                <w:lang w:val="en-US" w:eastAsia="zh-CN"/>
              </w:rPr>
              <w:t>m</w:t>
            </w:r>
            <w:r>
              <w:rPr>
                <w:rFonts w:hint="default" w:ascii="Times New Roman" w:hAnsi="Times New Roman" w:eastAsia="宋体" w:cs="Times New Roman"/>
                <w:color w:val="FF0000"/>
                <w:highlight w:val="none"/>
              </w:rPr>
              <w:t>。</w:t>
            </w:r>
          </w:p>
          <w:p w14:paraId="262AC1D3">
            <w:pPr>
              <w:pStyle w:val="38"/>
              <w:bidi w:val="0"/>
              <w:rPr>
                <w:rFonts w:hint="default"/>
                <w:color w:val="FF0000"/>
                <w:highlight w:val="none"/>
                <w:lang w:val="en-US" w:eastAsia="zh-CN"/>
              </w:rPr>
            </w:pPr>
            <w:r>
              <w:rPr>
                <w:rFonts w:hint="default"/>
                <w:color w:val="FF0000"/>
                <w:highlight w:val="none"/>
                <w:lang w:val="en-US" w:eastAsia="zh-CN"/>
              </w:rPr>
              <w:t>经计算</w:t>
            </w:r>
            <w:r>
              <w:rPr>
                <w:rFonts w:hint="eastAsia"/>
                <w:color w:val="FF0000"/>
                <w:highlight w:val="none"/>
                <w:lang w:eastAsia="zh-CN"/>
              </w:rPr>
              <w:t>项目封边</w:t>
            </w:r>
            <w:r>
              <w:rPr>
                <w:rFonts w:hint="default"/>
                <w:color w:val="FF0000"/>
                <w:highlight w:val="none"/>
                <w:lang w:eastAsia="zh-CN"/>
              </w:rPr>
              <w:t>工序</w:t>
            </w:r>
            <w:r>
              <w:rPr>
                <w:rFonts w:hint="default"/>
                <w:color w:val="FF0000"/>
                <w:highlight w:val="none"/>
                <w:lang w:val="en-US" w:eastAsia="zh-CN"/>
              </w:rPr>
              <w:t>计算</w:t>
            </w:r>
            <w:r>
              <w:rPr>
                <w:rFonts w:hint="default"/>
                <w:color w:val="FF0000"/>
                <w:highlight w:val="none"/>
              </w:rPr>
              <w:t>废气量</w:t>
            </w:r>
            <w:r>
              <w:rPr>
                <w:rFonts w:hint="eastAsia"/>
                <w:color w:val="FF0000"/>
                <w:highlight w:val="none"/>
                <w:lang w:eastAsia="zh-CN"/>
              </w:rPr>
              <w:t>约</w:t>
            </w:r>
            <w:r>
              <w:rPr>
                <w:rFonts w:hint="eastAsia"/>
                <w:color w:val="FF0000"/>
                <w:highlight w:val="none"/>
                <w:lang w:val="en-US" w:eastAsia="zh-CN"/>
              </w:rPr>
              <w:t>1971</w:t>
            </w:r>
            <w:r>
              <w:rPr>
                <w:rFonts w:hint="default"/>
                <w:color w:val="FF0000"/>
                <w:highlight w:val="none"/>
              </w:rPr>
              <w:t>m</w:t>
            </w:r>
            <w:r>
              <w:rPr>
                <w:rFonts w:hint="default"/>
                <w:color w:val="FF0000"/>
                <w:highlight w:val="none"/>
                <w:vertAlign w:val="superscript"/>
              </w:rPr>
              <w:t>3</w:t>
            </w:r>
            <w:r>
              <w:rPr>
                <w:rFonts w:hint="default"/>
                <w:color w:val="FF0000"/>
                <w:highlight w:val="none"/>
              </w:rPr>
              <w:t>/h</w:t>
            </w:r>
            <w:r>
              <w:rPr>
                <w:rFonts w:hint="default"/>
                <w:color w:val="FF0000"/>
                <w:highlight w:val="none"/>
                <w:lang w:eastAsia="zh-CN"/>
              </w:rPr>
              <w:t>，考虑漏风等因素，</w:t>
            </w:r>
            <w:r>
              <w:rPr>
                <w:rFonts w:hint="default"/>
                <w:color w:val="FF0000"/>
                <w:highlight w:val="none"/>
                <w:lang w:val="en-US" w:eastAsia="zh-CN"/>
              </w:rPr>
              <w:t>本项目拟于</w:t>
            </w:r>
            <w:r>
              <w:rPr>
                <w:rFonts w:hint="eastAsia"/>
                <w:color w:val="FF0000"/>
                <w:highlight w:val="none"/>
                <w:lang w:eastAsia="zh-CN"/>
              </w:rPr>
              <w:t>板材</w:t>
            </w:r>
            <w:r>
              <w:rPr>
                <w:rFonts w:hint="default"/>
                <w:color w:val="FF0000"/>
                <w:highlight w:val="none"/>
                <w:lang w:eastAsia="zh-CN"/>
              </w:rPr>
              <w:t>生产线</w:t>
            </w:r>
            <w:r>
              <w:rPr>
                <w:rFonts w:hint="eastAsia"/>
                <w:color w:val="FF0000"/>
                <w:highlight w:val="none"/>
                <w:lang w:eastAsia="zh-CN"/>
              </w:rPr>
              <w:t>封边工序</w:t>
            </w:r>
            <w:r>
              <w:rPr>
                <w:rFonts w:hint="default"/>
                <w:color w:val="FF0000"/>
                <w:highlight w:val="none"/>
                <w:lang w:val="en-US" w:eastAsia="zh-CN"/>
              </w:rPr>
              <w:t>设置风量为2000m</w:t>
            </w:r>
            <w:r>
              <w:rPr>
                <w:rFonts w:hint="default"/>
                <w:color w:val="FF0000"/>
                <w:highlight w:val="none"/>
                <w:vertAlign w:val="superscript"/>
                <w:lang w:val="en-US" w:eastAsia="zh-CN"/>
              </w:rPr>
              <w:t>3</w:t>
            </w:r>
            <w:r>
              <w:rPr>
                <w:rFonts w:hint="default"/>
                <w:color w:val="FF0000"/>
                <w:highlight w:val="none"/>
                <w:lang w:val="en-US" w:eastAsia="zh-CN"/>
              </w:rPr>
              <w:t>的风机1台，风量</w:t>
            </w:r>
            <w:r>
              <w:rPr>
                <w:rFonts w:hint="eastAsia"/>
                <w:color w:val="FF0000"/>
                <w:highlight w:val="none"/>
                <w:lang w:val="en-US" w:eastAsia="zh-CN"/>
              </w:rPr>
              <w:t>能够</w:t>
            </w:r>
            <w:r>
              <w:rPr>
                <w:rFonts w:hint="default"/>
                <w:color w:val="FF0000"/>
                <w:highlight w:val="none"/>
                <w:lang w:val="en-US" w:eastAsia="zh-CN"/>
              </w:rPr>
              <w:t>满足要求</w:t>
            </w:r>
            <w:r>
              <w:rPr>
                <w:rFonts w:hint="default"/>
                <w:color w:val="FF0000"/>
                <w:highlight w:val="none"/>
                <w:lang w:eastAsia="zh-CN"/>
              </w:rPr>
              <w:t>。</w:t>
            </w:r>
          </w:p>
          <w:p w14:paraId="1DA716A0">
            <w:pPr>
              <w:pStyle w:val="38"/>
              <w:bidi w:val="0"/>
              <w:rPr>
                <w:rFonts w:hint="default"/>
                <w:color w:val="FF0000"/>
                <w:highlight w:val="none"/>
                <w:lang w:val="en-US" w:eastAsia="zh-CN"/>
              </w:rPr>
            </w:pPr>
            <w:r>
              <w:rPr>
                <w:rFonts w:hint="eastAsia"/>
                <w:color w:val="FF0000"/>
                <w:highlight w:val="none"/>
                <w:lang w:val="en-US" w:eastAsia="zh-CN"/>
              </w:rPr>
              <w:t>项目配套二级</w:t>
            </w:r>
            <w:r>
              <w:rPr>
                <w:rFonts w:hint="default"/>
                <w:color w:val="FF0000"/>
                <w:highlight w:val="none"/>
                <w:lang w:val="en-US" w:eastAsia="zh-CN"/>
              </w:rPr>
              <w:t>活性炭吸附</w:t>
            </w:r>
            <w:r>
              <w:rPr>
                <w:rFonts w:hint="eastAsia"/>
                <w:color w:val="FF0000"/>
                <w:highlight w:val="none"/>
                <w:lang w:val="en-US" w:eastAsia="zh-CN"/>
              </w:rPr>
              <w:t>装置</w:t>
            </w:r>
            <w:r>
              <w:rPr>
                <w:rFonts w:hint="default"/>
                <w:color w:val="FF0000"/>
                <w:highlight w:val="none"/>
                <w:lang w:val="en-US" w:eastAsia="zh-CN"/>
              </w:rPr>
              <w:t>对VOCs处理效率按照</w:t>
            </w:r>
            <w:r>
              <w:rPr>
                <w:rFonts w:hint="eastAsia"/>
                <w:color w:val="FF0000"/>
                <w:highlight w:val="none"/>
                <w:lang w:val="en-US" w:eastAsia="zh-CN"/>
              </w:rPr>
              <w:t>80</w:t>
            </w:r>
            <w:r>
              <w:rPr>
                <w:rFonts w:hint="default"/>
                <w:color w:val="FF0000"/>
                <w:highlight w:val="none"/>
                <w:lang w:val="en-US" w:eastAsia="zh-CN"/>
              </w:rPr>
              <w:t>%考虑，活性炭吸附装置设计风量为</w:t>
            </w:r>
            <w:r>
              <w:rPr>
                <w:rFonts w:hint="eastAsia"/>
                <w:color w:val="FF0000"/>
                <w:highlight w:val="none"/>
                <w:lang w:val="en-US" w:eastAsia="zh-CN"/>
              </w:rPr>
              <w:t>2000</w:t>
            </w:r>
            <w:r>
              <w:rPr>
                <w:rFonts w:hint="default"/>
                <w:color w:val="FF0000"/>
                <w:highlight w:val="none"/>
                <w:lang w:val="en-US" w:eastAsia="zh-CN"/>
              </w:rPr>
              <w:t>m</w:t>
            </w:r>
            <w:r>
              <w:rPr>
                <w:rFonts w:hint="default"/>
                <w:color w:val="FF0000"/>
                <w:highlight w:val="none"/>
                <w:vertAlign w:val="superscript"/>
                <w:lang w:val="en-US" w:eastAsia="zh-CN"/>
              </w:rPr>
              <w:t>3</w:t>
            </w:r>
            <w:r>
              <w:rPr>
                <w:rFonts w:hint="default"/>
                <w:color w:val="FF0000"/>
                <w:highlight w:val="none"/>
                <w:lang w:val="en-US" w:eastAsia="zh-CN"/>
              </w:rPr>
              <w:t>/h，</w:t>
            </w:r>
            <w:r>
              <w:rPr>
                <w:rFonts w:hint="eastAsia"/>
                <w:color w:val="FF0000"/>
                <w:highlight w:val="none"/>
                <w:lang w:val="en-US" w:eastAsia="zh-CN"/>
              </w:rPr>
              <w:t>封边</w:t>
            </w:r>
            <w:r>
              <w:rPr>
                <w:rFonts w:hint="default"/>
                <w:color w:val="FF0000"/>
                <w:highlight w:val="none"/>
                <w:lang w:val="en-US" w:eastAsia="zh-CN"/>
              </w:rPr>
              <w:t>生产线年运行时间</w:t>
            </w:r>
            <w:r>
              <w:rPr>
                <w:rFonts w:hint="eastAsia"/>
                <w:color w:val="FF0000"/>
                <w:highlight w:val="none"/>
                <w:lang w:val="en-US" w:eastAsia="zh-CN"/>
              </w:rPr>
              <w:t>以6</w:t>
            </w:r>
            <w:r>
              <w:rPr>
                <w:rFonts w:hint="default"/>
                <w:color w:val="FF0000"/>
                <w:highlight w:val="none"/>
                <w:lang w:val="en-US" w:eastAsia="zh-CN"/>
              </w:rPr>
              <w:t>00h</w:t>
            </w:r>
            <w:r>
              <w:rPr>
                <w:rFonts w:hint="eastAsia"/>
                <w:color w:val="FF0000"/>
                <w:highlight w:val="none"/>
                <w:lang w:val="en-US" w:eastAsia="zh-CN"/>
              </w:rPr>
              <w:t>计</w:t>
            </w:r>
            <w:r>
              <w:rPr>
                <w:rFonts w:hint="default"/>
                <w:color w:val="FF0000"/>
                <w:highlight w:val="none"/>
                <w:lang w:val="en-US" w:eastAsia="zh-CN"/>
              </w:rPr>
              <w:t>，则P</w:t>
            </w:r>
            <w:r>
              <w:rPr>
                <w:rFonts w:hint="eastAsia"/>
                <w:color w:val="FF0000"/>
                <w:highlight w:val="none"/>
                <w:lang w:val="en-US" w:eastAsia="zh-CN"/>
              </w:rPr>
              <w:t>1</w:t>
            </w:r>
            <w:r>
              <w:rPr>
                <w:rFonts w:hint="default"/>
                <w:color w:val="FF0000"/>
                <w:highlight w:val="none"/>
                <w:lang w:val="en-US" w:eastAsia="zh-CN"/>
              </w:rPr>
              <w:t>排气筒有组织VOCs排放量为</w:t>
            </w:r>
            <w:r>
              <w:rPr>
                <w:rFonts w:hint="eastAsia"/>
                <w:color w:val="FF0000"/>
                <w:highlight w:val="none"/>
                <w:lang w:val="en-US" w:eastAsia="zh-CN"/>
              </w:rPr>
              <w:t>0.0027</w:t>
            </w:r>
            <w:r>
              <w:rPr>
                <w:rFonts w:hint="default"/>
                <w:color w:val="FF0000"/>
                <w:highlight w:val="none"/>
                <w:lang w:val="en-US" w:eastAsia="zh-CN"/>
              </w:rPr>
              <w:t>t/a，排放速率为0.0</w:t>
            </w:r>
            <w:r>
              <w:rPr>
                <w:rFonts w:hint="eastAsia"/>
                <w:color w:val="FF0000"/>
                <w:highlight w:val="none"/>
                <w:lang w:val="en-US" w:eastAsia="zh-CN"/>
              </w:rPr>
              <w:t>045</w:t>
            </w:r>
            <w:r>
              <w:rPr>
                <w:rFonts w:hint="default"/>
                <w:color w:val="FF0000"/>
                <w:highlight w:val="none"/>
                <w:lang w:val="en-US" w:eastAsia="zh-CN"/>
              </w:rPr>
              <w:t>kg/h，排放浓度为</w:t>
            </w:r>
            <w:r>
              <w:rPr>
                <w:rFonts w:hint="eastAsia"/>
                <w:color w:val="FF0000"/>
                <w:highlight w:val="none"/>
                <w:lang w:val="en-US" w:eastAsia="zh-CN"/>
              </w:rPr>
              <w:t>2.25</w:t>
            </w:r>
            <w:r>
              <w:rPr>
                <w:rFonts w:hint="default"/>
                <w:color w:val="FF0000"/>
                <w:highlight w:val="none"/>
                <w:lang w:val="en-US" w:eastAsia="zh-CN"/>
              </w:rPr>
              <w:t>mg/m</w:t>
            </w:r>
            <w:r>
              <w:rPr>
                <w:rFonts w:hint="eastAsia"/>
                <w:color w:val="FF0000"/>
                <w:highlight w:val="none"/>
                <w:vertAlign w:val="superscript"/>
                <w:lang w:val="en-US" w:eastAsia="zh-CN"/>
              </w:rPr>
              <w:t>3</w:t>
            </w:r>
            <w:r>
              <w:rPr>
                <w:rFonts w:hint="eastAsia"/>
                <w:color w:val="FF0000"/>
                <w:highlight w:val="none"/>
                <w:lang w:val="en-US" w:eastAsia="zh-CN"/>
              </w:rPr>
              <w:t>。</w:t>
            </w:r>
          </w:p>
          <w:p w14:paraId="235DF2D2">
            <w:pPr>
              <w:pStyle w:val="38"/>
              <w:bidi w:val="0"/>
              <w:rPr>
                <w:rFonts w:hint="eastAsia"/>
                <w:color w:val="auto"/>
                <w:highlight w:val="none"/>
                <w:lang w:val="en-US" w:eastAsia="zh-CN"/>
              </w:rPr>
            </w:pPr>
            <w:r>
              <w:rPr>
                <w:rFonts w:hint="eastAsia"/>
                <w:color w:val="auto"/>
                <w:highlight w:val="none"/>
                <w:lang w:val="en-US" w:eastAsia="zh-CN"/>
              </w:rPr>
              <w:t>（2）无组织废气</w:t>
            </w:r>
          </w:p>
          <w:p w14:paraId="12AA34BA">
            <w:pPr>
              <w:pStyle w:val="38"/>
              <w:bidi w:val="0"/>
              <w:rPr>
                <w:rFonts w:hint="eastAsia"/>
                <w:color w:val="auto"/>
                <w:highlight w:val="none"/>
                <w:lang w:val="en-US" w:eastAsia="zh-CN"/>
              </w:rPr>
            </w:pPr>
            <w:r>
              <w:rPr>
                <w:rFonts w:hint="eastAsia"/>
                <w:color w:val="auto"/>
                <w:highlight w:val="none"/>
                <w:lang w:val="en-US" w:eastAsia="zh-CN"/>
              </w:rPr>
              <w:t>①板材</w:t>
            </w:r>
            <w:r>
              <w:rPr>
                <w:rFonts w:hint="eastAsia"/>
                <w:color w:val="auto"/>
                <w:highlight w:val="none"/>
                <w:lang w:eastAsia="zh-CN"/>
              </w:rPr>
              <w:t>（三聚氰胺板）</w:t>
            </w:r>
            <w:r>
              <w:rPr>
                <w:rFonts w:hint="eastAsia"/>
                <w:color w:val="auto"/>
                <w:highlight w:val="none"/>
                <w:lang w:val="en-US" w:eastAsia="zh-CN"/>
              </w:rPr>
              <w:t>封边工序未收集废气</w:t>
            </w:r>
          </w:p>
          <w:p w14:paraId="418E94B9">
            <w:pPr>
              <w:pStyle w:val="38"/>
              <w:bidi w:val="0"/>
              <w:rPr>
                <w:rFonts w:hint="default"/>
                <w:color w:val="auto"/>
                <w:highlight w:val="none"/>
                <w:lang w:val="en-US" w:eastAsia="zh-CN"/>
              </w:rPr>
            </w:pPr>
            <w:r>
              <w:rPr>
                <w:rFonts w:hint="eastAsia"/>
                <w:color w:val="auto"/>
                <w:highlight w:val="none"/>
                <w:lang w:val="en-US" w:eastAsia="zh-CN"/>
              </w:rPr>
              <w:t>根据上文分析，板材</w:t>
            </w:r>
            <w:r>
              <w:rPr>
                <w:rFonts w:hint="eastAsia"/>
                <w:color w:val="auto"/>
                <w:highlight w:val="none"/>
                <w:lang w:eastAsia="zh-CN"/>
              </w:rPr>
              <w:t>（三聚氰胺板）</w:t>
            </w:r>
            <w:r>
              <w:rPr>
                <w:rFonts w:hint="eastAsia"/>
                <w:color w:val="auto"/>
                <w:highlight w:val="none"/>
                <w:lang w:val="en-US" w:eastAsia="zh-CN"/>
              </w:rPr>
              <w:t>封边工序VOCs产生量为0.015t/a，上方设置集气罩收集效率以90%计，经计算，未收集VOCs排放量为0.0015t/a。</w:t>
            </w:r>
          </w:p>
          <w:p w14:paraId="454C0930">
            <w:pPr>
              <w:pStyle w:val="38"/>
              <w:bidi w:val="0"/>
              <w:rPr>
                <w:rFonts w:hint="default"/>
                <w:color w:val="auto"/>
                <w:highlight w:val="none"/>
                <w:lang w:val="en-US" w:eastAsia="zh-CN"/>
              </w:rPr>
            </w:pPr>
            <w:r>
              <w:rPr>
                <w:rFonts w:hint="eastAsia"/>
                <w:color w:val="auto"/>
                <w:highlight w:val="none"/>
                <w:lang w:val="en-US" w:eastAsia="zh-CN"/>
              </w:rPr>
              <w:t>②板材下料、木加工废气</w:t>
            </w:r>
          </w:p>
          <w:p w14:paraId="2FC1BB01">
            <w:pPr>
              <w:pStyle w:val="38"/>
              <w:bidi w:val="0"/>
              <w:rPr>
                <w:rFonts w:hint="eastAsia" w:eastAsia="宋体"/>
                <w:color w:val="auto"/>
                <w:highlight w:val="none"/>
                <w:lang w:val="en-US" w:eastAsia="zh-CN"/>
              </w:rPr>
            </w:pPr>
            <w:r>
              <w:rPr>
                <w:rFonts w:hint="eastAsia"/>
                <w:color w:val="auto"/>
                <w:highlight w:val="none"/>
              </w:rPr>
              <w:t>项目板材下料、</w:t>
            </w:r>
            <w:r>
              <w:rPr>
                <w:rFonts w:hint="eastAsia"/>
                <w:color w:val="auto"/>
                <w:highlight w:val="none"/>
                <w:lang w:val="en-US" w:eastAsia="zh-CN"/>
              </w:rPr>
              <w:t>木加工</w:t>
            </w:r>
            <w:r>
              <w:rPr>
                <w:rFonts w:hint="eastAsia"/>
                <w:color w:val="auto"/>
                <w:highlight w:val="none"/>
              </w:rPr>
              <w:t>工序会产生少量颗粒物，参照《排放源统计调查产排污核算方法和系数手册》“2110 木质家具制造行业-机加工工艺”，颗粒物的产污系数为150克/立方米-原料，</w:t>
            </w:r>
            <w:r>
              <w:rPr>
                <w:rFonts w:hint="eastAsia"/>
                <w:color w:val="auto"/>
                <w:highlight w:val="none"/>
                <w:lang w:eastAsia="zh-CN"/>
              </w:rPr>
              <w:t>根据建设单位提供理化板、三聚氰胺板质量用量及密度数据核算（理化板密度以</w:t>
            </w:r>
            <w:r>
              <w:rPr>
                <w:rFonts w:hint="eastAsia"/>
                <w:color w:val="auto"/>
                <w:highlight w:val="none"/>
                <w:lang w:val="en-US" w:eastAsia="zh-CN"/>
              </w:rPr>
              <w:t>1.4t/m</w:t>
            </w:r>
            <w:r>
              <w:rPr>
                <w:rFonts w:hint="eastAsia"/>
                <w:color w:val="auto"/>
                <w:highlight w:val="none"/>
                <w:vertAlign w:val="superscript"/>
                <w:lang w:val="en-US" w:eastAsia="zh-CN"/>
              </w:rPr>
              <w:t>3</w:t>
            </w:r>
            <w:r>
              <w:rPr>
                <w:rFonts w:hint="eastAsia"/>
                <w:color w:val="auto"/>
                <w:highlight w:val="none"/>
                <w:vertAlign w:val="baseline"/>
                <w:lang w:val="en-US" w:eastAsia="zh-CN"/>
              </w:rPr>
              <w:t>计，三聚氰胺板密度以0.8t/m</w:t>
            </w:r>
            <w:r>
              <w:rPr>
                <w:rFonts w:hint="eastAsia"/>
                <w:color w:val="auto"/>
                <w:highlight w:val="none"/>
                <w:vertAlign w:val="superscript"/>
                <w:lang w:val="en-US" w:eastAsia="zh-CN"/>
              </w:rPr>
              <w:t>3</w:t>
            </w:r>
            <w:r>
              <w:rPr>
                <w:rFonts w:hint="eastAsia"/>
                <w:color w:val="auto"/>
                <w:highlight w:val="none"/>
                <w:vertAlign w:val="baseline"/>
                <w:lang w:val="en-US" w:eastAsia="zh-CN"/>
              </w:rPr>
              <w:t>计</w:t>
            </w:r>
            <w:r>
              <w:rPr>
                <w:rFonts w:hint="eastAsia"/>
                <w:color w:val="auto"/>
                <w:highlight w:val="none"/>
                <w:lang w:eastAsia="zh-CN"/>
              </w:rPr>
              <w:t>），</w:t>
            </w:r>
            <w:r>
              <w:rPr>
                <w:rFonts w:hint="eastAsia"/>
                <w:color w:val="auto"/>
                <w:highlight w:val="none"/>
              </w:rPr>
              <w:t>项目板材用量</w:t>
            </w:r>
            <w:r>
              <w:rPr>
                <w:rFonts w:hint="eastAsia"/>
                <w:color w:val="auto"/>
                <w:highlight w:val="none"/>
                <w:lang w:eastAsia="zh-CN"/>
              </w:rPr>
              <w:t>约为</w:t>
            </w:r>
            <w:r>
              <w:rPr>
                <w:rFonts w:hint="eastAsia"/>
                <w:color w:val="auto"/>
                <w:highlight w:val="none"/>
                <w:lang w:val="en-US" w:eastAsia="zh-CN"/>
              </w:rPr>
              <w:t>100</w:t>
            </w:r>
            <w:r>
              <w:rPr>
                <w:rFonts w:hint="eastAsia"/>
                <w:color w:val="auto"/>
                <w:highlight w:val="none"/>
              </w:rPr>
              <w:t>m</w:t>
            </w:r>
            <w:r>
              <w:rPr>
                <w:rFonts w:hint="eastAsia"/>
                <w:color w:val="auto"/>
                <w:highlight w:val="none"/>
                <w:vertAlign w:val="superscript"/>
              </w:rPr>
              <w:t>3</w:t>
            </w:r>
            <w:r>
              <w:rPr>
                <w:rFonts w:hint="eastAsia"/>
                <w:color w:val="auto"/>
                <w:highlight w:val="none"/>
                <w:vertAlign w:val="baseline"/>
                <w:lang w:val="en-US" w:eastAsia="zh-CN"/>
              </w:rPr>
              <w:t>/a</w:t>
            </w:r>
            <w:r>
              <w:rPr>
                <w:rFonts w:hint="eastAsia"/>
                <w:color w:val="auto"/>
                <w:highlight w:val="none"/>
              </w:rPr>
              <w:t>，则板材下料、</w:t>
            </w:r>
            <w:r>
              <w:rPr>
                <w:rFonts w:hint="eastAsia"/>
                <w:color w:val="auto"/>
                <w:highlight w:val="none"/>
                <w:lang w:val="en-US" w:eastAsia="zh-CN"/>
              </w:rPr>
              <w:t>木加工</w:t>
            </w:r>
            <w:r>
              <w:rPr>
                <w:rFonts w:hint="eastAsia"/>
                <w:color w:val="auto"/>
                <w:highlight w:val="none"/>
              </w:rPr>
              <w:t>工序颗粒物产生量为0.0</w:t>
            </w:r>
            <w:r>
              <w:rPr>
                <w:rFonts w:hint="eastAsia"/>
                <w:color w:val="auto"/>
                <w:highlight w:val="none"/>
                <w:lang w:val="en-US" w:eastAsia="zh-CN"/>
              </w:rPr>
              <w:t>15</w:t>
            </w:r>
            <w:r>
              <w:rPr>
                <w:rFonts w:hint="eastAsia"/>
                <w:color w:val="auto"/>
                <w:highlight w:val="none"/>
              </w:rPr>
              <w:t>t/a。项目板材下料、</w:t>
            </w:r>
            <w:r>
              <w:rPr>
                <w:rFonts w:hint="eastAsia"/>
                <w:color w:val="auto"/>
                <w:highlight w:val="none"/>
                <w:lang w:val="en-US" w:eastAsia="zh-CN"/>
              </w:rPr>
              <w:t>木加工</w:t>
            </w:r>
            <w:r>
              <w:rPr>
                <w:rFonts w:hint="eastAsia"/>
                <w:color w:val="auto"/>
                <w:highlight w:val="none"/>
              </w:rPr>
              <w:t>工序颗粒物经移动式</w:t>
            </w:r>
            <w:r>
              <w:rPr>
                <w:rFonts w:hint="eastAsia"/>
                <w:color w:val="auto"/>
                <w:highlight w:val="none"/>
                <w:lang w:eastAsia="zh-CN"/>
              </w:rPr>
              <w:t>布袋</w:t>
            </w:r>
            <w:r>
              <w:rPr>
                <w:rFonts w:hint="eastAsia"/>
                <w:color w:val="auto"/>
                <w:highlight w:val="none"/>
              </w:rPr>
              <w:t>除尘器处理后无组织排放。移动式</w:t>
            </w:r>
            <w:r>
              <w:rPr>
                <w:rFonts w:hint="eastAsia"/>
                <w:color w:val="auto"/>
                <w:highlight w:val="none"/>
                <w:lang w:eastAsia="zh-CN"/>
              </w:rPr>
              <w:t>布袋</w:t>
            </w:r>
            <w:r>
              <w:rPr>
                <w:rFonts w:hint="eastAsia"/>
                <w:color w:val="auto"/>
                <w:highlight w:val="none"/>
              </w:rPr>
              <w:t>除尘器收集效率为90%、除尘效率</w:t>
            </w:r>
            <w:r>
              <w:rPr>
                <w:rFonts w:hint="eastAsia"/>
                <w:color w:val="auto"/>
                <w:highlight w:val="none"/>
                <w:lang w:eastAsia="zh-CN"/>
              </w:rPr>
              <w:t>以</w:t>
            </w:r>
            <w:r>
              <w:rPr>
                <w:rFonts w:hint="eastAsia"/>
                <w:color w:val="auto"/>
                <w:highlight w:val="none"/>
              </w:rPr>
              <w:t>90%</w:t>
            </w:r>
            <w:r>
              <w:rPr>
                <w:rFonts w:hint="eastAsia"/>
                <w:color w:val="auto"/>
                <w:highlight w:val="none"/>
                <w:lang w:eastAsia="zh-CN"/>
              </w:rPr>
              <w:t>计</w:t>
            </w:r>
            <w:r>
              <w:rPr>
                <w:rFonts w:hint="eastAsia"/>
                <w:color w:val="auto"/>
                <w:highlight w:val="none"/>
              </w:rPr>
              <w:t>，则</w:t>
            </w:r>
            <w:r>
              <w:rPr>
                <w:rFonts w:hint="eastAsia"/>
                <w:color w:val="auto"/>
                <w:highlight w:val="none"/>
                <w:lang w:eastAsia="zh-CN"/>
              </w:rPr>
              <w:t>经处理后</w:t>
            </w:r>
            <w:r>
              <w:rPr>
                <w:rFonts w:hint="eastAsia"/>
                <w:color w:val="auto"/>
                <w:highlight w:val="none"/>
              </w:rPr>
              <w:t>板材下料、</w:t>
            </w:r>
            <w:r>
              <w:rPr>
                <w:rFonts w:hint="eastAsia"/>
                <w:color w:val="auto"/>
                <w:highlight w:val="none"/>
                <w:lang w:val="en-US" w:eastAsia="zh-CN"/>
              </w:rPr>
              <w:t>木加工</w:t>
            </w:r>
            <w:r>
              <w:rPr>
                <w:rFonts w:hint="eastAsia"/>
                <w:color w:val="auto"/>
                <w:highlight w:val="none"/>
              </w:rPr>
              <w:t>工序无组织颗粒物排放量为0.00</w:t>
            </w:r>
            <w:r>
              <w:rPr>
                <w:rFonts w:hint="eastAsia"/>
                <w:color w:val="auto"/>
                <w:highlight w:val="none"/>
                <w:lang w:val="en-US" w:eastAsia="zh-CN"/>
              </w:rPr>
              <w:t>29</w:t>
            </w:r>
            <w:r>
              <w:rPr>
                <w:rFonts w:hint="eastAsia"/>
                <w:color w:val="auto"/>
                <w:highlight w:val="none"/>
              </w:rPr>
              <w:t>t/a</w:t>
            </w:r>
            <w:r>
              <w:rPr>
                <w:rFonts w:hint="eastAsia"/>
                <w:color w:val="auto"/>
                <w:highlight w:val="none"/>
                <w:lang w:val="en-US" w:eastAsia="zh-CN"/>
              </w:rPr>
              <w:t>。</w:t>
            </w:r>
          </w:p>
          <w:p w14:paraId="44561B92">
            <w:pPr>
              <w:pStyle w:val="38"/>
              <w:bidi w:val="0"/>
              <w:rPr>
                <w:rFonts w:hint="eastAsia"/>
                <w:color w:val="auto"/>
                <w:highlight w:val="none"/>
                <w:lang w:val="en-US" w:eastAsia="zh-CN"/>
              </w:rPr>
            </w:pPr>
            <w:r>
              <w:rPr>
                <w:rFonts w:hint="eastAsia"/>
                <w:color w:val="auto"/>
                <w:highlight w:val="none"/>
                <w:lang w:val="en-US" w:eastAsia="zh-CN"/>
              </w:rPr>
              <w:t>③钢管切割废气</w:t>
            </w:r>
          </w:p>
          <w:p w14:paraId="57C3022C">
            <w:pPr>
              <w:pStyle w:val="38"/>
              <w:bidi w:val="0"/>
              <w:rPr>
                <w:rFonts w:hint="eastAsia"/>
                <w:color w:val="auto"/>
                <w:highlight w:val="none"/>
                <w:lang w:val="en-US" w:eastAsia="zh-CN"/>
              </w:rPr>
            </w:pPr>
            <w:r>
              <w:rPr>
                <w:rFonts w:hint="eastAsia"/>
                <w:color w:val="auto"/>
                <w:highlight w:val="none"/>
                <w:lang w:val="en-US" w:eastAsia="zh-CN"/>
              </w:rPr>
              <w:t>项目钢管在切割过程会产生少量颗粒物。参考《排放源统计调查产排污核算方法和系数手册》（2021年6月9日）中金属家具行业系数手册切割颗粒物产生量为1.1-1.5千克/吨-原料。项目钢管用量为28.8t/a，切割部位约10%，颗粒物系数保守计算取上限，则项目钢管切割颗粒物的产生量0.0044t/a。参考《未纳入排污许可管理行业适用的排污系数、物料衡算方法（试行）》（原环境保护部公告2017年81号）中的47锯材加工业，车间不装除尘设备的带锯制材产生的工业粉尘重力沉降率约为85%，而金属烟尘的比重大于木料粉尘，更易沉降，主要沉降在车间内设备附近2m范围内，本项目钢管切割颗粒物的沉降率按85%计，则钢管切割颗粒物无组织排放量约为0.0006t/a，自然沉降量约0.0038t/a，由工人每日下班进行清扫收集。</w:t>
            </w:r>
          </w:p>
          <w:p w14:paraId="6B20ED0B">
            <w:pPr>
              <w:pStyle w:val="38"/>
              <w:bidi w:val="0"/>
              <w:rPr>
                <w:rFonts w:hint="eastAsia"/>
                <w:color w:val="auto"/>
                <w:highlight w:val="none"/>
                <w:lang w:val="en-US" w:eastAsia="zh-CN"/>
              </w:rPr>
            </w:pPr>
            <w:r>
              <w:rPr>
                <w:rFonts w:hint="eastAsia"/>
                <w:color w:val="auto"/>
                <w:highlight w:val="none"/>
                <w:lang w:val="en-US" w:eastAsia="zh-CN"/>
              </w:rPr>
              <w:t>④钢管焊接废气</w:t>
            </w:r>
          </w:p>
          <w:p w14:paraId="27E8702E">
            <w:pPr>
              <w:pStyle w:val="38"/>
              <w:bidi w:val="0"/>
              <w:rPr>
                <w:rFonts w:hint="eastAsia" w:eastAsia="宋体"/>
                <w:color w:val="auto"/>
                <w:highlight w:val="none"/>
                <w:lang w:val="en-US" w:eastAsia="zh-CN"/>
              </w:rPr>
            </w:pPr>
            <w:r>
              <w:rPr>
                <w:rFonts w:hint="eastAsia"/>
                <w:color w:val="auto"/>
                <w:highlight w:val="none"/>
                <w:lang w:val="en-US" w:eastAsia="zh-CN"/>
              </w:rPr>
              <w:t>本项目采用二氧化碳保护焊接对钢管进行焊接成型。参考《排放源统计调查产排污核算方法和系数手册》（2021年6月9日）中33-37，431-434机械行业系数手册，二氧化碳保护焊（实芯焊丝）工艺对应的颗粒物产污系数9.19kg/t-原料。根据建设单位提供资料，本项目焊丝年用量为0.1t/a，则焊接颗粒物的产生量为0.0009t/a。项目焊接烟尘经移动焊烟净化器处理后无组织排放，移动式焊烟净化器</w:t>
            </w:r>
            <w:r>
              <w:rPr>
                <w:rFonts w:hint="eastAsia"/>
                <w:color w:val="auto"/>
                <w:highlight w:val="none"/>
              </w:rPr>
              <w:t>收集效率为90%、除尘效率</w:t>
            </w:r>
            <w:r>
              <w:rPr>
                <w:rFonts w:hint="eastAsia"/>
                <w:color w:val="auto"/>
                <w:highlight w:val="none"/>
                <w:lang w:eastAsia="zh-CN"/>
              </w:rPr>
              <w:t>以</w:t>
            </w:r>
            <w:r>
              <w:rPr>
                <w:rFonts w:hint="eastAsia"/>
                <w:color w:val="auto"/>
                <w:highlight w:val="none"/>
              </w:rPr>
              <w:t>90%</w:t>
            </w:r>
            <w:r>
              <w:rPr>
                <w:rFonts w:hint="eastAsia"/>
                <w:color w:val="auto"/>
                <w:highlight w:val="none"/>
                <w:lang w:eastAsia="zh-CN"/>
              </w:rPr>
              <w:t>计，</w:t>
            </w:r>
            <w:r>
              <w:rPr>
                <w:rFonts w:hint="eastAsia"/>
                <w:color w:val="auto"/>
                <w:highlight w:val="none"/>
              </w:rPr>
              <w:t>则</w:t>
            </w:r>
            <w:r>
              <w:rPr>
                <w:rFonts w:hint="eastAsia"/>
                <w:color w:val="auto"/>
                <w:highlight w:val="none"/>
                <w:lang w:eastAsia="zh-CN"/>
              </w:rPr>
              <w:t>经处理后钢管焊接</w:t>
            </w:r>
            <w:r>
              <w:rPr>
                <w:rFonts w:hint="eastAsia"/>
                <w:color w:val="auto"/>
                <w:highlight w:val="none"/>
              </w:rPr>
              <w:t>工序无组织颗粒物排放量为</w:t>
            </w:r>
            <w:r>
              <w:rPr>
                <w:rFonts w:hint="eastAsia"/>
                <w:color w:val="auto"/>
                <w:highlight w:val="none"/>
                <w:lang w:val="en-US" w:eastAsia="zh-CN"/>
              </w:rPr>
              <w:t>0.0002</w:t>
            </w:r>
            <w:r>
              <w:rPr>
                <w:rFonts w:hint="eastAsia"/>
                <w:color w:val="auto"/>
                <w:highlight w:val="none"/>
              </w:rPr>
              <w:t>t/a</w:t>
            </w:r>
            <w:r>
              <w:rPr>
                <w:rFonts w:hint="eastAsia"/>
                <w:color w:val="auto"/>
                <w:highlight w:val="none"/>
                <w:lang w:val="en-US" w:eastAsia="zh-CN"/>
              </w:rPr>
              <w:t>。</w:t>
            </w:r>
          </w:p>
          <w:p w14:paraId="5EE8CDD3">
            <w:pPr>
              <w:pStyle w:val="38"/>
              <w:ind w:firstLine="422"/>
              <w:rPr>
                <w:rFonts w:hint="default"/>
                <w:b/>
                <w:bCs/>
                <w:color w:val="auto"/>
                <w:highlight w:val="none"/>
                <w:lang w:val="en-US" w:eastAsia="zh-CN"/>
              </w:rPr>
            </w:pPr>
            <w:r>
              <w:rPr>
                <w:rFonts w:hint="eastAsia"/>
                <w:b/>
                <w:bCs/>
                <w:color w:val="auto"/>
                <w:highlight w:val="none"/>
                <w:lang w:val="en-US" w:eastAsia="zh-CN"/>
              </w:rPr>
              <w:t>3、防治措施可行性分析</w:t>
            </w:r>
          </w:p>
          <w:p w14:paraId="125A25FF">
            <w:pPr>
              <w:pStyle w:val="38"/>
              <w:bidi w:val="0"/>
              <w:rPr>
                <w:rFonts w:hint="eastAsia"/>
                <w:color w:val="auto"/>
                <w:highlight w:val="none"/>
                <w:lang w:val="en-US" w:eastAsia="zh-CN"/>
              </w:rPr>
            </w:pPr>
            <w:r>
              <w:rPr>
                <w:rFonts w:hint="eastAsia"/>
                <w:color w:val="auto"/>
                <w:highlight w:val="none"/>
                <w:lang w:val="en-US" w:eastAsia="zh-CN"/>
              </w:rPr>
              <w:t>布袋（滤袋）除尘器适用于捕集细小、干燥、非纤维性颗粒物。滤袋采用纺织的滤布或非纺织的毡制成，利用纤维织物的过滤作用对含尘气体进行过滤，当含尘气体进入袋式除尘器后，颗粒大、比重大的颗粒物，由于重力的作用沉降下来，落入灰斗，含有较细小颗粒物的气体在通过滤料时，颗粒物被阻留，使气体得到净化。</w:t>
            </w:r>
          </w:p>
          <w:p w14:paraId="5FC326C2">
            <w:pPr>
              <w:pStyle w:val="38"/>
              <w:bidi w:val="0"/>
              <w:rPr>
                <w:rFonts w:hint="eastAsia"/>
                <w:lang w:val="en-US" w:eastAsia="zh-CN"/>
              </w:rPr>
            </w:pPr>
            <w:r>
              <w:rPr>
                <w:rFonts w:hint="eastAsia"/>
                <w:lang w:val="en-US" w:eastAsia="zh-CN"/>
              </w:rPr>
              <w:t>活性炭吸附装置是一种常用的吸附方法，吸附法主要利用高孔隙率、高比表面积的吸附剂，由物理性吸附（可逆反应）或化学性键结（不可逆反应）作用，将有机气体分子自废气中分离，以达成净化废气的目的。由于一般多采用物理性吸附，随操作时间之增加，吸附剂将逐渐趋于饱和现象，此时则须进行脱附再生或吸附剂更换工作。在有机废气处理过程中，活性炭常被用来吸附烷经、烯经、芳香经、酮、醛、氯代经、酯以及挥发性有机化合物（VOCs）。活性炭是由各种含碳物质（如木材、泥煤、果核、椰壳等原料）在高温下炭化后，再用水蒸气或化学药品（如氯化锌、氯化锰、氯化钙和磷酸等）进行活化处理，然后制成的孔隙十分丰富的吸附剂，碘值≥800mg/g，温度为常温，比表面积一般在700~1500m</w:t>
            </w:r>
            <w:r>
              <w:rPr>
                <w:rFonts w:hint="eastAsia"/>
                <w:vertAlign w:val="superscript"/>
                <w:lang w:val="en-US" w:eastAsia="zh-CN"/>
              </w:rPr>
              <w:t>2</w:t>
            </w:r>
            <w:r>
              <w:rPr>
                <w:rFonts w:hint="eastAsia"/>
                <w:lang w:val="en-US" w:eastAsia="zh-CN"/>
              </w:rPr>
              <w:t>/g范围内，具有优良的吸附能力。</w:t>
            </w:r>
          </w:p>
          <w:p w14:paraId="4CCAEB20">
            <w:pPr>
              <w:pStyle w:val="38"/>
              <w:bidi w:val="0"/>
            </w:pPr>
            <w:r>
              <w:rPr>
                <w:rFonts w:hint="eastAsia"/>
                <w:color w:val="FF0000"/>
                <w:lang w:val="en-US" w:eastAsia="zh-CN"/>
              </w:rPr>
              <w:t>根据《国家污染防治技术指导目录（2024年，限制类和淘汰类）》（公示稿），活性炭吸附技术不属于国家污染防治技术指导目录中规定的限制类和淘汰类。根据《</w:t>
            </w:r>
            <w:r>
              <w:rPr>
                <w:rFonts w:hint="eastAsia"/>
                <w:color w:val="FF0000"/>
              </w:rPr>
              <w:t>2025年国家污染防治技术指导目录</w:t>
            </w:r>
            <w:r>
              <w:rPr>
                <w:rFonts w:hint="eastAsia"/>
                <w:color w:val="FF0000"/>
                <w:lang w:val="en-US" w:eastAsia="zh-CN"/>
              </w:rPr>
              <w:t>》（</w:t>
            </w:r>
            <w:r>
              <w:rPr>
                <w:rFonts w:hint="eastAsia"/>
                <w:color w:val="FF0000"/>
              </w:rPr>
              <w:t>环办科财函〔2025〕197号</w:t>
            </w:r>
            <w:r>
              <w:rPr>
                <w:rFonts w:hint="eastAsia"/>
                <w:color w:val="FF0000"/>
                <w:lang w:val="en-US" w:eastAsia="zh-CN"/>
              </w:rPr>
              <w:t>），活性炭吸附技术不属于其中规定低效类技术。</w:t>
            </w:r>
          </w:p>
          <w:p w14:paraId="1F8ACB21">
            <w:pPr>
              <w:pStyle w:val="38"/>
              <w:bidi w:val="0"/>
              <w:rPr>
                <w:rFonts w:hint="eastAsia"/>
                <w:color w:val="auto"/>
                <w:highlight w:val="none"/>
                <w:lang w:eastAsia="zh-CN"/>
              </w:rPr>
            </w:pPr>
            <w:r>
              <w:rPr>
                <w:rFonts w:hint="eastAsia"/>
                <w:color w:val="auto"/>
                <w:highlight w:val="none"/>
                <w:lang w:val="en-US" w:eastAsia="zh-CN"/>
              </w:rPr>
              <w:t>根据《排污许可证申请与核发技术规范 家具制造工业》</w:t>
            </w:r>
            <w:r>
              <w:rPr>
                <w:rFonts w:hint="eastAsia"/>
                <w:color w:val="auto"/>
                <w:highlight w:val="none"/>
                <w:lang w:val="en-US" w:eastAsia="zh-CN"/>
              </w:rPr>
              <w:fldChar w:fldCharType="begin"/>
            </w:r>
            <w:r>
              <w:rPr>
                <w:rFonts w:hint="eastAsia"/>
                <w:color w:val="auto"/>
                <w:highlight w:val="none"/>
                <w:lang w:val="en-US" w:eastAsia="zh-CN"/>
              </w:rPr>
              <w:instrText xml:space="preserve"> HYPERLINK "https://www.mee.gov.cn/ywgz/fgbz/bz/bzwb/pwxk/201906/W020190606477512248323.pdf" </w:instrText>
            </w:r>
            <w:r>
              <w:rPr>
                <w:rFonts w:hint="eastAsia"/>
                <w:color w:val="auto"/>
                <w:highlight w:val="none"/>
                <w:lang w:val="en-US" w:eastAsia="zh-CN"/>
              </w:rPr>
              <w:fldChar w:fldCharType="separate"/>
            </w:r>
            <w:r>
              <w:rPr>
                <w:rFonts w:hint="eastAsia"/>
                <w:color w:val="auto"/>
                <w:highlight w:val="none"/>
                <w:lang w:val="en-US" w:eastAsia="zh-CN"/>
              </w:rPr>
              <w:t>（HJ 1027—2019）</w:t>
            </w:r>
            <w:r>
              <w:rPr>
                <w:rFonts w:hint="eastAsia"/>
                <w:color w:val="auto"/>
                <w:highlight w:val="none"/>
                <w:lang w:val="en-US" w:eastAsia="zh-CN"/>
              </w:rPr>
              <w:fldChar w:fldCharType="end"/>
            </w:r>
            <w:r>
              <w:rPr>
                <w:rFonts w:hint="eastAsia"/>
                <w:color w:val="auto"/>
                <w:highlight w:val="none"/>
                <w:lang w:val="en-US" w:eastAsia="zh-CN"/>
              </w:rPr>
              <w:t>中废气治理可行技术可知，本项目采用的布袋除尘器、活性炭吸附装置均属于可行技术，能够满足本项目废气污染物处理的需要。</w:t>
            </w:r>
          </w:p>
          <w:p w14:paraId="65D3A2BD">
            <w:pPr>
              <w:pStyle w:val="38"/>
              <w:bidi w:val="0"/>
              <w:rPr>
                <w:rFonts w:hint="default"/>
                <w:b/>
                <w:bCs/>
                <w:color w:val="auto"/>
                <w:highlight w:val="none"/>
                <w:lang w:val="en-US" w:eastAsia="zh-CN"/>
              </w:rPr>
            </w:pPr>
            <w:r>
              <w:rPr>
                <w:rFonts w:hint="eastAsia"/>
                <w:b/>
                <w:bCs/>
                <w:color w:val="auto"/>
                <w:highlight w:val="none"/>
                <w:lang w:val="en-US" w:eastAsia="zh-CN"/>
              </w:rPr>
              <w:t>4、污染物排放达标性分析</w:t>
            </w:r>
          </w:p>
          <w:p w14:paraId="282E8AF8">
            <w:pPr>
              <w:pStyle w:val="38"/>
              <w:bidi w:val="0"/>
              <w:rPr>
                <w:rFonts w:hint="eastAsia"/>
                <w:color w:val="auto"/>
                <w:highlight w:val="none"/>
                <w:lang w:eastAsia="zh-CN"/>
              </w:rPr>
            </w:pPr>
            <w:r>
              <w:rPr>
                <w:rFonts w:hint="eastAsia"/>
                <w:color w:val="auto"/>
                <w:highlight w:val="none"/>
                <w:lang w:eastAsia="zh-CN"/>
              </w:rPr>
              <w:t>本项目废气经采取针对性措施处理后各项污染物排放情况见下表。</w:t>
            </w:r>
          </w:p>
          <w:p w14:paraId="5CC1F49A">
            <w:pPr>
              <w:pStyle w:val="39"/>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表25 项目废气排放源基本情况一览表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0"/>
              <w:gridCol w:w="893"/>
              <w:gridCol w:w="1089"/>
              <w:gridCol w:w="835"/>
              <w:gridCol w:w="1054"/>
              <w:gridCol w:w="1061"/>
              <w:gridCol w:w="2498"/>
            </w:tblGrid>
            <w:tr w14:paraId="50605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4" w:type="pct"/>
                  <w:noWrap w:val="0"/>
                  <w:vAlign w:val="center"/>
                </w:tcPr>
                <w:p w14:paraId="6AD46233">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排放源</w:t>
                  </w:r>
                </w:p>
              </w:tc>
              <w:tc>
                <w:tcPr>
                  <w:tcW w:w="510" w:type="pct"/>
                  <w:noWrap w:val="0"/>
                  <w:vAlign w:val="center"/>
                </w:tcPr>
                <w:p w14:paraId="506BAE32">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污染物种类</w:t>
                  </w:r>
                </w:p>
              </w:tc>
              <w:tc>
                <w:tcPr>
                  <w:tcW w:w="622" w:type="pct"/>
                  <w:noWrap w:val="0"/>
                  <w:vAlign w:val="center"/>
                </w:tcPr>
                <w:p w14:paraId="20E082B7">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治理设施</w:t>
                  </w:r>
                </w:p>
              </w:tc>
              <w:tc>
                <w:tcPr>
                  <w:tcW w:w="477" w:type="pct"/>
                  <w:noWrap w:val="0"/>
                  <w:vAlign w:val="center"/>
                </w:tcPr>
                <w:p w14:paraId="303B5CAB">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排放量</w:t>
                  </w:r>
                </w:p>
                <w:p w14:paraId="1D8DC175">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t/a</w:t>
                  </w:r>
                </w:p>
              </w:tc>
              <w:tc>
                <w:tcPr>
                  <w:tcW w:w="602" w:type="pct"/>
                  <w:noWrap w:val="0"/>
                  <w:vAlign w:val="center"/>
                </w:tcPr>
                <w:p w14:paraId="6B6731AE">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排放浓度mg/m3</w:t>
                  </w:r>
                </w:p>
              </w:tc>
              <w:tc>
                <w:tcPr>
                  <w:tcW w:w="606" w:type="pct"/>
                  <w:noWrap w:val="0"/>
                  <w:vAlign w:val="center"/>
                </w:tcPr>
                <w:p w14:paraId="08EF7995">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排放速率</w:t>
                  </w:r>
                </w:p>
                <w:p w14:paraId="236133EA">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kg/h</w:t>
                  </w:r>
                </w:p>
              </w:tc>
              <w:tc>
                <w:tcPr>
                  <w:tcW w:w="1426" w:type="pct"/>
                  <w:noWrap w:val="0"/>
                  <w:vAlign w:val="center"/>
                </w:tcPr>
                <w:p w14:paraId="70664128">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排放标准</w:t>
                  </w:r>
                </w:p>
              </w:tc>
            </w:tr>
            <w:tr w14:paraId="48E4E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754" w:type="pct"/>
                  <w:noWrap w:val="0"/>
                  <w:vAlign w:val="center"/>
                </w:tcPr>
                <w:p w14:paraId="650C7DAC">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板材封边工序排气筒P1</w:t>
                  </w:r>
                </w:p>
              </w:tc>
              <w:tc>
                <w:tcPr>
                  <w:tcW w:w="510" w:type="pct"/>
                  <w:noWrap w:val="0"/>
                  <w:vAlign w:val="center"/>
                </w:tcPr>
                <w:p w14:paraId="4CD3D8F9">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有组织VOCs</w:t>
                  </w:r>
                </w:p>
              </w:tc>
              <w:tc>
                <w:tcPr>
                  <w:tcW w:w="622" w:type="pct"/>
                  <w:noWrap w:val="0"/>
                  <w:vAlign w:val="center"/>
                </w:tcPr>
                <w:p w14:paraId="53C818DE">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二级</w:t>
                  </w:r>
                  <w:r>
                    <w:rPr>
                      <w:rFonts w:hint="eastAsia" w:ascii="Times New Roman" w:hAnsi="Times New Roman" w:eastAsia="宋体" w:cs="Times New Roman"/>
                      <w:color w:val="auto"/>
                      <w:sz w:val="20"/>
                      <w:szCs w:val="20"/>
                      <w:highlight w:val="none"/>
                      <w:lang w:val="en-US" w:eastAsia="zh-CN"/>
                    </w:rPr>
                    <w:t>活性炭吸附装置</w:t>
                  </w:r>
                </w:p>
              </w:tc>
              <w:tc>
                <w:tcPr>
                  <w:tcW w:w="477" w:type="pct"/>
                  <w:noWrap w:val="0"/>
                  <w:vAlign w:val="center"/>
                </w:tcPr>
                <w:p w14:paraId="05925327">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0.0027</w:t>
                  </w:r>
                </w:p>
              </w:tc>
              <w:tc>
                <w:tcPr>
                  <w:tcW w:w="602" w:type="pct"/>
                  <w:noWrap w:val="0"/>
                  <w:vAlign w:val="center"/>
                </w:tcPr>
                <w:p w14:paraId="3449935C">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2.25</w:t>
                  </w:r>
                </w:p>
              </w:tc>
              <w:tc>
                <w:tcPr>
                  <w:tcW w:w="606" w:type="pct"/>
                  <w:noWrap w:val="0"/>
                  <w:vAlign w:val="center"/>
                </w:tcPr>
                <w:p w14:paraId="0E4EDBC8">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0.0045</w:t>
                  </w:r>
                </w:p>
              </w:tc>
              <w:tc>
                <w:tcPr>
                  <w:tcW w:w="1426" w:type="pct"/>
                  <w:noWrap w:val="0"/>
                  <w:vAlign w:val="center"/>
                </w:tcPr>
                <w:p w14:paraId="0760E1BF">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《挥发性有机物排放标准 第3部分：家具制造业》（DB37/2801.3-2017）表1中</w:t>
                  </w:r>
                  <w:r>
                    <w:rPr>
                      <w:rFonts w:hint="eastAsia" w:ascii="Times New Roman" w:hAnsi="Times New Roman" w:eastAsia="宋体" w:cs="Times New Roman"/>
                      <w:color w:val="auto"/>
                      <w:sz w:val="20"/>
                      <w:szCs w:val="20"/>
                      <w:highlight w:val="none"/>
                      <w:lang w:val="en-US" w:eastAsia="zh-CN"/>
                    </w:rPr>
                    <w:fldChar w:fldCharType="begin"/>
                  </w:r>
                  <w:r>
                    <w:rPr>
                      <w:rFonts w:hint="eastAsia" w:ascii="Times New Roman" w:hAnsi="Times New Roman" w:eastAsia="宋体" w:cs="Times New Roman"/>
                      <w:color w:val="auto"/>
                      <w:sz w:val="20"/>
                      <w:szCs w:val="20"/>
                      <w:highlight w:val="none"/>
                      <w:lang w:val="en-US" w:eastAsia="zh-CN"/>
                    </w:rPr>
                    <w:instrText xml:space="preserve"> = 2 \* ROMAN \* MERGEFORMAT </w:instrText>
                  </w:r>
                  <w:r>
                    <w:rPr>
                      <w:rFonts w:hint="eastAsia" w:ascii="Times New Roman" w:hAnsi="Times New Roman" w:eastAsia="宋体" w:cs="Times New Roman"/>
                      <w:color w:val="auto"/>
                      <w:sz w:val="20"/>
                      <w:szCs w:val="20"/>
                      <w:highlight w:val="none"/>
                      <w:lang w:val="en-US" w:eastAsia="zh-CN"/>
                    </w:rPr>
                    <w:fldChar w:fldCharType="separate"/>
                  </w:r>
                  <w:r>
                    <w:rPr>
                      <w:rFonts w:hint="eastAsia" w:ascii="Times New Roman" w:hAnsi="Times New Roman" w:eastAsia="宋体" w:cs="Times New Roman"/>
                      <w:color w:val="auto"/>
                      <w:sz w:val="20"/>
                      <w:szCs w:val="20"/>
                      <w:highlight w:val="none"/>
                      <w:lang w:val="en-US" w:eastAsia="zh-CN"/>
                    </w:rPr>
                    <w:t>II</w:t>
                  </w:r>
                  <w:r>
                    <w:rPr>
                      <w:rFonts w:hint="eastAsia" w:ascii="Times New Roman" w:hAnsi="Times New Roman" w:eastAsia="宋体" w:cs="Times New Roman"/>
                      <w:color w:val="auto"/>
                      <w:sz w:val="20"/>
                      <w:szCs w:val="20"/>
                      <w:highlight w:val="none"/>
                      <w:lang w:val="en-US" w:eastAsia="zh-CN"/>
                    </w:rPr>
                    <w:fldChar w:fldCharType="end"/>
                  </w:r>
                  <w:r>
                    <w:rPr>
                      <w:rFonts w:hint="eastAsia" w:ascii="Times New Roman" w:hAnsi="Times New Roman" w:eastAsia="宋体" w:cs="Times New Roman"/>
                      <w:color w:val="auto"/>
                      <w:sz w:val="20"/>
                      <w:szCs w:val="20"/>
                      <w:highlight w:val="none"/>
                      <w:lang w:val="en-US" w:eastAsia="zh-CN"/>
                    </w:rPr>
                    <w:t>时段要求</w:t>
                  </w:r>
                </w:p>
              </w:tc>
            </w:tr>
            <w:tr w14:paraId="5615C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754" w:type="pct"/>
                  <w:noWrap w:val="0"/>
                  <w:vAlign w:val="center"/>
                </w:tcPr>
                <w:p w14:paraId="181A7BFC">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板材封边工序未收集废气</w:t>
                  </w:r>
                </w:p>
              </w:tc>
              <w:tc>
                <w:tcPr>
                  <w:tcW w:w="510" w:type="pct"/>
                  <w:noWrap w:val="0"/>
                  <w:vAlign w:val="center"/>
                </w:tcPr>
                <w:p w14:paraId="7F3A4D0C">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无组织VOCs</w:t>
                  </w:r>
                </w:p>
              </w:tc>
              <w:tc>
                <w:tcPr>
                  <w:tcW w:w="622" w:type="pct"/>
                  <w:noWrap w:val="0"/>
                  <w:vAlign w:val="center"/>
                </w:tcPr>
                <w:p w14:paraId="2360F4D5">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车间密闭</w:t>
                  </w:r>
                </w:p>
              </w:tc>
              <w:tc>
                <w:tcPr>
                  <w:tcW w:w="477" w:type="pct"/>
                  <w:noWrap w:val="0"/>
                  <w:vAlign w:val="center"/>
                </w:tcPr>
                <w:p w14:paraId="7B56971D">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0.0015</w:t>
                  </w:r>
                </w:p>
              </w:tc>
              <w:tc>
                <w:tcPr>
                  <w:tcW w:w="602" w:type="pct"/>
                  <w:noWrap w:val="0"/>
                  <w:vAlign w:val="center"/>
                </w:tcPr>
                <w:p w14:paraId="0A56F145">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＜2.0</w:t>
                  </w:r>
                </w:p>
              </w:tc>
              <w:tc>
                <w:tcPr>
                  <w:tcW w:w="606" w:type="pct"/>
                  <w:noWrap w:val="0"/>
                  <w:vAlign w:val="center"/>
                </w:tcPr>
                <w:p w14:paraId="478B21FF">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c>
                <w:tcPr>
                  <w:tcW w:w="1426" w:type="pct"/>
                  <w:noWrap w:val="0"/>
                  <w:vAlign w:val="center"/>
                </w:tcPr>
                <w:p w14:paraId="42764699">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《挥发性有机物排放标准 第3部分：家具制造业》（DB37/2801.3-2017）表2厂界要求</w:t>
                  </w:r>
                </w:p>
              </w:tc>
            </w:tr>
            <w:tr w14:paraId="10999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4" w:type="pct"/>
                  <w:noWrap w:val="0"/>
                  <w:vAlign w:val="center"/>
                </w:tcPr>
                <w:p w14:paraId="1EA9D83A">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板材下料、木加工工序</w:t>
                  </w:r>
                </w:p>
              </w:tc>
              <w:tc>
                <w:tcPr>
                  <w:tcW w:w="510" w:type="pct"/>
                  <w:noWrap w:val="0"/>
                  <w:vAlign w:val="center"/>
                </w:tcPr>
                <w:p w14:paraId="59295354">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无组织颗粒物</w:t>
                  </w:r>
                </w:p>
              </w:tc>
              <w:tc>
                <w:tcPr>
                  <w:tcW w:w="622" w:type="pct"/>
                  <w:noWrap w:val="0"/>
                  <w:vAlign w:val="center"/>
                </w:tcPr>
                <w:p w14:paraId="0142D1DD">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移动式布袋除尘器</w:t>
                  </w:r>
                </w:p>
              </w:tc>
              <w:tc>
                <w:tcPr>
                  <w:tcW w:w="477" w:type="pct"/>
                  <w:noWrap w:val="0"/>
                  <w:vAlign w:val="center"/>
                </w:tcPr>
                <w:p w14:paraId="2FEF3965">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0.0029</w:t>
                  </w:r>
                </w:p>
              </w:tc>
              <w:tc>
                <w:tcPr>
                  <w:tcW w:w="602" w:type="pct"/>
                  <w:noWrap w:val="0"/>
                  <w:vAlign w:val="center"/>
                </w:tcPr>
                <w:p w14:paraId="5230C09C">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＜1.0</w:t>
                  </w:r>
                </w:p>
              </w:tc>
              <w:tc>
                <w:tcPr>
                  <w:tcW w:w="606" w:type="pct"/>
                  <w:noWrap w:val="0"/>
                  <w:vAlign w:val="center"/>
                </w:tcPr>
                <w:p w14:paraId="1F69AC75">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c>
                <w:tcPr>
                  <w:tcW w:w="1426" w:type="pct"/>
                  <w:vMerge w:val="restart"/>
                  <w:noWrap w:val="0"/>
                  <w:vAlign w:val="center"/>
                </w:tcPr>
                <w:p w14:paraId="4FB7B512">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《大气污染物综合排放标准》（GB16297-1996）表2要求</w:t>
                  </w:r>
                </w:p>
              </w:tc>
            </w:tr>
            <w:tr w14:paraId="68A7C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4" w:type="pct"/>
                  <w:noWrap w:val="0"/>
                  <w:vAlign w:val="center"/>
                </w:tcPr>
                <w:p w14:paraId="6601537A">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钢管切割</w:t>
                  </w:r>
                </w:p>
              </w:tc>
              <w:tc>
                <w:tcPr>
                  <w:tcW w:w="510" w:type="pct"/>
                  <w:noWrap w:val="0"/>
                  <w:vAlign w:val="center"/>
                </w:tcPr>
                <w:p w14:paraId="563DB16B">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无组织颗粒物</w:t>
                  </w:r>
                </w:p>
              </w:tc>
              <w:tc>
                <w:tcPr>
                  <w:tcW w:w="622" w:type="pct"/>
                  <w:shd w:val="clear" w:color="auto" w:fill="auto"/>
                  <w:noWrap w:val="0"/>
                  <w:vAlign w:val="center"/>
                </w:tcPr>
                <w:p w14:paraId="760204B3">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厂房阻隔及沉降</w:t>
                  </w:r>
                </w:p>
              </w:tc>
              <w:tc>
                <w:tcPr>
                  <w:tcW w:w="477" w:type="pct"/>
                  <w:shd w:val="clear" w:color="auto" w:fill="auto"/>
                  <w:noWrap w:val="0"/>
                  <w:vAlign w:val="center"/>
                </w:tcPr>
                <w:p w14:paraId="79F3D4BC">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0.0006</w:t>
                  </w:r>
                </w:p>
              </w:tc>
              <w:tc>
                <w:tcPr>
                  <w:tcW w:w="602" w:type="pct"/>
                  <w:shd w:val="clear" w:color="auto" w:fill="auto"/>
                  <w:noWrap w:val="0"/>
                  <w:vAlign w:val="center"/>
                </w:tcPr>
                <w:p w14:paraId="0A7C454F">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＜1.0</w:t>
                  </w:r>
                </w:p>
              </w:tc>
              <w:tc>
                <w:tcPr>
                  <w:tcW w:w="606" w:type="pct"/>
                  <w:shd w:val="clear" w:color="auto" w:fill="auto"/>
                  <w:noWrap w:val="0"/>
                  <w:vAlign w:val="center"/>
                </w:tcPr>
                <w:p w14:paraId="29DC7569">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c>
                <w:tcPr>
                  <w:tcW w:w="1426" w:type="pct"/>
                  <w:vMerge w:val="continue"/>
                  <w:noWrap w:val="0"/>
                  <w:vAlign w:val="center"/>
                </w:tcPr>
                <w:p w14:paraId="6D9A44E9">
                  <w:pPr>
                    <w:pStyle w:val="41"/>
                    <w:jc w:val="center"/>
                    <w:rPr>
                      <w:rFonts w:hint="eastAsia" w:ascii="Times New Roman" w:hAnsi="Times New Roman" w:eastAsia="宋体" w:cs="Times New Roman"/>
                      <w:color w:val="auto"/>
                      <w:sz w:val="20"/>
                      <w:szCs w:val="20"/>
                      <w:highlight w:val="none"/>
                      <w:lang w:val="en-US" w:eastAsia="zh-CN"/>
                    </w:rPr>
                  </w:pPr>
                </w:p>
              </w:tc>
            </w:tr>
            <w:tr w14:paraId="6185A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4" w:type="pct"/>
                  <w:noWrap w:val="0"/>
                  <w:vAlign w:val="center"/>
                </w:tcPr>
                <w:p w14:paraId="3AEBE547">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钢管焊接</w:t>
                  </w:r>
                </w:p>
              </w:tc>
              <w:tc>
                <w:tcPr>
                  <w:tcW w:w="510" w:type="pct"/>
                  <w:noWrap w:val="0"/>
                  <w:vAlign w:val="center"/>
                </w:tcPr>
                <w:p w14:paraId="7543C898">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无组织颗粒物</w:t>
                  </w:r>
                </w:p>
              </w:tc>
              <w:tc>
                <w:tcPr>
                  <w:tcW w:w="622" w:type="pct"/>
                  <w:shd w:val="clear" w:color="auto" w:fill="auto"/>
                  <w:noWrap w:val="0"/>
                  <w:vAlign w:val="center"/>
                </w:tcPr>
                <w:p w14:paraId="17559180">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移动焊烟净化器</w:t>
                  </w:r>
                </w:p>
              </w:tc>
              <w:tc>
                <w:tcPr>
                  <w:tcW w:w="477" w:type="pct"/>
                  <w:shd w:val="clear" w:color="auto" w:fill="auto"/>
                  <w:noWrap w:val="0"/>
                  <w:vAlign w:val="center"/>
                </w:tcPr>
                <w:p w14:paraId="12518474">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0.0002</w:t>
                  </w:r>
                </w:p>
              </w:tc>
              <w:tc>
                <w:tcPr>
                  <w:tcW w:w="602" w:type="pct"/>
                  <w:shd w:val="clear" w:color="auto" w:fill="auto"/>
                  <w:noWrap w:val="0"/>
                  <w:vAlign w:val="center"/>
                </w:tcPr>
                <w:p w14:paraId="408D4FF3">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＜1.0</w:t>
                  </w:r>
                </w:p>
              </w:tc>
              <w:tc>
                <w:tcPr>
                  <w:tcW w:w="606" w:type="pct"/>
                  <w:shd w:val="clear" w:color="auto" w:fill="auto"/>
                  <w:noWrap w:val="0"/>
                  <w:vAlign w:val="center"/>
                </w:tcPr>
                <w:p w14:paraId="7029EB89">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c>
                <w:tcPr>
                  <w:tcW w:w="1426" w:type="pct"/>
                  <w:vMerge w:val="continue"/>
                  <w:noWrap w:val="0"/>
                  <w:vAlign w:val="center"/>
                </w:tcPr>
                <w:p w14:paraId="66CF44FB">
                  <w:pPr>
                    <w:pStyle w:val="41"/>
                    <w:jc w:val="center"/>
                    <w:rPr>
                      <w:rFonts w:hint="eastAsia" w:ascii="Times New Roman" w:hAnsi="Times New Roman" w:eastAsia="宋体" w:cs="Times New Roman"/>
                      <w:color w:val="auto"/>
                      <w:sz w:val="20"/>
                      <w:szCs w:val="20"/>
                      <w:highlight w:val="none"/>
                      <w:lang w:val="en-US" w:eastAsia="zh-CN"/>
                    </w:rPr>
                  </w:pPr>
                </w:p>
              </w:tc>
            </w:tr>
          </w:tbl>
          <w:p w14:paraId="59E3EA47">
            <w:pPr>
              <w:pStyle w:val="38"/>
              <w:bidi w:val="0"/>
              <w:rPr>
                <w:rFonts w:hint="eastAsia" w:eastAsia="宋体"/>
                <w:color w:val="auto"/>
                <w:highlight w:val="none"/>
                <w:lang w:val="en-US" w:eastAsia="zh-CN"/>
              </w:rPr>
            </w:pPr>
            <w:r>
              <w:rPr>
                <w:rFonts w:hint="eastAsia"/>
                <w:color w:val="auto"/>
                <w:highlight w:val="none"/>
                <w:lang w:eastAsia="zh-CN"/>
              </w:rPr>
              <w:t>综上分析，项目有组织排气筒</w:t>
            </w:r>
            <w:r>
              <w:rPr>
                <w:rFonts w:hint="eastAsia"/>
                <w:color w:val="auto"/>
                <w:highlight w:val="none"/>
                <w:lang w:val="en-US" w:eastAsia="zh-CN"/>
              </w:rPr>
              <w:t>P1废气VOCs排放浓度及速率</w:t>
            </w:r>
            <w:r>
              <w:rPr>
                <w:rFonts w:hint="eastAsia"/>
                <w:color w:val="auto"/>
                <w:highlight w:val="none"/>
              </w:rPr>
              <w:t>满足《挥发性有机物排放标准 第3部分：家具制造业》（DB37/2801.3-2017）表1中第Ⅱ时段的VOCs排放限值（VOCs：40mg/m</w:t>
            </w:r>
            <w:r>
              <w:rPr>
                <w:rFonts w:hint="eastAsia"/>
                <w:color w:val="auto"/>
                <w:highlight w:val="none"/>
                <w:vertAlign w:val="superscript"/>
              </w:rPr>
              <w:t>3</w:t>
            </w:r>
            <w:r>
              <w:rPr>
                <w:rFonts w:hint="eastAsia"/>
                <w:color w:val="auto"/>
                <w:highlight w:val="none"/>
              </w:rPr>
              <w:t>、2.4kg/h）</w:t>
            </w:r>
            <w:r>
              <w:rPr>
                <w:rFonts w:hint="eastAsia"/>
                <w:color w:val="auto"/>
                <w:highlight w:val="none"/>
                <w:lang w:eastAsia="zh-CN"/>
              </w:rPr>
              <w:t>；项目厂界无组织废气</w:t>
            </w:r>
            <w:r>
              <w:rPr>
                <w:rFonts w:hint="eastAsia"/>
                <w:color w:val="auto"/>
                <w:highlight w:val="none"/>
                <w:lang w:val="en-US" w:eastAsia="zh-CN"/>
              </w:rPr>
              <w:t>VOCs浓度满足</w:t>
            </w:r>
            <w:r>
              <w:rPr>
                <w:rFonts w:hint="eastAsia" w:ascii="Times New Roman" w:hAnsi="Times New Roman" w:eastAsia="宋体" w:cs="Times New Roman"/>
                <w:color w:val="auto"/>
                <w:sz w:val="20"/>
                <w:szCs w:val="20"/>
                <w:highlight w:val="none"/>
                <w:lang w:val="en-US" w:eastAsia="zh-CN"/>
              </w:rPr>
              <w:t>《挥发性有机物排放标准 第3部分：家具制造业》（DB37/2801.3-2017）表2厂界要求（2.0mg/m</w:t>
            </w:r>
            <w:r>
              <w:rPr>
                <w:rFonts w:hint="eastAsia" w:ascii="Times New Roman" w:hAnsi="Times New Roman" w:eastAsia="宋体" w:cs="Times New Roman"/>
                <w:color w:val="auto"/>
                <w:sz w:val="20"/>
                <w:szCs w:val="20"/>
                <w:highlight w:val="none"/>
                <w:vertAlign w:val="superscript"/>
                <w:lang w:val="en-US" w:eastAsia="zh-CN"/>
              </w:rPr>
              <w:t>3</w:t>
            </w:r>
            <w:r>
              <w:rPr>
                <w:rFonts w:hint="eastAsia" w:ascii="Times New Roman" w:hAnsi="Times New Roman" w:eastAsia="宋体" w:cs="Times New Roman"/>
                <w:color w:val="auto"/>
                <w:sz w:val="20"/>
                <w:szCs w:val="20"/>
                <w:highlight w:val="none"/>
                <w:lang w:val="en-US" w:eastAsia="zh-CN"/>
              </w:rPr>
              <w:t>），厂界无组织废气颗粒物浓度满足《大气污染物综合排放标准》（GB16297-1996）表2要求（1.0mg/m</w:t>
            </w:r>
            <w:r>
              <w:rPr>
                <w:rFonts w:hint="eastAsia" w:ascii="Times New Roman" w:hAnsi="Times New Roman" w:eastAsia="宋体" w:cs="Times New Roman"/>
                <w:color w:val="auto"/>
                <w:sz w:val="20"/>
                <w:szCs w:val="20"/>
                <w:highlight w:val="none"/>
                <w:vertAlign w:val="superscript"/>
                <w:lang w:val="en-US" w:eastAsia="zh-CN"/>
              </w:rPr>
              <w:t>3</w:t>
            </w:r>
            <w:r>
              <w:rPr>
                <w:rFonts w:hint="eastAsia" w:ascii="Times New Roman" w:hAnsi="Times New Roman" w:eastAsia="宋体" w:cs="Times New Roman"/>
                <w:color w:val="auto"/>
                <w:sz w:val="20"/>
                <w:szCs w:val="20"/>
                <w:highlight w:val="none"/>
                <w:lang w:val="en-US" w:eastAsia="zh-CN"/>
              </w:rPr>
              <w:t>）。</w:t>
            </w:r>
          </w:p>
          <w:p w14:paraId="252C0053">
            <w:pPr>
              <w:pStyle w:val="38"/>
              <w:bidi w:val="0"/>
              <w:rPr>
                <w:rFonts w:hint="default"/>
                <w:color w:val="auto"/>
                <w:highlight w:val="none"/>
                <w:lang w:val="en-US" w:eastAsia="zh-CN"/>
              </w:rPr>
            </w:pPr>
            <w:r>
              <w:rPr>
                <w:rFonts w:hint="eastAsia"/>
                <w:b/>
                <w:bCs/>
                <w:color w:val="auto"/>
                <w:highlight w:val="none"/>
                <w:lang w:val="en-US" w:eastAsia="zh-CN"/>
              </w:rPr>
              <w:t>5、非正常排放情况分析</w:t>
            </w:r>
          </w:p>
          <w:p w14:paraId="47179F6D">
            <w:pPr>
              <w:pStyle w:val="38"/>
              <w:bidi w:val="0"/>
              <w:rPr>
                <w:color w:val="auto"/>
                <w:highlight w:val="none"/>
              </w:rPr>
            </w:pPr>
            <w:r>
              <w:rPr>
                <w:color w:val="auto"/>
                <w:highlight w:val="none"/>
              </w:rPr>
              <w:t>本项目设计采用的生产工艺属于国内较先进、成熟的生产工艺。根据该项目实际情况，结合国内同类项目的运行情况，确定以下非正常状况：</w:t>
            </w:r>
          </w:p>
          <w:p w14:paraId="50ACE9A3">
            <w:pPr>
              <w:pStyle w:val="38"/>
              <w:bidi w:val="0"/>
              <w:rPr>
                <w:rFonts w:hint="eastAsia"/>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rFonts w:hint="eastAsia"/>
                <w:color w:val="auto"/>
                <w:highlight w:val="none"/>
              </w:rPr>
              <w:t>停电或设备故障</w:t>
            </w:r>
          </w:p>
          <w:p w14:paraId="5510F8BF">
            <w:pPr>
              <w:pStyle w:val="38"/>
              <w:bidi w:val="0"/>
              <w:rPr>
                <w:rFonts w:hint="eastAsia"/>
                <w:color w:val="auto"/>
                <w:highlight w:val="none"/>
              </w:rPr>
            </w:pPr>
            <w:r>
              <w:rPr>
                <w:color w:val="auto"/>
                <w:highlight w:val="none"/>
              </w:rPr>
              <w:t>在生产过程中，停电或某一设备发生故障，可导致整个工序临时停工。在临时停工过程中，各设备停止运行，待故障排除后，恢复正常生产。</w:t>
            </w:r>
            <w:r>
              <w:rPr>
                <w:rFonts w:hint="eastAsia"/>
                <w:color w:val="auto"/>
                <w:highlight w:val="none"/>
              </w:rPr>
              <w:t>因此，停电或某一设备发生故障等非正常工况对项目生产影响及周围环境影响很小。</w:t>
            </w:r>
          </w:p>
          <w:p w14:paraId="659E001F">
            <w:pPr>
              <w:pStyle w:val="38"/>
              <w:bidi w:val="0"/>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color w:val="auto"/>
                <w:highlight w:val="none"/>
              </w:rPr>
              <w:t>环保设施发生故障</w:t>
            </w:r>
          </w:p>
          <w:p w14:paraId="7A6D19A9">
            <w:pPr>
              <w:pStyle w:val="38"/>
              <w:bidi w:val="0"/>
              <w:rPr>
                <w:color w:val="auto"/>
                <w:highlight w:val="none"/>
              </w:rPr>
            </w:pPr>
            <w:r>
              <w:rPr>
                <w:color w:val="auto"/>
                <w:highlight w:val="none"/>
              </w:rPr>
              <w:t>环保措施出现故障时，会使污染物处理效率下降或者根本得不到处理而排入环境中，增加污染物排放量及对外环境的影响。</w:t>
            </w:r>
          </w:p>
          <w:p w14:paraId="3CBA7400">
            <w:pPr>
              <w:pStyle w:val="38"/>
              <w:bidi w:val="0"/>
              <w:rPr>
                <w:rFonts w:hint="eastAsia" w:ascii="Times New Roman" w:hAnsi="Times New Roman" w:cs="Times New Roman"/>
                <w:color w:val="auto"/>
                <w:highlight w:val="none"/>
                <w:lang w:val="en-US" w:eastAsia="zh-CN"/>
              </w:rPr>
            </w:pPr>
            <w:r>
              <w:rPr>
                <w:rFonts w:hint="eastAsia"/>
                <w:color w:val="auto"/>
                <w:highlight w:val="none"/>
              </w:rPr>
              <w:t>就本项目而言，主要考虑污染治理设施出现故障时的非正常工况。非正常工况发生时，会使污染物处理效率下降或者根本得不到处理而排入环境中，导致污染物在一段时间内排放量增加，本次环评按“</w:t>
            </w:r>
            <w:r>
              <w:rPr>
                <w:rFonts w:hint="eastAsia"/>
                <w:color w:val="auto"/>
                <w:highlight w:val="none"/>
                <w:lang w:eastAsia="zh-CN"/>
              </w:rPr>
              <w:t>主要</w:t>
            </w:r>
            <w:r>
              <w:rPr>
                <w:rFonts w:hint="eastAsia"/>
                <w:color w:val="auto"/>
                <w:highlight w:val="none"/>
              </w:rPr>
              <w:t>废气治理设施发生故障，处理效率为0”情形进行估算，则非正常工况下的废气排放情况如下：</w:t>
            </w:r>
          </w:p>
          <w:p w14:paraId="578BA29A">
            <w:pPr>
              <w:pStyle w:val="38"/>
              <w:bidi w:val="0"/>
              <w:rPr>
                <w:rFonts w:hint="eastAsia"/>
                <w:lang w:val="en-US" w:eastAsia="zh-CN"/>
              </w:rPr>
            </w:pPr>
          </w:p>
          <w:p w14:paraId="7432E0AE">
            <w:pPr>
              <w:pStyle w:val="39"/>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表26 非正常工况废气排放情况一览表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14"/>
              <w:gridCol w:w="933"/>
              <w:gridCol w:w="933"/>
              <w:gridCol w:w="1247"/>
              <w:gridCol w:w="1220"/>
              <w:gridCol w:w="595"/>
              <w:gridCol w:w="907"/>
              <w:gridCol w:w="1024"/>
              <w:gridCol w:w="1077"/>
            </w:tblGrid>
            <w:tr w14:paraId="30975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5" w:type="pct"/>
                  <w:vMerge w:val="restart"/>
                  <w:noWrap w:val="0"/>
                  <w:vAlign w:val="center"/>
                </w:tcPr>
                <w:p w14:paraId="35BAC040">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排气筒</w:t>
                  </w:r>
                </w:p>
              </w:tc>
              <w:tc>
                <w:tcPr>
                  <w:tcW w:w="533" w:type="pct"/>
                  <w:vMerge w:val="restart"/>
                  <w:noWrap w:val="0"/>
                  <w:vAlign w:val="center"/>
                </w:tcPr>
                <w:p w14:paraId="631AA636">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污染物</w:t>
                  </w:r>
                </w:p>
              </w:tc>
              <w:tc>
                <w:tcPr>
                  <w:tcW w:w="1942" w:type="pct"/>
                  <w:gridSpan w:val="3"/>
                  <w:noWrap w:val="0"/>
                  <w:vAlign w:val="center"/>
                </w:tcPr>
                <w:p w14:paraId="1F637681">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故障条件下排放参数</w:t>
                  </w:r>
                </w:p>
              </w:tc>
              <w:tc>
                <w:tcPr>
                  <w:tcW w:w="340" w:type="pct"/>
                  <w:vMerge w:val="restart"/>
                  <w:noWrap w:val="0"/>
                  <w:vAlign w:val="center"/>
                </w:tcPr>
                <w:p w14:paraId="0236804F">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年发生频次</w:t>
                  </w:r>
                </w:p>
              </w:tc>
              <w:tc>
                <w:tcPr>
                  <w:tcW w:w="518" w:type="pct"/>
                  <w:vMerge w:val="restart"/>
                  <w:noWrap w:val="0"/>
                  <w:vAlign w:val="center"/>
                </w:tcPr>
                <w:p w14:paraId="567D245B">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单次持续时间h</w:t>
                  </w:r>
                </w:p>
              </w:tc>
              <w:tc>
                <w:tcPr>
                  <w:tcW w:w="585" w:type="pct"/>
                  <w:vMerge w:val="restart"/>
                  <w:noWrap w:val="0"/>
                  <w:vAlign w:val="center"/>
                </w:tcPr>
                <w:p w14:paraId="7B330A3A">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污染物排放量kg/次</w:t>
                  </w:r>
                </w:p>
              </w:tc>
              <w:tc>
                <w:tcPr>
                  <w:tcW w:w="615" w:type="pct"/>
                  <w:noWrap w:val="0"/>
                  <w:vAlign w:val="center"/>
                </w:tcPr>
                <w:p w14:paraId="4451B4A9">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执行标准</w:t>
                  </w:r>
                </w:p>
              </w:tc>
            </w:tr>
            <w:tr w14:paraId="07329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5" w:type="pct"/>
                  <w:vMerge w:val="continue"/>
                  <w:noWrap w:val="0"/>
                  <w:vAlign w:val="center"/>
                </w:tcPr>
                <w:p w14:paraId="0D796E7D">
                  <w:pPr>
                    <w:pStyle w:val="41"/>
                    <w:jc w:val="center"/>
                    <w:rPr>
                      <w:rFonts w:hint="eastAsia" w:ascii="Times New Roman" w:hAnsi="Times New Roman" w:eastAsia="宋体" w:cs="Times New Roman"/>
                      <w:color w:val="auto"/>
                      <w:sz w:val="20"/>
                      <w:szCs w:val="20"/>
                      <w:highlight w:val="none"/>
                      <w:lang w:val="en-US" w:eastAsia="zh-CN"/>
                    </w:rPr>
                  </w:pPr>
                </w:p>
              </w:tc>
              <w:tc>
                <w:tcPr>
                  <w:tcW w:w="533" w:type="pct"/>
                  <w:vMerge w:val="continue"/>
                  <w:noWrap w:val="0"/>
                  <w:vAlign w:val="center"/>
                </w:tcPr>
                <w:p w14:paraId="7FE52744">
                  <w:pPr>
                    <w:pStyle w:val="41"/>
                    <w:jc w:val="center"/>
                    <w:rPr>
                      <w:rFonts w:hint="eastAsia" w:ascii="Times New Roman" w:hAnsi="Times New Roman" w:eastAsia="宋体" w:cs="Times New Roman"/>
                      <w:color w:val="auto"/>
                      <w:sz w:val="20"/>
                      <w:szCs w:val="20"/>
                      <w:highlight w:val="none"/>
                      <w:lang w:val="en-US" w:eastAsia="zh-CN"/>
                    </w:rPr>
                  </w:pPr>
                </w:p>
              </w:tc>
              <w:tc>
                <w:tcPr>
                  <w:tcW w:w="533" w:type="pct"/>
                  <w:noWrap w:val="0"/>
                  <w:vAlign w:val="center"/>
                </w:tcPr>
                <w:p w14:paraId="76A1AA0A">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速率kg/h</w:t>
                  </w:r>
                </w:p>
              </w:tc>
              <w:tc>
                <w:tcPr>
                  <w:tcW w:w="712" w:type="pct"/>
                  <w:noWrap w:val="0"/>
                  <w:vAlign w:val="center"/>
                </w:tcPr>
                <w:p w14:paraId="79B2F786">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废气量m</w:t>
                  </w:r>
                  <w:r>
                    <w:rPr>
                      <w:rFonts w:hint="eastAsia" w:ascii="Times New Roman" w:hAnsi="Times New Roman" w:eastAsia="宋体" w:cs="Times New Roman"/>
                      <w:color w:val="auto"/>
                      <w:sz w:val="20"/>
                      <w:szCs w:val="20"/>
                      <w:highlight w:val="none"/>
                      <w:vertAlign w:val="superscript"/>
                      <w:lang w:val="en-US" w:eastAsia="zh-CN"/>
                    </w:rPr>
                    <w:t>3</w:t>
                  </w:r>
                  <w:r>
                    <w:rPr>
                      <w:rFonts w:hint="eastAsia" w:ascii="Times New Roman" w:hAnsi="Times New Roman" w:eastAsia="宋体" w:cs="Times New Roman"/>
                      <w:color w:val="auto"/>
                      <w:sz w:val="20"/>
                      <w:szCs w:val="20"/>
                      <w:highlight w:val="none"/>
                      <w:lang w:val="en-US" w:eastAsia="zh-CN"/>
                    </w:rPr>
                    <w:t>/h</w:t>
                  </w:r>
                </w:p>
              </w:tc>
              <w:tc>
                <w:tcPr>
                  <w:tcW w:w="696" w:type="pct"/>
                  <w:noWrap w:val="0"/>
                  <w:vAlign w:val="center"/>
                </w:tcPr>
                <w:p w14:paraId="0B638D36">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浓度mg/m</w:t>
                  </w:r>
                  <w:r>
                    <w:rPr>
                      <w:rFonts w:hint="eastAsia" w:ascii="Times New Roman" w:hAnsi="Times New Roman" w:eastAsia="宋体" w:cs="Times New Roman"/>
                      <w:color w:val="auto"/>
                      <w:sz w:val="20"/>
                      <w:szCs w:val="20"/>
                      <w:highlight w:val="none"/>
                      <w:vertAlign w:val="superscript"/>
                      <w:lang w:val="en-US" w:eastAsia="zh-CN"/>
                    </w:rPr>
                    <w:t>3</w:t>
                  </w:r>
                </w:p>
              </w:tc>
              <w:tc>
                <w:tcPr>
                  <w:tcW w:w="340" w:type="pct"/>
                  <w:vMerge w:val="continue"/>
                  <w:noWrap w:val="0"/>
                  <w:vAlign w:val="center"/>
                </w:tcPr>
                <w:p w14:paraId="29652983">
                  <w:pPr>
                    <w:pStyle w:val="41"/>
                    <w:jc w:val="center"/>
                    <w:rPr>
                      <w:rFonts w:hint="eastAsia" w:ascii="Times New Roman" w:hAnsi="Times New Roman" w:eastAsia="宋体" w:cs="Times New Roman"/>
                      <w:color w:val="auto"/>
                      <w:sz w:val="20"/>
                      <w:szCs w:val="20"/>
                      <w:highlight w:val="none"/>
                      <w:lang w:val="en-US" w:eastAsia="zh-CN"/>
                    </w:rPr>
                  </w:pPr>
                </w:p>
              </w:tc>
              <w:tc>
                <w:tcPr>
                  <w:tcW w:w="518" w:type="pct"/>
                  <w:vMerge w:val="continue"/>
                  <w:noWrap w:val="0"/>
                  <w:vAlign w:val="center"/>
                </w:tcPr>
                <w:p w14:paraId="2127F539">
                  <w:pPr>
                    <w:pStyle w:val="41"/>
                    <w:jc w:val="center"/>
                    <w:rPr>
                      <w:rFonts w:hint="eastAsia" w:ascii="Times New Roman" w:hAnsi="Times New Roman" w:eastAsia="宋体" w:cs="Times New Roman"/>
                      <w:color w:val="auto"/>
                      <w:sz w:val="20"/>
                      <w:szCs w:val="20"/>
                      <w:highlight w:val="none"/>
                      <w:lang w:val="en-US" w:eastAsia="zh-CN"/>
                    </w:rPr>
                  </w:pPr>
                </w:p>
              </w:tc>
              <w:tc>
                <w:tcPr>
                  <w:tcW w:w="585" w:type="pct"/>
                  <w:vMerge w:val="continue"/>
                  <w:noWrap w:val="0"/>
                  <w:vAlign w:val="center"/>
                </w:tcPr>
                <w:p w14:paraId="06A4F81A">
                  <w:pPr>
                    <w:pStyle w:val="41"/>
                    <w:jc w:val="center"/>
                    <w:rPr>
                      <w:rFonts w:hint="eastAsia" w:ascii="Times New Roman" w:hAnsi="Times New Roman" w:eastAsia="宋体" w:cs="Times New Roman"/>
                      <w:color w:val="auto"/>
                      <w:sz w:val="20"/>
                      <w:szCs w:val="20"/>
                      <w:highlight w:val="none"/>
                      <w:lang w:val="en-US" w:eastAsia="zh-CN"/>
                    </w:rPr>
                  </w:pPr>
                </w:p>
              </w:tc>
              <w:tc>
                <w:tcPr>
                  <w:tcW w:w="615" w:type="pct"/>
                  <w:noWrap w:val="0"/>
                  <w:vAlign w:val="center"/>
                </w:tcPr>
                <w:p w14:paraId="19BA9F27">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浓度mg/m</w:t>
                  </w:r>
                  <w:r>
                    <w:rPr>
                      <w:rFonts w:hint="eastAsia" w:ascii="Times New Roman" w:hAnsi="Times New Roman" w:eastAsia="宋体" w:cs="Times New Roman"/>
                      <w:color w:val="auto"/>
                      <w:sz w:val="20"/>
                      <w:szCs w:val="20"/>
                      <w:highlight w:val="none"/>
                      <w:vertAlign w:val="superscript"/>
                      <w:lang w:val="en-US" w:eastAsia="zh-CN"/>
                    </w:rPr>
                    <w:t>3</w:t>
                  </w:r>
                </w:p>
              </w:tc>
            </w:tr>
            <w:tr w14:paraId="1F322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5" w:type="pct"/>
                  <w:noWrap w:val="0"/>
                  <w:vAlign w:val="center"/>
                </w:tcPr>
                <w:p w14:paraId="314CD5F8">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P1</w:t>
                  </w:r>
                </w:p>
              </w:tc>
              <w:tc>
                <w:tcPr>
                  <w:tcW w:w="533" w:type="pct"/>
                  <w:noWrap w:val="0"/>
                  <w:vAlign w:val="center"/>
                </w:tcPr>
                <w:p w14:paraId="03DB2B2B">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VOCs</w:t>
                  </w:r>
                </w:p>
              </w:tc>
              <w:tc>
                <w:tcPr>
                  <w:tcW w:w="533" w:type="pct"/>
                  <w:noWrap w:val="0"/>
                  <w:vAlign w:val="center"/>
                </w:tcPr>
                <w:p w14:paraId="18F66221">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0.0225</w:t>
                  </w:r>
                </w:p>
              </w:tc>
              <w:tc>
                <w:tcPr>
                  <w:tcW w:w="712" w:type="pct"/>
                  <w:noWrap w:val="0"/>
                  <w:vAlign w:val="center"/>
                </w:tcPr>
                <w:p w14:paraId="06A77A93">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2000</w:t>
                  </w:r>
                </w:p>
              </w:tc>
              <w:tc>
                <w:tcPr>
                  <w:tcW w:w="696" w:type="pct"/>
                  <w:noWrap w:val="0"/>
                  <w:vAlign w:val="center"/>
                </w:tcPr>
                <w:p w14:paraId="19BDE290">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11.25</w:t>
                  </w:r>
                </w:p>
              </w:tc>
              <w:tc>
                <w:tcPr>
                  <w:tcW w:w="340" w:type="pct"/>
                  <w:noWrap w:val="0"/>
                  <w:vAlign w:val="center"/>
                </w:tcPr>
                <w:p w14:paraId="7847A811">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w:t>
                  </w:r>
                </w:p>
              </w:tc>
              <w:tc>
                <w:tcPr>
                  <w:tcW w:w="518" w:type="pct"/>
                  <w:noWrap w:val="0"/>
                  <w:vAlign w:val="center"/>
                </w:tcPr>
                <w:p w14:paraId="1EF4A929">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w:t>
                  </w:r>
                </w:p>
              </w:tc>
              <w:tc>
                <w:tcPr>
                  <w:tcW w:w="585" w:type="pct"/>
                  <w:noWrap w:val="0"/>
                  <w:vAlign w:val="center"/>
                </w:tcPr>
                <w:p w14:paraId="50EE5234">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0.0225</w:t>
                  </w:r>
                </w:p>
              </w:tc>
              <w:tc>
                <w:tcPr>
                  <w:tcW w:w="615" w:type="pct"/>
                  <w:noWrap w:val="0"/>
                  <w:vAlign w:val="center"/>
                </w:tcPr>
                <w:p w14:paraId="53E8DD21">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40</w:t>
                  </w:r>
                </w:p>
              </w:tc>
            </w:tr>
          </w:tbl>
          <w:p w14:paraId="26DB1C73">
            <w:pPr>
              <w:pStyle w:val="38"/>
              <w:bidi w:val="0"/>
              <w:rPr>
                <w:rFonts w:hint="eastAsia" w:eastAsia="宋体"/>
                <w:color w:val="auto"/>
                <w:highlight w:val="none"/>
                <w:lang w:val="en-US" w:eastAsia="zh-CN"/>
              </w:rPr>
            </w:pPr>
            <w:r>
              <w:rPr>
                <w:color w:val="auto"/>
                <w:highlight w:val="none"/>
              </w:rPr>
              <w:t>根据计算结果可知，非正常工况下，</w:t>
            </w:r>
            <w:r>
              <w:rPr>
                <w:rFonts w:hint="eastAsia"/>
                <w:color w:val="auto"/>
                <w:highlight w:val="none"/>
              </w:rPr>
              <w:t>项目生产过程中产生的废气VOCs排放浓度增大，</w:t>
            </w:r>
            <w:r>
              <w:rPr>
                <w:color w:val="auto"/>
                <w:highlight w:val="none"/>
              </w:rPr>
              <w:t>建设单位应及时检修设备、按操作规程严格操作，并定期巡视、检修，确保废气治理设施正常运行。另外，建设单位应建立废气非正常排放应急预案，一旦废气治理措施出现故障，应立即启动反应机制，避免出现超标排放的情况</w:t>
            </w:r>
            <w:r>
              <w:rPr>
                <w:rFonts w:hint="eastAsia"/>
                <w:color w:val="auto"/>
                <w:highlight w:val="none"/>
                <w:lang w:val="en-US" w:eastAsia="zh-CN"/>
              </w:rPr>
              <w:t>。</w:t>
            </w:r>
          </w:p>
          <w:p w14:paraId="09C96BF5">
            <w:pPr>
              <w:pStyle w:val="38"/>
              <w:bidi w:val="0"/>
              <w:rPr>
                <w:rFonts w:hint="default"/>
                <w:color w:val="auto"/>
                <w:highlight w:val="none"/>
                <w:lang w:val="en-US" w:eastAsia="zh-CN"/>
              </w:rPr>
            </w:pPr>
            <w:r>
              <w:rPr>
                <w:rFonts w:hint="eastAsia"/>
                <w:b/>
                <w:bCs/>
                <w:color w:val="auto"/>
                <w:highlight w:val="none"/>
                <w:lang w:val="en-US" w:eastAsia="zh-CN"/>
              </w:rPr>
              <w:t>6、环境监测计划</w:t>
            </w:r>
          </w:p>
          <w:p w14:paraId="635EEB79">
            <w:pPr>
              <w:pStyle w:val="38"/>
              <w:bidi w:val="0"/>
              <w:rPr>
                <w:color w:val="auto"/>
                <w:highlight w:val="none"/>
              </w:rPr>
            </w:pPr>
            <w:r>
              <w:rPr>
                <w:rFonts w:hint="eastAsia"/>
                <w:color w:val="auto"/>
                <w:highlight w:val="none"/>
              </w:rPr>
              <w:t>参照《排污许可证申请与核发技术规范 家具制造工业》（</w:t>
            </w:r>
            <w:r>
              <w:rPr>
                <w:color w:val="auto"/>
                <w:highlight w:val="none"/>
              </w:rPr>
              <w:t>HJ 1027-2019</w:t>
            </w:r>
            <w:r>
              <w:rPr>
                <w:rFonts w:hint="eastAsia"/>
                <w:color w:val="auto"/>
                <w:highlight w:val="none"/>
              </w:rPr>
              <w:t>）要求制定废气监测计划，项目环境保护监测计划见下表</w:t>
            </w:r>
            <w:r>
              <w:rPr>
                <w:color w:val="auto"/>
                <w:highlight w:val="none"/>
              </w:rPr>
              <w:t>。</w:t>
            </w:r>
          </w:p>
          <w:p w14:paraId="490AF29D">
            <w:pPr>
              <w:pStyle w:val="39"/>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表27 本项目废气监测方案</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28" w:type="dxa"/>
                <w:bottom w:w="28" w:type="dxa"/>
                <w:right w:w="28" w:type="dxa"/>
              </w:tblCellMar>
            </w:tblPr>
            <w:tblGrid>
              <w:gridCol w:w="1714"/>
              <w:gridCol w:w="2596"/>
              <w:gridCol w:w="2722"/>
              <w:gridCol w:w="1715"/>
            </w:tblGrid>
            <w:tr w14:paraId="14BB5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80" w:type="pct"/>
                  <w:noWrap w:val="0"/>
                  <w:vAlign w:val="center"/>
                </w:tcPr>
                <w:p w14:paraId="20A2492A">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环境要素</w:t>
                  </w:r>
                </w:p>
              </w:tc>
              <w:tc>
                <w:tcPr>
                  <w:tcW w:w="1483" w:type="pct"/>
                  <w:noWrap w:val="0"/>
                  <w:vAlign w:val="center"/>
                </w:tcPr>
                <w:p w14:paraId="102F63B9">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监测位置</w:t>
                  </w:r>
                </w:p>
              </w:tc>
              <w:tc>
                <w:tcPr>
                  <w:tcW w:w="1555" w:type="pct"/>
                  <w:noWrap w:val="0"/>
                  <w:vAlign w:val="center"/>
                </w:tcPr>
                <w:p w14:paraId="139C8EB4">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监测项目</w:t>
                  </w:r>
                </w:p>
              </w:tc>
              <w:tc>
                <w:tcPr>
                  <w:tcW w:w="980" w:type="pct"/>
                  <w:noWrap w:val="0"/>
                  <w:vAlign w:val="center"/>
                </w:tcPr>
                <w:p w14:paraId="6DA18FCD">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监测频次</w:t>
                  </w:r>
                </w:p>
              </w:tc>
            </w:tr>
            <w:tr w14:paraId="5F425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80" w:type="pct"/>
                  <w:vMerge w:val="restart"/>
                  <w:noWrap w:val="0"/>
                  <w:vAlign w:val="center"/>
                </w:tcPr>
                <w:p w14:paraId="26DB1837">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废气</w:t>
                  </w:r>
                </w:p>
              </w:tc>
              <w:tc>
                <w:tcPr>
                  <w:tcW w:w="1483" w:type="pct"/>
                  <w:noWrap w:val="0"/>
                  <w:vAlign w:val="center"/>
                </w:tcPr>
                <w:p w14:paraId="36AD28B0">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P1排气筒</w:t>
                  </w:r>
                </w:p>
              </w:tc>
              <w:tc>
                <w:tcPr>
                  <w:tcW w:w="1555" w:type="pct"/>
                  <w:noWrap w:val="0"/>
                  <w:vAlign w:val="center"/>
                </w:tcPr>
                <w:p w14:paraId="5BCB21C6">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VOCs</w:t>
                  </w:r>
                </w:p>
              </w:tc>
              <w:tc>
                <w:tcPr>
                  <w:tcW w:w="980" w:type="pct"/>
                  <w:noWrap w:val="0"/>
                  <w:vAlign w:val="center"/>
                </w:tcPr>
                <w:p w14:paraId="1BBE3FAE">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1次/年</w:t>
                  </w:r>
                </w:p>
              </w:tc>
            </w:tr>
            <w:tr w14:paraId="1289A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80" w:type="pct"/>
                  <w:vMerge w:val="continue"/>
                  <w:noWrap w:val="0"/>
                  <w:vAlign w:val="center"/>
                </w:tcPr>
                <w:p w14:paraId="5634A25A">
                  <w:pPr>
                    <w:pStyle w:val="41"/>
                    <w:jc w:val="center"/>
                    <w:rPr>
                      <w:rFonts w:hint="eastAsia" w:ascii="Times New Roman" w:hAnsi="Times New Roman" w:eastAsia="宋体" w:cs="Times New Roman"/>
                      <w:color w:val="auto"/>
                      <w:sz w:val="20"/>
                      <w:szCs w:val="20"/>
                      <w:highlight w:val="none"/>
                      <w:lang w:val="en-US" w:eastAsia="zh-CN"/>
                    </w:rPr>
                  </w:pPr>
                </w:p>
              </w:tc>
              <w:tc>
                <w:tcPr>
                  <w:tcW w:w="1483" w:type="pct"/>
                  <w:noWrap w:val="0"/>
                  <w:vAlign w:val="center"/>
                </w:tcPr>
                <w:p w14:paraId="080A0306">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厂界</w:t>
                  </w:r>
                </w:p>
              </w:tc>
              <w:tc>
                <w:tcPr>
                  <w:tcW w:w="1555" w:type="pct"/>
                  <w:noWrap w:val="0"/>
                  <w:vAlign w:val="center"/>
                </w:tcPr>
                <w:p w14:paraId="5EFD2470">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颗粒物、VOCs</w:t>
                  </w:r>
                </w:p>
              </w:tc>
              <w:tc>
                <w:tcPr>
                  <w:tcW w:w="980" w:type="pct"/>
                  <w:noWrap w:val="0"/>
                  <w:vAlign w:val="center"/>
                </w:tcPr>
                <w:p w14:paraId="1C9DED5B">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1次/年</w:t>
                  </w:r>
                </w:p>
              </w:tc>
            </w:tr>
          </w:tbl>
          <w:p w14:paraId="0B4EF40F">
            <w:pPr>
              <w:pStyle w:val="38"/>
              <w:bidi w:val="0"/>
              <w:rPr>
                <w:rFonts w:hint="eastAsia"/>
                <w:b/>
                <w:bCs/>
                <w:color w:val="auto"/>
                <w:highlight w:val="none"/>
                <w:lang w:val="en-US" w:eastAsia="zh-CN"/>
              </w:rPr>
            </w:pPr>
            <w:r>
              <w:rPr>
                <w:rFonts w:hint="eastAsia"/>
                <w:b/>
                <w:bCs/>
                <w:color w:val="auto"/>
                <w:highlight w:val="none"/>
                <w:lang w:val="en-US" w:eastAsia="zh-CN"/>
              </w:rPr>
              <w:t>7、结论</w:t>
            </w:r>
          </w:p>
          <w:p w14:paraId="23907FD0">
            <w:pPr>
              <w:pStyle w:val="38"/>
              <w:bidi w:val="0"/>
              <w:rPr>
                <w:rFonts w:hint="eastAsia" w:eastAsia="宋体"/>
                <w:color w:val="auto"/>
                <w:highlight w:val="none"/>
                <w:lang w:val="en-US" w:eastAsia="zh-CN"/>
              </w:rPr>
            </w:pPr>
            <w:r>
              <w:rPr>
                <w:rFonts w:hint="eastAsia"/>
                <w:color w:val="auto"/>
                <w:highlight w:val="none"/>
              </w:rPr>
              <w:t>综上</w:t>
            </w:r>
            <w:r>
              <w:rPr>
                <w:rFonts w:hint="eastAsia"/>
                <w:color w:val="auto"/>
                <w:highlight w:val="none"/>
                <w:lang w:eastAsia="zh-CN"/>
              </w:rPr>
              <w:t>分析</w:t>
            </w:r>
            <w:r>
              <w:rPr>
                <w:rFonts w:hint="eastAsia"/>
                <w:color w:val="auto"/>
                <w:highlight w:val="none"/>
              </w:rPr>
              <w:t>，本项目位于环境空气不达标区，</w:t>
            </w:r>
            <w:r>
              <w:rPr>
                <w:rFonts w:hint="eastAsia"/>
                <w:color w:val="auto"/>
                <w:highlight w:val="none"/>
                <w:lang w:eastAsia="zh-CN"/>
              </w:rPr>
              <w:t>项目配套废气</w:t>
            </w:r>
            <w:r>
              <w:rPr>
                <w:rFonts w:hint="eastAsia"/>
                <w:color w:val="auto"/>
                <w:highlight w:val="none"/>
              </w:rPr>
              <w:t>污染物治理措施可行，废气排放能够满足当地环保要求；本项目不涉及有毒有害废气排放，污染物排放浓度达标，</w:t>
            </w:r>
            <w:r>
              <w:rPr>
                <w:rFonts w:hint="eastAsia"/>
                <w:color w:val="auto"/>
                <w:highlight w:val="none"/>
                <w:lang w:eastAsia="zh-CN"/>
              </w:rPr>
              <w:t>且</w:t>
            </w:r>
            <w:r>
              <w:rPr>
                <w:rFonts w:hint="eastAsia"/>
                <w:color w:val="auto"/>
                <w:highlight w:val="none"/>
              </w:rPr>
              <w:t>周围500m范围</w:t>
            </w:r>
            <w:r>
              <w:rPr>
                <w:rFonts w:hint="eastAsia"/>
                <w:color w:val="auto"/>
                <w:highlight w:val="none"/>
                <w:lang w:eastAsia="zh-CN"/>
              </w:rPr>
              <w:t>无</w:t>
            </w:r>
            <w:r>
              <w:rPr>
                <w:rFonts w:hint="eastAsia"/>
                <w:color w:val="auto"/>
                <w:highlight w:val="none"/>
              </w:rPr>
              <w:t>大气环境敏感目标。因此，本项目建设后对大气环境影响可以接受</w:t>
            </w:r>
            <w:r>
              <w:rPr>
                <w:rFonts w:hint="eastAsia"/>
                <w:color w:val="auto"/>
                <w:highlight w:val="none"/>
                <w:lang w:eastAsia="zh-CN"/>
              </w:rPr>
              <w:t>。</w:t>
            </w:r>
          </w:p>
          <w:p w14:paraId="7D1EA5B2">
            <w:pPr>
              <w:pStyle w:val="38"/>
              <w:bidi w:val="0"/>
              <w:rPr>
                <w:rFonts w:hint="eastAsia"/>
                <w:color w:val="auto"/>
                <w:highlight w:val="none"/>
                <w:lang w:eastAsia="zh-CN"/>
              </w:rPr>
            </w:pPr>
            <w:r>
              <w:rPr>
                <w:rFonts w:hint="eastAsia"/>
                <w:b/>
                <w:bCs/>
                <w:color w:val="auto"/>
                <w:highlight w:val="none"/>
                <w:lang w:eastAsia="zh-CN"/>
              </w:rPr>
              <w:t>二、废水</w:t>
            </w:r>
          </w:p>
          <w:p w14:paraId="0340C96E">
            <w:pPr>
              <w:pStyle w:val="38"/>
              <w:bidi w:val="0"/>
              <w:rPr>
                <w:rFonts w:hint="eastAsia"/>
                <w:color w:val="FF0000"/>
                <w:highlight w:val="none"/>
                <w:lang w:val="en-US" w:eastAsia="zh-CN"/>
              </w:rPr>
            </w:pPr>
            <w:r>
              <w:rPr>
                <w:rFonts w:hint="default"/>
                <w:color w:val="FF0000"/>
                <w:highlight w:val="none"/>
                <w:lang w:val="en-US" w:eastAsia="zh-CN"/>
              </w:rPr>
              <w:t>本项目</w:t>
            </w:r>
            <w:r>
              <w:rPr>
                <w:rFonts w:hint="eastAsia"/>
                <w:color w:val="FF0000"/>
                <w:highlight w:val="none"/>
                <w:lang w:val="en-US" w:eastAsia="zh-CN"/>
              </w:rPr>
              <w:t>生产过程中无废水排放，项目产生</w:t>
            </w:r>
            <w:r>
              <w:rPr>
                <w:rFonts w:hint="default"/>
                <w:color w:val="FF0000"/>
                <w:highlight w:val="none"/>
              </w:rPr>
              <w:t>废水</w:t>
            </w:r>
            <w:r>
              <w:rPr>
                <w:rFonts w:hint="eastAsia"/>
                <w:color w:val="FF0000"/>
                <w:highlight w:val="none"/>
                <w:lang w:eastAsia="zh-CN"/>
              </w:rPr>
              <w:t>为职工</w:t>
            </w:r>
            <w:r>
              <w:rPr>
                <w:rFonts w:hint="default"/>
                <w:color w:val="FF0000"/>
                <w:highlight w:val="none"/>
              </w:rPr>
              <w:t>生活</w:t>
            </w:r>
            <w:r>
              <w:rPr>
                <w:rFonts w:hint="default"/>
                <w:color w:val="FF0000"/>
                <w:highlight w:val="none"/>
                <w:lang w:val="en-US" w:eastAsia="zh-CN"/>
              </w:rPr>
              <w:t>废</w:t>
            </w:r>
            <w:r>
              <w:rPr>
                <w:rFonts w:hint="default"/>
                <w:color w:val="FF0000"/>
                <w:highlight w:val="none"/>
              </w:rPr>
              <w:t>水</w:t>
            </w:r>
            <w:r>
              <w:rPr>
                <w:rFonts w:hint="default"/>
                <w:color w:val="FF0000"/>
                <w:highlight w:val="none"/>
                <w:lang w:eastAsia="zh-CN"/>
              </w:rPr>
              <w:t>，</w:t>
            </w:r>
            <w:r>
              <w:rPr>
                <w:rFonts w:hint="default"/>
                <w:color w:val="FF0000"/>
                <w:highlight w:val="none"/>
                <w:lang w:val="en-US" w:eastAsia="zh-CN"/>
              </w:rPr>
              <w:t>经</w:t>
            </w:r>
            <w:r>
              <w:rPr>
                <w:rFonts w:hint="eastAsia"/>
                <w:color w:val="FF0000"/>
                <w:highlight w:val="none"/>
                <w:lang w:val="en-US" w:eastAsia="zh-CN"/>
              </w:rPr>
              <w:t>所在厂区化粪池暂存</w:t>
            </w:r>
            <w:r>
              <w:rPr>
                <w:rFonts w:hint="default"/>
                <w:color w:val="FF0000"/>
                <w:highlight w:val="none"/>
                <w:lang w:val="en-US" w:eastAsia="zh-CN"/>
              </w:rPr>
              <w:t>后，</w:t>
            </w:r>
            <w:r>
              <w:rPr>
                <w:rFonts w:hint="eastAsia"/>
                <w:color w:val="FF0000"/>
                <w:highlight w:val="none"/>
                <w:lang w:val="en-US" w:eastAsia="zh-CN"/>
              </w:rPr>
              <w:t>委托当地环卫部门定期清运，不外排，对周边地表水环境影响较小。</w:t>
            </w:r>
          </w:p>
          <w:p w14:paraId="68128545">
            <w:pPr>
              <w:pStyle w:val="38"/>
              <w:bidi w:val="0"/>
              <w:rPr>
                <w:rFonts w:hint="eastAsia"/>
                <w:color w:val="FF0000"/>
                <w:highlight w:val="none"/>
                <w:lang w:val="en-US" w:eastAsia="zh-CN"/>
              </w:rPr>
            </w:pPr>
            <w:r>
              <w:rPr>
                <w:rFonts w:hint="eastAsia"/>
                <w:color w:val="FF0000"/>
                <w:highlight w:val="none"/>
                <w:lang w:val="en-US" w:eastAsia="zh-CN"/>
              </w:rPr>
              <w:t>项目依托现有厂区化粪池为钢筋缓凝土结构，为厂区厂房建成时同步配套环保设施，现状结构完成，正常运行，无渗漏、堵塞、外溢情况，能够满足本项目使用需求。</w:t>
            </w:r>
          </w:p>
          <w:p w14:paraId="1B5C7406">
            <w:pPr>
              <w:pStyle w:val="38"/>
              <w:bidi w:val="0"/>
              <w:rPr>
                <w:rFonts w:hint="eastAsia"/>
                <w:color w:val="auto"/>
                <w:highlight w:val="none"/>
                <w:lang w:eastAsia="zh-CN"/>
              </w:rPr>
            </w:pPr>
            <w:r>
              <w:rPr>
                <w:rFonts w:hint="eastAsia"/>
                <w:b/>
                <w:bCs/>
                <w:color w:val="auto"/>
                <w:highlight w:val="none"/>
                <w:lang w:eastAsia="zh-CN"/>
              </w:rPr>
              <w:t>三、噪声</w:t>
            </w:r>
          </w:p>
          <w:p w14:paraId="10BE1E2B">
            <w:pPr>
              <w:pStyle w:val="38"/>
              <w:bidi w:val="0"/>
              <w:rPr>
                <w:color w:val="auto"/>
                <w:highlight w:val="none"/>
              </w:rPr>
            </w:pPr>
            <w:r>
              <w:rPr>
                <w:rFonts w:hint="eastAsia"/>
                <w:color w:val="auto"/>
                <w:highlight w:val="none"/>
              </w:rPr>
              <w:t>本项目</w:t>
            </w:r>
            <w:r>
              <w:rPr>
                <w:rFonts w:hint="eastAsia"/>
                <w:color w:val="auto"/>
                <w:highlight w:val="none"/>
                <w:lang w:eastAsia="zh-CN"/>
              </w:rPr>
              <w:t>在现有密闭车间进行建设，</w:t>
            </w:r>
            <w:r>
              <w:rPr>
                <w:rFonts w:hint="eastAsia"/>
                <w:color w:val="auto"/>
                <w:highlight w:val="none"/>
              </w:rPr>
              <w:t>项目噪声主要来源于各生产设备及环保设备风机运转产生的机械噪声，各主要噪声设备均安置于车间内部，噪声强度约70</w:t>
            </w:r>
            <w:r>
              <w:rPr>
                <w:color w:val="auto"/>
                <w:highlight w:val="none"/>
              </w:rPr>
              <w:t>～</w:t>
            </w:r>
            <w:r>
              <w:rPr>
                <w:rFonts w:hint="eastAsia"/>
                <w:color w:val="auto"/>
                <w:highlight w:val="none"/>
                <w:lang w:val="en-US" w:eastAsia="zh-CN"/>
              </w:rPr>
              <w:t>90</w:t>
            </w:r>
            <w:r>
              <w:rPr>
                <w:color w:val="auto"/>
                <w:highlight w:val="none"/>
              </w:rPr>
              <w:t>dB</w:t>
            </w:r>
            <w:r>
              <w:rPr>
                <w:rFonts w:hint="eastAsia"/>
                <w:color w:val="auto"/>
                <w:highlight w:val="none"/>
                <w:lang w:eastAsia="zh-CN"/>
              </w:rPr>
              <w:t>（</w:t>
            </w:r>
            <w:r>
              <w:rPr>
                <w:color w:val="auto"/>
                <w:highlight w:val="none"/>
              </w:rPr>
              <w:t>A</w:t>
            </w:r>
            <w:r>
              <w:rPr>
                <w:rFonts w:hint="eastAsia"/>
                <w:color w:val="auto"/>
                <w:highlight w:val="none"/>
                <w:lang w:eastAsia="zh-CN"/>
              </w:rPr>
              <w:t>）</w:t>
            </w:r>
            <w:r>
              <w:rPr>
                <w:rFonts w:hint="eastAsia"/>
                <w:color w:val="auto"/>
                <w:highlight w:val="none"/>
              </w:rPr>
              <w:t>。采取的噪声防治措施有：</w:t>
            </w:r>
          </w:p>
          <w:p w14:paraId="2E93C5C7">
            <w:pPr>
              <w:pStyle w:val="38"/>
              <w:bidi w:val="0"/>
              <w:rPr>
                <w:color w:val="auto"/>
                <w:highlight w:val="none"/>
              </w:rPr>
            </w:pPr>
            <w:r>
              <w:rPr>
                <w:rFonts w:hint="eastAsia"/>
                <w:color w:val="auto"/>
                <w:highlight w:val="none"/>
              </w:rPr>
              <w:t>①选用低噪声设备：在满足项目生产工艺的前提下，尽可能选择先进、噪声低的生产设备，从源头降低噪声。</w:t>
            </w:r>
          </w:p>
          <w:p w14:paraId="4022E7EA">
            <w:pPr>
              <w:pStyle w:val="38"/>
              <w:bidi w:val="0"/>
              <w:rPr>
                <w:color w:val="auto"/>
                <w:highlight w:val="none"/>
              </w:rPr>
            </w:pPr>
            <w:r>
              <w:rPr>
                <w:rFonts w:hint="eastAsia"/>
                <w:color w:val="auto"/>
                <w:highlight w:val="none"/>
              </w:rPr>
              <w:t>②设备在安装时，根据设备的自重及振动特性采用合适的隔振垫，以减轻由于设备自身振动引起的结构传声对周围环境产生的影响。</w:t>
            </w:r>
          </w:p>
          <w:p w14:paraId="59F3F493">
            <w:pPr>
              <w:pStyle w:val="38"/>
              <w:bidi w:val="0"/>
              <w:rPr>
                <w:color w:val="auto"/>
                <w:highlight w:val="none"/>
              </w:rPr>
            </w:pPr>
            <w:r>
              <w:rPr>
                <w:rFonts w:hint="eastAsia"/>
                <w:color w:val="auto"/>
                <w:highlight w:val="none"/>
              </w:rPr>
              <w:t>③利用建（构）筑物隔声降噪，对高噪声设备增设隔声罩。</w:t>
            </w:r>
          </w:p>
          <w:p w14:paraId="62B3F027">
            <w:pPr>
              <w:pStyle w:val="38"/>
              <w:bidi w:val="0"/>
              <w:rPr>
                <w:color w:val="auto"/>
                <w:highlight w:val="none"/>
              </w:rPr>
            </w:pPr>
            <w:r>
              <w:rPr>
                <w:rFonts w:hint="eastAsia"/>
                <w:color w:val="auto"/>
                <w:highlight w:val="none"/>
              </w:rPr>
              <w:t>④加强设备的维护，确保设备处于良好的运转状态，杜绝因设备不正常运转时产生的高噪声现象。</w:t>
            </w:r>
          </w:p>
          <w:p w14:paraId="57C5AC66">
            <w:pPr>
              <w:pStyle w:val="38"/>
              <w:bidi w:val="0"/>
              <w:rPr>
                <w:color w:val="auto"/>
                <w:highlight w:val="none"/>
              </w:rPr>
            </w:pPr>
            <w:r>
              <w:rPr>
                <w:color w:val="auto"/>
                <w:highlight w:val="none"/>
              </w:rPr>
              <w:t>采用设备基础的隔振、减振可减少10～20dB</w:t>
            </w:r>
            <w:r>
              <w:rPr>
                <w:rFonts w:hint="eastAsia"/>
                <w:color w:val="auto"/>
                <w:highlight w:val="none"/>
                <w:lang w:eastAsia="zh-CN"/>
              </w:rPr>
              <w:t>（</w:t>
            </w:r>
            <w:r>
              <w:rPr>
                <w:color w:val="auto"/>
                <w:highlight w:val="none"/>
              </w:rPr>
              <w:t>A</w:t>
            </w:r>
            <w:r>
              <w:rPr>
                <w:rFonts w:hint="eastAsia"/>
                <w:color w:val="auto"/>
                <w:highlight w:val="none"/>
                <w:lang w:eastAsia="zh-CN"/>
              </w:rPr>
              <w:t>）</w:t>
            </w:r>
            <w:r>
              <w:rPr>
                <w:color w:val="auto"/>
                <w:highlight w:val="none"/>
              </w:rPr>
              <w:t>的噪声级，厂房隔声墙、隔声窗隔声可达到20～30dB</w:t>
            </w:r>
            <w:r>
              <w:rPr>
                <w:rFonts w:hint="eastAsia"/>
                <w:color w:val="auto"/>
                <w:highlight w:val="none"/>
                <w:lang w:eastAsia="zh-CN"/>
              </w:rPr>
              <w:t>（</w:t>
            </w:r>
            <w:r>
              <w:rPr>
                <w:rFonts w:hint="eastAsia"/>
                <w:color w:val="auto"/>
                <w:highlight w:val="none"/>
                <w:lang w:val="en-US" w:eastAsia="zh-CN"/>
              </w:rPr>
              <w:t>A</w:t>
            </w:r>
            <w:r>
              <w:rPr>
                <w:rFonts w:hint="eastAsia"/>
                <w:color w:val="auto"/>
                <w:highlight w:val="none"/>
                <w:lang w:eastAsia="zh-CN"/>
              </w:rPr>
              <w:t>）</w:t>
            </w:r>
            <w:r>
              <w:rPr>
                <w:color w:val="auto"/>
                <w:highlight w:val="none"/>
              </w:rPr>
              <w:t>的隔声量。</w:t>
            </w:r>
          </w:p>
          <w:p w14:paraId="63E2C546">
            <w:pPr>
              <w:pStyle w:val="38"/>
              <w:bidi w:val="0"/>
              <w:rPr>
                <w:color w:val="auto"/>
                <w:highlight w:val="none"/>
              </w:rPr>
            </w:pPr>
            <w:r>
              <w:rPr>
                <w:color w:val="auto"/>
                <w:highlight w:val="none"/>
              </w:rPr>
              <w:t>项目噪声源调查情况见下表：</w:t>
            </w:r>
          </w:p>
          <w:p w14:paraId="585DB0F3">
            <w:pPr>
              <w:pStyle w:val="39"/>
              <w:rPr>
                <w:rFonts w:hint="default" w:ascii="Times New Roman" w:hAnsi="Times New Roman" w:cs="Times New Roman"/>
                <w:color w:val="auto"/>
                <w:highlight w:val="none"/>
              </w:rPr>
            </w:pPr>
            <w:r>
              <w:rPr>
                <w:rFonts w:hint="eastAsia"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28</w:t>
            </w:r>
            <w:r>
              <w:rPr>
                <w:rFonts w:hint="eastAsia" w:ascii="Times New Roman" w:hAnsi="Times New Roman" w:cs="Times New Roman"/>
                <w:color w:val="auto"/>
                <w:highlight w:val="none"/>
              </w:rPr>
              <w:t xml:space="preserve"> 拟建项目噪声源强调查清单（室内声源）</w:t>
            </w:r>
          </w:p>
          <w:tbl>
            <w:tblPr>
              <w:tblStyle w:val="29"/>
              <w:tblW w:w="490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9"/>
              <w:gridCol w:w="645"/>
              <w:gridCol w:w="756"/>
              <w:gridCol w:w="576"/>
              <w:gridCol w:w="597"/>
              <w:gridCol w:w="617"/>
              <w:gridCol w:w="569"/>
              <w:gridCol w:w="900"/>
              <w:gridCol w:w="782"/>
              <w:gridCol w:w="483"/>
              <w:gridCol w:w="726"/>
              <w:gridCol w:w="778"/>
              <w:gridCol w:w="653"/>
            </w:tblGrid>
            <w:tr w14:paraId="2B4ED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restart"/>
                  <w:tcBorders>
                    <w:top w:val="single" w:color="auto" w:sz="4" w:space="0"/>
                    <w:left w:val="single" w:color="auto" w:sz="4" w:space="0"/>
                    <w:right w:val="single" w:color="auto" w:sz="4" w:space="0"/>
                  </w:tcBorders>
                  <w:vAlign w:val="center"/>
                </w:tcPr>
                <w:p w14:paraId="7A35246F">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建筑物名称</w:t>
                  </w:r>
                </w:p>
              </w:tc>
              <w:tc>
                <w:tcPr>
                  <w:tcW w:w="376" w:type="pct"/>
                  <w:vMerge w:val="restart"/>
                  <w:tcBorders>
                    <w:top w:val="single" w:color="auto" w:sz="4" w:space="0"/>
                    <w:left w:val="single" w:color="auto" w:sz="4" w:space="0"/>
                    <w:right w:val="single" w:color="auto" w:sz="4" w:space="0"/>
                  </w:tcBorders>
                  <w:vAlign w:val="center"/>
                </w:tcPr>
                <w:p w14:paraId="762829D9">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声源</w:t>
                  </w:r>
                </w:p>
                <w:p w14:paraId="75F7CA43">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名称</w:t>
                  </w:r>
                </w:p>
              </w:tc>
              <w:tc>
                <w:tcPr>
                  <w:tcW w:w="439" w:type="pct"/>
                  <w:vMerge w:val="restart"/>
                  <w:tcBorders>
                    <w:top w:val="single" w:color="auto" w:sz="4" w:space="0"/>
                    <w:left w:val="single" w:color="auto" w:sz="4" w:space="0"/>
                    <w:right w:val="single" w:color="auto" w:sz="4" w:space="0"/>
                  </w:tcBorders>
                  <w:vAlign w:val="center"/>
                </w:tcPr>
                <w:p w14:paraId="0F7B4629">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声功率级</w:t>
                  </w:r>
                  <w:r>
                    <w:rPr>
                      <w:rFonts w:hint="eastAsia"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eastAsia="zh-CN"/>
                    </w:rPr>
                    <w:t>dB(A)</w:t>
                  </w:r>
                </w:p>
              </w:tc>
              <w:tc>
                <w:tcPr>
                  <w:tcW w:w="335" w:type="pct"/>
                  <w:vMerge w:val="restart"/>
                  <w:tcBorders>
                    <w:top w:val="single" w:color="auto" w:sz="4" w:space="0"/>
                    <w:left w:val="single" w:color="auto" w:sz="4" w:space="0"/>
                    <w:right w:val="single" w:color="auto" w:sz="4" w:space="0"/>
                  </w:tcBorders>
                  <w:vAlign w:val="center"/>
                </w:tcPr>
                <w:p w14:paraId="2551EE2E">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声源控制措施</w:t>
                  </w:r>
                </w:p>
              </w:tc>
              <w:tc>
                <w:tcPr>
                  <w:tcW w:w="1038" w:type="pct"/>
                  <w:gridSpan w:val="3"/>
                  <w:tcBorders>
                    <w:top w:val="single" w:color="auto" w:sz="4" w:space="0"/>
                    <w:left w:val="single" w:color="auto" w:sz="4" w:space="0"/>
                    <w:bottom w:val="single" w:color="auto" w:sz="4" w:space="0"/>
                    <w:right w:val="single" w:color="auto" w:sz="4" w:space="0"/>
                  </w:tcBorders>
                  <w:vAlign w:val="center"/>
                </w:tcPr>
                <w:p w14:paraId="0CEF795E">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空间相对位置</w:t>
                  </w:r>
                  <w:r>
                    <w:rPr>
                      <w:rFonts w:hint="eastAsia" w:ascii="Times New Roman" w:hAnsi="Times New Roman" w:eastAsia="宋体" w:cs="Times New Roman"/>
                      <w:color w:val="auto"/>
                      <w:sz w:val="18"/>
                      <w:szCs w:val="18"/>
                      <w:highlight w:val="none"/>
                      <w:lang w:eastAsia="zh-CN"/>
                    </w:rPr>
                    <w:t>/m</w:t>
                  </w:r>
                </w:p>
              </w:tc>
              <w:tc>
                <w:tcPr>
                  <w:tcW w:w="524" w:type="pct"/>
                  <w:vMerge w:val="restart"/>
                  <w:tcBorders>
                    <w:top w:val="single" w:color="auto" w:sz="4" w:space="0"/>
                    <w:left w:val="single" w:color="auto" w:sz="4" w:space="0"/>
                    <w:right w:val="single" w:color="auto" w:sz="4" w:space="0"/>
                  </w:tcBorders>
                  <w:vAlign w:val="center"/>
                </w:tcPr>
                <w:p w14:paraId="299D8D19">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距室内边界距离</w:t>
                  </w:r>
                  <w:r>
                    <w:rPr>
                      <w:rFonts w:hint="eastAsia" w:ascii="Times New Roman" w:hAnsi="Times New Roman" w:eastAsia="宋体" w:cs="Times New Roman"/>
                      <w:color w:val="auto"/>
                      <w:sz w:val="18"/>
                      <w:szCs w:val="18"/>
                      <w:highlight w:val="none"/>
                      <w:lang w:eastAsia="zh-CN"/>
                    </w:rPr>
                    <w:t>/m</w:t>
                  </w:r>
                </w:p>
              </w:tc>
              <w:tc>
                <w:tcPr>
                  <w:tcW w:w="455" w:type="pct"/>
                  <w:vMerge w:val="restart"/>
                  <w:tcBorders>
                    <w:top w:val="single" w:color="auto" w:sz="4" w:space="0"/>
                    <w:left w:val="single" w:color="auto" w:sz="4" w:space="0"/>
                    <w:right w:val="single" w:color="auto" w:sz="4" w:space="0"/>
                  </w:tcBorders>
                  <w:vAlign w:val="center"/>
                </w:tcPr>
                <w:p w14:paraId="5B8DFB2E">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室内边界声级</w:t>
                  </w:r>
                  <w:r>
                    <w:rPr>
                      <w:rFonts w:hint="eastAsia"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eastAsia="zh-CN"/>
                    </w:rPr>
                    <w:t>dB(A)</w:t>
                  </w:r>
                </w:p>
              </w:tc>
              <w:tc>
                <w:tcPr>
                  <w:tcW w:w="281" w:type="pct"/>
                  <w:vMerge w:val="restart"/>
                  <w:tcBorders>
                    <w:top w:val="single" w:color="auto" w:sz="4" w:space="0"/>
                    <w:left w:val="single" w:color="auto" w:sz="4" w:space="0"/>
                    <w:right w:val="single" w:color="auto" w:sz="4" w:space="0"/>
                  </w:tcBorders>
                  <w:vAlign w:val="center"/>
                </w:tcPr>
                <w:p w14:paraId="712B8B3C">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运行时段</w:t>
                  </w:r>
                </w:p>
              </w:tc>
              <w:tc>
                <w:tcPr>
                  <w:tcW w:w="422" w:type="pct"/>
                  <w:vMerge w:val="restart"/>
                  <w:tcBorders>
                    <w:top w:val="single" w:color="auto" w:sz="4" w:space="0"/>
                    <w:left w:val="single" w:color="auto" w:sz="4" w:space="0"/>
                    <w:right w:val="single" w:color="auto" w:sz="4" w:space="0"/>
                  </w:tcBorders>
                  <w:vAlign w:val="center"/>
                </w:tcPr>
                <w:p w14:paraId="4A30338D">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建筑物插入损失/</w:t>
                  </w:r>
                  <w:r>
                    <w:rPr>
                      <w:rFonts w:hint="default" w:ascii="Times New Roman" w:hAnsi="Times New Roman" w:eastAsia="宋体" w:cs="Times New Roman"/>
                      <w:color w:val="auto"/>
                      <w:sz w:val="18"/>
                      <w:szCs w:val="18"/>
                      <w:highlight w:val="none"/>
                      <w:lang w:eastAsia="zh-CN"/>
                    </w:rPr>
                    <w:t>dB(A)</w:t>
                  </w:r>
                </w:p>
              </w:tc>
              <w:tc>
                <w:tcPr>
                  <w:tcW w:w="827" w:type="pct"/>
                  <w:gridSpan w:val="2"/>
                  <w:tcBorders>
                    <w:top w:val="single" w:color="auto" w:sz="4" w:space="0"/>
                    <w:left w:val="single" w:color="auto" w:sz="4" w:space="0"/>
                    <w:bottom w:val="single" w:color="auto" w:sz="4" w:space="0"/>
                    <w:right w:val="single" w:color="auto" w:sz="4" w:space="0"/>
                  </w:tcBorders>
                  <w:vAlign w:val="center"/>
                </w:tcPr>
                <w:p w14:paraId="293657EA">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建筑物外噪声</w:t>
                  </w:r>
                </w:p>
              </w:tc>
            </w:tr>
            <w:tr w14:paraId="08B2E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bottom w:val="single" w:color="auto" w:sz="4" w:space="0"/>
                    <w:right w:val="single" w:color="auto" w:sz="4" w:space="0"/>
                  </w:tcBorders>
                  <w:vAlign w:val="center"/>
                </w:tcPr>
                <w:p w14:paraId="7DBD27C6">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vAlign w:val="center"/>
                </w:tcPr>
                <w:p w14:paraId="721918E5">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bottom w:val="single" w:color="auto" w:sz="4" w:space="0"/>
                    <w:right w:val="single" w:color="auto" w:sz="4" w:space="0"/>
                  </w:tcBorders>
                  <w:vAlign w:val="center"/>
                </w:tcPr>
                <w:p w14:paraId="6E4D5FB2">
                  <w:pPr>
                    <w:pStyle w:val="41"/>
                    <w:rPr>
                      <w:rFonts w:hint="default" w:ascii="Times New Roman" w:hAnsi="Times New Roman" w:eastAsia="宋体" w:cs="Times New Roman"/>
                      <w:color w:val="auto"/>
                      <w:sz w:val="18"/>
                      <w:szCs w:val="18"/>
                      <w:highlight w:val="none"/>
                      <w:lang w:eastAsia="zh-CN"/>
                    </w:rPr>
                  </w:pPr>
                </w:p>
              </w:tc>
              <w:tc>
                <w:tcPr>
                  <w:tcW w:w="335" w:type="pct"/>
                  <w:vMerge w:val="continue"/>
                  <w:tcBorders>
                    <w:left w:val="single" w:color="auto" w:sz="4" w:space="0"/>
                    <w:bottom w:val="single" w:color="auto" w:sz="4" w:space="0"/>
                    <w:right w:val="single" w:color="auto" w:sz="4" w:space="0"/>
                  </w:tcBorders>
                  <w:vAlign w:val="center"/>
                </w:tcPr>
                <w:p w14:paraId="608ECEC3">
                  <w:pPr>
                    <w:pStyle w:val="41"/>
                    <w:rPr>
                      <w:rFonts w:hint="default" w:ascii="Times New Roman" w:hAnsi="Times New Roman" w:eastAsia="宋体" w:cs="Times New Roman"/>
                      <w:color w:val="auto"/>
                      <w:sz w:val="18"/>
                      <w:szCs w:val="18"/>
                      <w:highlight w:val="none"/>
                      <w:lang w:eastAsia="zh-CN"/>
                    </w:rPr>
                  </w:pPr>
                </w:p>
              </w:tc>
              <w:tc>
                <w:tcPr>
                  <w:tcW w:w="348" w:type="pct"/>
                  <w:tcBorders>
                    <w:top w:val="single" w:color="auto" w:sz="4" w:space="0"/>
                    <w:left w:val="single" w:color="auto" w:sz="4" w:space="0"/>
                    <w:bottom w:val="single" w:color="auto" w:sz="4" w:space="0"/>
                    <w:right w:val="single" w:color="auto" w:sz="4" w:space="0"/>
                  </w:tcBorders>
                  <w:vAlign w:val="center"/>
                </w:tcPr>
                <w:p w14:paraId="29B93593">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X</w:t>
                  </w:r>
                </w:p>
              </w:tc>
              <w:tc>
                <w:tcPr>
                  <w:tcW w:w="359" w:type="pct"/>
                  <w:tcBorders>
                    <w:top w:val="single" w:color="auto" w:sz="4" w:space="0"/>
                    <w:left w:val="single" w:color="auto" w:sz="4" w:space="0"/>
                    <w:bottom w:val="single" w:color="auto" w:sz="4" w:space="0"/>
                    <w:right w:val="single" w:color="auto" w:sz="4" w:space="0"/>
                  </w:tcBorders>
                  <w:vAlign w:val="center"/>
                </w:tcPr>
                <w:p w14:paraId="0997C4AF">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Y</w:t>
                  </w:r>
                </w:p>
              </w:tc>
              <w:tc>
                <w:tcPr>
                  <w:tcW w:w="329" w:type="pct"/>
                  <w:tcBorders>
                    <w:top w:val="single" w:color="auto" w:sz="4" w:space="0"/>
                    <w:left w:val="single" w:color="auto" w:sz="4" w:space="0"/>
                    <w:bottom w:val="single" w:color="auto" w:sz="4" w:space="0"/>
                    <w:right w:val="single" w:color="auto" w:sz="4" w:space="0"/>
                  </w:tcBorders>
                  <w:vAlign w:val="center"/>
                </w:tcPr>
                <w:p w14:paraId="58F82262">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Z</w:t>
                  </w:r>
                </w:p>
              </w:tc>
              <w:tc>
                <w:tcPr>
                  <w:tcW w:w="524" w:type="pct"/>
                  <w:vMerge w:val="continue"/>
                  <w:tcBorders>
                    <w:left w:val="single" w:color="auto" w:sz="4" w:space="0"/>
                    <w:bottom w:val="single" w:color="auto" w:sz="4" w:space="0"/>
                    <w:right w:val="single" w:color="auto" w:sz="4" w:space="0"/>
                  </w:tcBorders>
                  <w:vAlign w:val="center"/>
                </w:tcPr>
                <w:p w14:paraId="39C31B29">
                  <w:pPr>
                    <w:pStyle w:val="41"/>
                    <w:rPr>
                      <w:rFonts w:hint="default" w:ascii="Times New Roman" w:hAnsi="Times New Roman" w:eastAsia="宋体" w:cs="Times New Roman"/>
                      <w:color w:val="auto"/>
                      <w:sz w:val="18"/>
                      <w:szCs w:val="18"/>
                      <w:highlight w:val="none"/>
                      <w:lang w:eastAsia="zh-CN"/>
                    </w:rPr>
                  </w:pPr>
                </w:p>
              </w:tc>
              <w:tc>
                <w:tcPr>
                  <w:tcW w:w="455" w:type="pct"/>
                  <w:vMerge w:val="continue"/>
                  <w:tcBorders>
                    <w:left w:val="single" w:color="auto" w:sz="4" w:space="0"/>
                    <w:bottom w:val="single" w:color="auto" w:sz="4" w:space="0"/>
                    <w:right w:val="single" w:color="auto" w:sz="4" w:space="0"/>
                  </w:tcBorders>
                  <w:vAlign w:val="center"/>
                </w:tcPr>
                <w:p w14:paraId="63598E8A">
                  <w:pPr>
                    <w:pStyle w:val="41"/>
                    <w:rPr>
                      <w:rFonts w:hint="default" w:ascii="Times New Roman" w:hAnsi="Times New Roman" w:eastAsia="宋体" w:cs="Times New Roman"/>
                      <w:color w:val="auto"/>
                      <w:sz w:val="18"/>
                      <w:szCs w:val="18"/>
                      <w:highlight w:val="none"/>
                      <w:lang w:eastAsia="zh-CN"/>
                    </w:rPr>
                  </w:pPr>
                </w:p>
              </w:tc>
              <w:tc>
                <w:tcPr>
                  <w:tcW w:w="281" w:type="pct"/>
                  <w:vMerge w:val="continue"/>
                  <w:tcBorders>
                    <w:left w:val="single" w:color="auto" w:sz="4" w:space="0"/>
                    <w:bottom w:val="single" w:color="auto" w:sz="4" w:space="0"/>
                    <w:right w:val="single" w:color="auto" w:sz="4" w:space="0"/>
                  </w:tcBorders>
                  <w:vAlign w:val="center"/>
                </w:tcPr>
                <w:p w14:paraId="3584E987">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bottom w:val="single" w:color="auto" w:sz="4" w:space="0"/>
                    <w:right w:val="single" w:color="auto" w:sz="4" w:space="0"/>
                  </w:tcBorders>
                  <w:vAlign w:val="center"/>
                </w:tcPr>
                <w:p w14:paraId="5AEB8060">
                  <w:pPr>
                    <w:pStyle w:val="41"/>
                    <w:rPr>
                      <w:rFonts w:hint="default" w:ascii="Times New Roman" w:hAnsi="Times New Roman" w:eastAsia="宋体" w:cs="Times New Roman"/>
                      <w:color w:val="auto"/>
                      <w:sz w:val="18"/>
                      <w:szCs w:val="18"/>
                      <w:highlight w:val="none"/>
                      <w:lang w:eastAsia="zh-CN"/>
                    </w:rPr>
                  </w:pPr>
                </w:p>
              </w:tc>
              <w:tc>
                <w:tcPr>
                  <w:tcW w:w="453" w:type="pct"/>
                  <w:tcBorders>
                    <w:top w:val="single" w:color="auto" w:sz="4" w:space="0"/>
                    <w:left w:val="single" w:color="auto" w:sz="4" w:space="0"/>
                    <w:bottom w:val="single" w:color="auto" w:sz="4" w:space="0"/>
                    <w:right w:val="single" w:color="auto" w:sz="4" w:space="0"/>
                  </w:tcBorders>
                  <w:vAlign w:val="center"/>
                </w:tcPr>
                <w:p w14:paraId="237B98F5">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声压级</w:t>
                  </w:r>
                  <w:r>
                    <w:rPr>
                      <w:rFonts w:hint="eastAsia"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eastAsia="zh-CN"/>
                    </w:rPr>
                    <w:t>dB(A)</w:t>
                  </w:r>
                </w:p>
              </w:tc>
              <w:tc>
                <w:tcPr>
                  <w:tcW w:w="373" w:type="pct"/>
                  <w:tcBorders>
                    <w:top w:val="single" w:color="auto" w:sz="4" w:space="0"/>
                    <w:left w:val="single" w:color="auto" w:sz="4" w:space="0"/>
                    <w:bottom w:val="single" w:color="auto" w:sz="4" w:space="0"/>
                    <w:right w:val="single" w:color="auto" w:sz="4" w:space="0"/>
                  </w:tcBorders>
                  <w:tcMar>
                    <w:left w:w="57" w:type="dxa"/>
                    <w:right w:w="57" w:type="dxa"/>
                  </w:tcMar>
                  <w:vAlign w:val="center"/>
                </w:tcPr>
                <w:p w14:paraId="120304F8">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建筑物外距离</w:t>
                  </w:r>
                </w:p>
              </w:tc>
            </w:tr>
            <w:tr w14:paraId="37C38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restart"/>
                  <w:tcBorders>
                    <w:top w:val="single" w:color="auto" w:sz="4" w:space="0"/>
                    <w:left w:val="single" w:color="auto" w:sz="4" w:space="0"/>
                    <w:right w:val="single" w:color="auto" w:sz="4" w:space="0"/>
                  </w:tcBorders>
                  <w:tcMar>
                    <w:left w:w="57" w:type="dxa"/>
                    <w:right w:w="57" w:type="dxa"/>
                  </w:tcMar>
                  <w:vAlign w:val="center"/>
                </w:tcPr>
                <w:p w14:paraId="574382BF">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项目生产</w:t>
                  </w:r>
                  <w:r>
                    <w:rPr>
                      <w:rFonts w:hint="default" w:ascii="Times New Roman" w:hAnsi="Times New Roman" w:eastAsia="宋体" w:cs="Times New Roman"/>
                      <w:color w:val="auto"/>
                      <w:sz w:val="18"/>
                      <w:szCs w:val="18"/>
                      <w:highlight w:val="none"/>
                      <w:lang w:eastAsia="zh-CN"/>
                    </w:rPr>
                    <w:t>车间</w:t>
                  </w:r>
                </w:p>
              </w:tc>
              <w:tc>
                <w:tcPr>
                  <w:tcW w:w="376" w:type="pct"/>
                  <w:vMerge w:val="restart"/>
                  <w:tcBorders>
                    <w:top w:val="single" w:color="auto" w:sz="4" w:space="0"/>
                    <w:left w:val="single" w:color="auto" w:sz="4" w:space="0"/>
                    <w:right w:val="single" w:color="auto" w:sz="4" w:space="0"/>
                  </w:tcBorders>
                  <w:tcMar>
                    <w:left w:w="57" w:type="dxa"/>
                    <w:right w:w="57" w:type="dxa"/>
                  </w:tcMar>
                  <w:vAlign w:val="center"/>
                </w:tcPr>
                <w:p w14:paraId="2AE7D10B">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引</w:t>
                  </w:r>
                  <w:r>
                    <w:rPr>
                      <w:rFonts w:hint="default" w:ascii="Times New Roman" w:hAnsi="Times New Roman" w:eastAsia="宋体" w:cs="Times New Roman"/>
                      <w:color w:val="auto"/>
                      <w:sz w:val="18"/>
                      <w:szCs w:val="18"/>
                      <w:highlight w:val="none"/>
                      <w:lang w:eastAsia="zh-CN"/>
                    </w:rPr>
                    <w:t>风机</w:t>
                  </w:r>
                </w:p>
              </w:tc>
              <w:tc>
                <w:tcPr>
                  <w:tcW w:w="439" w:type="pct"/>
                  <w:vMerge w:val="restart"/>
                  <w:tcBorders>
                    <w:top w:val="single" w:color="auto" w:sz="4" w:space="0"/>
                    <w:left w:val="single" w:color="auto" w:sz="4" w:space="0"/>
                    <w:right w:val="single" w:color="auto" w:sz="4" w:space="0"/>
                  </w:tcBorders>
                  <w:vAlign w:val="center"/>
                </w:tcPr>
                <w:p w14:paraId="47D68754">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85</w:t>
                  </w:r>
                </w:p>
              </w:tc>
              <w:tc>
                <w:tcPr>
                  <w:tcW w:w="335" w:type="pct"/>
                  <w:vMerge w:val="restart"/>
                  <w:tcBorders>
                    <w:top w:val="single" w:color="auto" w:sz="4" w:space="0"/>
                    <w:left w:val="single" w:color="auto" w:sz="4" w:space="0"/>
                    <w:right w:val="single" w:color="auto" w:sz="4" w:space="0"/>
                  </w:tcBorders>
                  <w:vAlign w:val="center"/>
                </w:tcPr>
                <w:p w14:paraId="65C9012B">
                  <w:pPr>
                    <w:pStyle w:val="41"/>
                    <w:rPr>
                      <w:rFonts w:hint="default" w:ascii="Times New Roman" w:hAnsi="Times New Roman" w:eastAsia="宋体" w:cs="Times New Roman"/>
                      <w:color w:val="FF0000"/>
                      <w:sz w:val="18"/>
                      <w:szCs w:val="18"/>
                      <w:highlight w:val="none"/>
                      <w:lang w:val="zh-CN" w:eastAsia="zh-CN"/>
                    </w:rPr>
                  </w:pPr>
                  <w:r>
                    <w:rPr>
                      <w:rFonts w:hint="default" w:ascii="Times New Roman" w:hAnsi="Times New Roman" w:eastAsia="宋体" w:cs="Times New Roman"/>
                      <w:color w:val="FF0000"/>
                      <w:sz w:val="18"/>
                      <w:szCs w:val="18"/>
                      <w:highlight w:val="none"/>
                      <w:lang w:val="zh-CN" w:eastAsia="zh-CN"/>
                    </w:rPr>
                    <w:t>基础减振</w:t>
                  </w:r>
                  <w:r>
                    <w:rPr>
                      <w:rFonts w:hint="eastAsia" w:ascii="Times New Roman" w:hAnsi="Times New Roman" w:cs="Times New Roman"/>
                      <w:color w:val="FF0000"/>
                      <w:sz w:val="18"/>
                      <w:szCs w:val="18"/>
                      <w:highlight w:val="none"/>
                      <w:lang w:val="zh-CN" w:eastAsia="zh-CN"/>
                    </w:rPr>
                    <w:t>、</w:t>
                  </w:r>
                </w:p>
                <w:p w14:paraId="1674729C">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FF0000"/>
                      <w:sz w:val="18"/>
                      <w:szCs w:val="18"/>
                      <w:highlight w:val="none"/>
                      <w:lang w:val="zh-CN" w:eastAsia="zh-CN"/>
                    </w:rPr>
                    <w:t>消声</w:t>
                  </w:r>
                  <w:r>
                    <w:rPr>
                      <w:rFonts w:hint="eastAsia" w:ascii="Times New Roman" w:hAnsi="Times New Roman" w:cs="Times New Roman"/>
                      <w:color w:val="FF0000"/>
                      <w:sz w:val="18"/>
                      <w:szCs w:val="18"/>
                      <w:highlight w:val="none"/>
                      <w:lang w:val="zh-CN" w:eastAsia="zh-CN"/>
                    </w:rPr>
                    <w:t>、隔声</w:t>
                  </w:r>
                </w:p>
              </w:tc>
              <w:tc>
                <w:tcPr>
                  <w:tcW w:w="348" w:type="pct"/>
                  <w:vMerge w:val="restart"/>
                  <w:tcBorders>
                    <w:top w:val="single" w:color="auto" w:sz="4" w:space="0"/>
                    <w:left w:val="single" w:color="auto" w:sz="4" w:space="0"/>
                    <w:right w:val="single" w:color="auto" w:sz="4" w:space="0"/>
                  </w:tcBorders>
                  <w:vAlign w:val="center"/>
                </w:tcPr>
                <w:p w14:paraId="06094A0D">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44</w:t>
                  </w:r>
                </w:p>
              </w:tc>
              <w:tc>
                <w:tcPr>
                  <w:tcW w:w="359" w:type="pct"/>
                  <w:vMerge w:val="restart"/>
                  <w:tcBorders>
                    <w:top w:val="single" w:color="auto" w:sz="4" w:space="0"/>
                    <w:left w:val="single" w:color="auto" w:sz="4" w:space="0"/>
                    <w:right w:val="single" w:color="auto" w:sz="4" w:space="0"/>
                  </w:tcBorders>
                  <w:vAlign w:val="center"/>
                </w:tcPr>
                <w:p w14:paraId="16D90CEC">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72</w:t>
                  </w:r>
                </w:p>
              </w:tc>
              <w:tc>
                <w:tcPr>
                  <w:tcW w:w="329" w:type="pct"/>
                  <w:vMerge w:val="restart"/>
                  <w:tcBorders>
                    <w:top w:val="single" w:color="auto" w:sz="4" w:space="0"/>
                    <w:left w:val="single" w:color="auto" w:sz="4" w:space="0"/>
                    <w:right w:val="single" w:color="auto" w:sz="4" w:space="0"/>
                  </w:tcBorders>
                  <w:vAlign w:val="center"/>
                </w:tcPr>
                <w:p w14:paraId="5EF10F8E">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1.2</w:t>
                  </w:r>
                </w:p>
              </w:tc>
              <w:tc>
                <w:tcPr>
                  <w:tcW w:w="524" w:type="pct"/>
                  <w:tcBorders>
                    <w:top w:val="single" w:color="auto" w:sz="4" w:space="0"/>
                    <w:left w:val="single" w:color="auto" w:sz="4" w:space="0"/>
                    <w:bottom w:val="single" w:color="auto" w:sz="4" w:space="0"/>
                    <w:right w:val="single" w:color="auto" w:sz="4" w:space="0"/>
                  </w:tcBorders>
                  <w:vAlign w:val="center"/>
                </w:tcPr>
                <w:p w14:paraId="4363853E">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东：</w:t>
                  </w:r>
                  <w:r>
                    <w:rPr>
                      <w:rFonts w:hint="eastAsia" w:ascii="Times New Roman" w:hAnsi="Times New Roman" w:eastAsia="宋体" w:cs="Times New Roman"/>
                      <w:color w:val="auto"/>
                      <w:sz w:val="18"/>
                      <w:szCs w:val="18"/>
                      <w:highlight w:val="none"/>
                      <w:lang w:val="en-US" w:eastAsia="zh-CN"/>
                    </w:rPr>
                    <w:t>3</w:t>
                  </w:r>
                </w:p>
              </w:tc>
              <w:tc>
                <w:tcPr>
                  <w:tcW w:w="455" w:type="pct"/>
                  <w:tcBorders>
                    <w:top w:val="single" w:color="auto" w:sz="4" w:space="0"/>
                    <w:left w:val="single" w:color="auto" w:sz="4" w:space="0"/>
                    <w:right w:val="single" w:color="auto" w:sz="4" w:space="0"/>
                  </w:tcBorders>
                  <w:vAlign w:val="center"/>
                </w:tcPr>
                <w:p w14:paraId="29CC3AD5">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75.5</w:t>
                  </w:r>
                </w:p>
              </w:tc>
              <w:tc>
                <w:tcPr>
                  <w:tcW w:w="281" w:type="pct"/>
                  <w:vMerge w:val="restart"/>
                  <w:tcBorders>
                    <w:top w:val="single" w:color="auto" w:sz="4" w:space="0"/>
                    <w:left w:val="single" w:color="auto" w:sz="4" w:space="0"/>
                    <w:right w:val="single" w:color="auto" w:sz="4" w:space="0"/>
                  </w:tcBorders>
                  <w:vAlign w:val="center"/>
                </w:tcPr>
                <w:p w14:paraId="7E6AD8B6">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val="en-US" w:eastAsia="zh-CN"/>
                    </w:rPr>
                    <w:t>8</w:t>
                  </w:r>
                  <w:r>
                    <w:rPr>
                      <w:rFonts w:hint="default" w:ascii="Times New Roman" w:hAnsi="Times New Roman" w:eastAsia="宋体" w:cs="Times New Roman"/>
                      <w:color w:val="auto"/>
                      <w:sz w:val="18"/>
                      <w:szCs w:val="18"/>
                      <w:highlight w:val="none"/>
                      <w:lang w:eastAsia="zh-CN"/>
                    </w:rPr>
                    <w:t>h</w:t>
                  </w:r>
                </w:p>
              </w:tc>
              <w:tc>
                <w:tcPr>
                  <w:tcW w:w="422" w:type="pct"/>
                  <w:vMerge w:val="restart"/>
                  <w:tcBorders>
                    <w:top w:val="single" w:color="auto" w:sz="4" w:space="0"/>
                    <w:left w:val="single" w:color="auto" w:sz="4" w:space="0"/>
                    <w:right w:val="single" w:color="auto" w:sz="4" w:space="0"/>
                  </w:tcBorders>
                  <w:vAlign w:val="center"/>
                </w:tcPr>
                <w:p w14:paraId="342D15B8">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cs="Times New Roman"/>
                      <w:color w:val="FF0000"/>
                      <w:sz w:val="18"/>
                      <w:szCs w:val="18"/>
                      <w:highlight w:val="none"/>
                      <w:lang w:val="en-US" w:eastAsia="zh-CN"/>
                    </w:rPr>
                    <w:t>15</w:t>
                  </w:r>
                </w:p>
              </w:tc>
              <w:tc>
                <w:tcPr>
                  <w:tcW w:w="453" w:type="pct"/>
                  <w:tcBorders>
                    <w:top w:val="single" w:color="auto" w:sz="4" w:space="0"/>
                    <w:left w:val="single" w:color="auto" w:sz="4" w:space="0"/>
                    <w:right w:val="single" w:color="auto" w:sz="4" w:space="0"/>
                  </w:tcBorders>
                  <w:shd w:val="clear" w:color="auto" w:fill="auto"/>
                  <w:vAlign w:val="center"/>
                </w:tcPr>
                <w:p w14:paraId="6C1357F7">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60.5</w:t>
                  </w:r>
                </w:p>
              </w:tc>
              <w:tc>
                <w:tcPr>
                  <w:tcW w:w="373" w:type="pct"/>
                  <w:vMerge w:val="restart"/>
                  <w:tcBorders>
                    <w:top w:val="single" w:color="auto" w:sz="4" w:space="0"/>
                    <w:left w:val="single" w:color="auto" w:sz="4" w:space="0"/>
                    <w:right w:val="single" w:color="auto" w:sz="4" w:space="0"/>
                  </w:tcBorders>
                  <w:vAlign w:val="center"/>
                </w:tcPr>
                <w:p w14:paraId="41994962">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1</w:t>
                  </w:r>
                </w:p>
              </w:tc>
            </w:tr>
            <w:tr w14:paraId="5284E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16905639">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28A82788">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533941A0">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77355683">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1D002315">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31832826">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65FBFBEF">
                  <w:pPr>
                    <w:pStyle w:val="41"/>
                    <w:rPr>
                      <w:rFonts w:hint="default" w:ascii="Times New Roman" w:hAnsi="Times New Roman" w:eastAsia="宋体" w:cs="Times New Roman"/>
                      <w:color w:val="auto"/>
                      <w:sz w:val="18"/>
                      <w:szCs w:val="18"/>
                      <w:highlight w:val="none"/>
                      <w:lang w:eastAsia="zh-CN"/>
                    </w:rPr>
                  </w:pPr>
                </w:p>
              </w:tc>
              <w:tc>
                <w:tcPr>
                  <w:tcW w:w="524" w:type="pct"/>
                  <w:tcBorders>
                    <w:top w:val="single" w:color="auto" w:sz="4" w:space="0"/>
                    <w:left w:val="single" w:color="auto" w:sz="4" w:space="0"/>
                    <w:bottom w:val="single" w:color="auto" w:sz="4" w:space="0"/>
                    <w:right w:val="single" w:color="auto" w:sz="4" w:space="0"/>
                  </w:tcBorders>
                  <w:vAlign w:val="center"/>
                </w:tcPr>
                <w:p w14:paraId="66690C7C">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南：</w:t>
                  </w:r>
                  <w:r>
                    <w:rPr>
                      <w:rFonts w:hint="eastAsia" w:ascii="Times New Roman" w:hAnsi="Times New Roman" w:eastAsia="宋体" w:cs="Times New Roman"/>
                      <w:color w:val="auto"/>
                      <w:sz w:val="18"/>
                      <w:szCs w:val="18"/>
                      <w:highlight w:val="none"/>
                      <w:lang w:val="en-US" w:eastAsia="zh-CN"/>
                    </w:rPr>
                    <w:t>32</w:t>
                  </w:r>
                </w:p>
              </w:tc>
              <w:tc>
                <w:tcPr>
                  <w:tcW w:w="455" w:type="pct"/>
                  <w:tcBorders>
                    <w:left w:val="single" w:color="auto" w:sz="4" w:space="0"/>
                    <w:right w:val="single" w:color="auto" w:sz="4" w:space="0"/>
                  </w:tcBorders>
                  <w:vAlign w:val="center"/>
                </w:tcPr>
                <w:p w14:paraId="10D8D530">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54.9</w:t>
                  </w:r>
                </w:p>
              </w:tc>
              <w:tc>
                <w:tcPr>
                  <w:tcW w:w="281" w:type="pct"/>
                  <w:vMerge w:val="continue"/>
                  <w:tcBorders>
                    <w:left w:val="single" w:color="auto" w:sz="4" w:space="0"/>
                    <w:right w:val="single" w:color="auto" w:sz="4" w:space="0"/>
                  </w:tcBorders>
                  <w:vAlign w:val="center"/>
                </w:tcPr>
                <w:p w14:paraId="3EE5D3BD">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48EFE57C">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74B9BED4">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39.9</w:t>
                  </w:r>
                </w:p>
              </w:tc>
              <w:tc>
                <w:tcPr>
                  <w:tcW w:w="373" w:type="pct"/>
                  <w:vMerge w:val="continue"/>
                  <w:tcBorders>
                    <w:left w:val="single" w:color="auto" w:sz="4" w:space="0"/>
                    <w:right w:val="single" w:color="auto" w:sz="4" w:space="0"/>
                  </w:tcBorders>
                  <w:vAlign w:val="center"/>
                </w:tcPr>
                <w:p w14:paraId="5EC53F41">
                  <w:pPr>
                    <w:pStyle w:val="41"/>
                    <w:rPr>
                      <w:rFonts w:hint="default" w:ascii="Times New Roman" w:hAnsi="Times New Roman" w:eastAsia="宋体" w:cs="Times New Roman"/>
                      <w:color w:val="auto"/>
                      <w:sz w:val="18"/>
                      <w:szCs w:val="18"/>
                      <w:highlight w:val="none"/>
                      <w:lang w:eastAsia="zh-CN"/>
                    </w:rPr>
                  </w:pPr>
                </w:p>
              </w:tc>
            </w:tr>
            <w:tr w14:paraId="46F93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27344FA1">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32B72B4D">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3261FDA2">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20451892">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65CC743B">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01D5242A">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3E07D72E">
                  <w:pPr>
                    <w:pStyle w:val="41"/>
                    <w:rPr>
                      <w:rFonts w:hint="default" w:ascii="Times New Roman" w:hAnsi="Times New Roman" w:eastAsia="宋体" w:cs="Times New Roman"/>
                      <w:color w:val="auto"/>
                      <w:sz w:val="18"/>
                      <w:szCs w:val="18"/>
                      <w:highlight w:val="none"/>
                      <w:lang w:eastAsia="zh-CN"/>
                    </w:rPr>
                  </w:pPr>
                </w:p>
              </w:tc>
              <w:tc>
                <w:tcPr>
                  <w:tcW w:w="524" w:type="pct"/>
                  <w:tcBorders>
                    <w:top w:val="single" w:color="auto" w:sz="4" w:space="0"/>
                    <w:left w:val="single" w:color="auto" w:sz="4" w:space="0"/>
                    <w:bottom w:val="single" w:color="auto" w:sz="4" w:space="0"/>
                    <w:right w:val="single" w:color="auto" w:sz="4" w:space="0"/>
                  </w:tcBorders>
                  <w:vAlign w:val="center"/>
                </w:tcPr>
                <w:p w14:paraId="7F7697B8">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西：</w:t>
                  </w:r>
                  <w:r>
                    <w:rPr>
                      <w:rFonts w:hint="eastAsia" w:ascii="Times New Roman" w:hAnsi="Times New Roman" w:eastAsia="宋体" w:cs="Times New Roman"/>
                      <w:color w:val="auto"/>
                      <w:sz w:val="18"/>
                      <w:szCs w:val="18"/>
                      <w:highlight w:val="none"/>
                      <w:lang w:val="en-US" w:eastAsia="zh-CN"/>
                    </w:rPr>
                    <w:t>37</w:t>
                  </w:r>
                </w:p>
              </w:tc>
              <w:tc>
                <w:tcPr>
                  <w:tcW w:w="455" w:type="pct"/>
                  <w:tcBorders>
                    <w:left w:val="single" w:color="auto" w:sz="4" w:space="0"/>
                    <w:right w:val="single" w:color="auto" w:sz="4" w:space="0"/>
                  </w:tcBorders>
                  <w:vAlign w:val="center"/>
                </w:tcPr>
                <w:p w14:paraId="1BF186B0">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53.6</w:t>
                  </w:r>
                </w:p>
              </w:tc>
              <w:tc>
                <w:tcPr>
                  <w:tcW w:w="281" w:type="pct"/>
                  <w:vMerge w:val="continue"/>
                  <w:tcBorders>
                    <w:left w:val="single" w:color="auto" w:sz="4" w:space="0"/>
                    <w:right w:val="single" w:color="auto" w:sz="4" w:space="0"/>
                  </w:tcBorders>
                  <w:vAlign w:val="center"/>
                </w:tcPr>
                <w:p w14:paraId="7881CCD5">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04D3E5D0">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5A22157B">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38.6</w:t>
                  </w:r>
                </w:p>
              </w:tc>
              <w:tc>
                <w:tcPr>
                  <w:tcW w:w="373" w:type="pct"/>
                  <w:vMerge w:val="continue"/>
                  <w:tcBorders>
                    <w:left w:val="single" w:color="auto" w:sz="4" w:space="0"/>
                    <w:right w:val="single" w:color="auto" w:sz="4" w:space="0"/>
                  </w:tcBorders>
                  <w:vAlign w:val="center"/>
                </w:tcPr>
                <w:p w14:paraId="0838153D">
                  <w:pPr>
                    <w:pStyle w:val="41"/>
                    <w:rPr>
                      <w:rFonts w:hint="default" w:ascii="Times New Roman" w:hAnsi="Times New Roman" w:eastAsia="宋体" w:cs="Times New Roman"/>
                      <w:color w:val="auto"/>
                      <w:sz w:val="18"/>
                      <w:szCs w:val="18"/>
                      <w:highlight w:val="none"/>
                      <w:lang w:eastAsia="zh-CN"/>
                    </w:rPr>
                  </w:pPr>
                </w:p>
              </w:tc>
            </w:tr>
            <w:tr w14:paraId="28453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4A239C91">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bottom w:val="single" w:color="auto" w:sz="4" w:space="0"/>
                    <w:right w:val="single" w:color="auto" w:sz="4" w:space="0"/>
                  </w:tcBorders>
                  <w:tcMar>
                    <w:left w:w="57" w:type="dxa"/>
                    <w:right w:w="57" w:type="dxa"/>
                  </w:tcMar>
                  <w:vAlign w:val="center"/>
                </w:tcPr>
                <w:p w14:paraId="014D96B4">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bottom w:val="single" w:color="auto" w:sz="4" w:space="0"/>
                    <w:right w:val="single" w:color="auto" w:sz="4" w:space="0"/>
                  </w:tcBorders>
                  <w:vAlign w:val="center"/>
                </w:tcPr>
                <w:p w14:paraId="746A2CAC">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6B8F50BD">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bottom w:val="single" w:color="auto" w:sz="4" w:space="0"/>
                    <w:right w:val="single" w:color="auto" w:sz="4" w:space="0"/>
                  </w:tcBorders>
                  <w:vAlign w:val="center"/>
                </w:tcPr>
                <w:p w14:paraId="0E771BB0">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bottom w:val="single" w:color="auto" w:sz="4" w:space="0"/>
                    <w:right w:val="single" w:color="auto" w:sz="4" w:space="0"/>
                  </w:tcBorders>
                  <w:vAlign w:val="center"/>
                </w:tcPr>
                <w:p w14:paraId="20B3806A">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bottom w:val="single" w:color="auto" w:sz="4" w:space="0"/>
                    <w:right w:val="single" w:color="auto" w:sz="4" w:space="0"/>
                  </w:tcBorders>
                  <w:vAlign w:val="center"/>
                </w:tcPr>
                <w:p w14:paraId="18A7020A">
                  <w:pPr>
                    <w:pStyle w:val="41"/>
                    <w:rPr>
                      <w:rFonts w:hint="default" w:ascii="Times New Roman" w:hAnsi="Times New Roman" w:eastAsia="宋体" w:cs="Times New Roman"/>
                      <w:color w:val="auto"/>
                      <w:sz w:val="18"/>
                      <w:szCs w:val="18"/>
                      <w:highlight w:val="none"/>
                      <w:lang w:eastAsia="zh-CN"/>
                    </w:rPr>
                  </w:pPr>
                </w:p>
              </w:tc>
              <w:tc>
                <w:tcPr>
                  <w:tcW w:w="524" w:type="pct"/>
                  <w:tcBorders>
                    <w:top w:val="single" w:color="auto" w:sz="4" w:space="0"/>
                    <w:left w:val="single" w:color="auto" w:sz="4" w:space="0"/>
                    <w:bottom w:val="single" w:color="auto" w:sz="4" w:space="0"/>
                    <w:right w:val="single" w:color="auto" w:sz="4" w:space="0"/>
                  </w:tcBorders>
                  <w:vAlign w:val="center"/>
                </w:tcPr>
                <w:p w14:paraId="3C1B692A">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北：</w:t>
                  </w:r>
                  <w:r>
                    <w:rPr>
                      <w:rFonts w:hint="eastAsia" w:ascii="Times New Roman" w:hAnsi="Times New Roman" w:eastAsia="宋体" w:cs="Times New Roman"/>
                      <w:color w:val="auto"/>
                      <w:sz w:val="18"/>
                      <w:szCs w:val="18"/>
                      <w:highlight w:val="none"/>
                      <w:lang w:val="en-US" w:eastAsia="zh-CN"/>
                    </w:rPr>
                    <w:t>4</w:t>
                  </w:r>
                </w:p>
              </w:tc>
              <w:tc>
                <w:tcPr>
                  <w:tcW w:w="455" w:type="pct"/>
                  <w:tcBorders>
                    <w:left w:val="single" w:color="auto" w:sz="4" w:space="0"/>
                    <w:bottom w:val="single" w:color="auto" w:sz="4" w:space="0"/>
                    <w:right w:val="single" w:color="auto" w:sz="4" w:space="0"/>
                  </w:tcBorders>
                  <w:vAlign w:val="center"/>
                </w:tcPr>
                <w:p w14:paraId="168234FB">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72.9</w:t>
                  </w:r>
                </w:p>
              </w:tc>
              <w:tc>
                <w:tcPr>
                  <w:tcW w:w="281" w:type="pct"/>
                  <w:vMerge w:val="continue"/>
                  <w:tcBorders>
                    <w:left w:val="single" w:color="auto" w:sz="4" w:space="0"/>
                    <w:bottom w:val="single" w:color="auto" w:sz="4" w:space="0"/>
                    <w:right w:val="single" w:color="auto" w:sz="4" w:space="0"/>
                  </w:tcBorders>
                  <w:vAlign w:val="center"/>
                </w:tcPr>
                <w:p w14:paraId="37A89E23">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bottom w:val="single" w:color="auto" w:sz="4" w:space="0"/>
                    <w:right w:val="single" w:color="auto" w:sz="4" w:space="0"/>
                  </w:tcBorders>
                  <w:vAlign w:val="center"/>
                </w:tcPr>
                <w:p w14:paraId="0607EB94">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bottom w:val="single" w:color="auto" w:sz="4" w:space="0"/>
                    <w:right w:val="single" w:color="auto" w:sz="4" w:space="0"/>
                  </w:tcBorders>
                  <w:shd w:val="clear" w:color="auto" w:fill="auto"/>
                  <w:vAlign w:val="center"/>
                </w:tcPr>
                <w:p w14:paraId="42E0A6E6">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57.9</w:t>
                  </w:r>
                </w:p>
              </w:tc>
              <w:tc>
                <w:tcPr>
                  <w:tcW w:w="373" w:type="pct"/>
                  <w:vMerge w:val="continue"/>
                  <w:tcBorders>
                    <w:left w:val="single" w:color="auto" w:sz="4" w:space="0"/>
                    <w:bottom w:val="single" w:color="auto" w:sz="4" w:space="0"/>
                    <w:right w:val="single" w:color="auto" w:sz="4" w:space="0"/>
                  </w:tcBorders>
                  <w:vAlign w:val="center"/>
                </w:tcPr>
                <w:p w14:paraId="27B2FA6A">
                  <w:pPr>
                    <w:pStyle w:val="41"/>
                    <w:rPr>
                      <w:rFonts w:hint="default" w:ascii="Times New Roman" w:hAnsi="Times New Roman" w:eastAsia="宋体" w:cs="Times New Roman"/>
                      <w:color w:val="auto"/>
                      <w:sz w:val="18"/>
                      <w:szCs w:val="18"/>
                      <w:highlight w:val="none"/>
                      <w:lang w:eastAsia="zh-CN"/>
                    </w:rPr>
                  </w:pPr>
                </w:p>
              </w:tc>
            </w:tr>
            <w:tr w14:paraId="6D93C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24C71FEC">
                  <w:pPr>
                    <w:pStyle w:val="41"/>
                    <w:rPr>
                      <w:rFonts w:hint="default" w:ascii="Times New Roman" w:hAnsi="Times New Roman" w:eastAsia="宋体" w:cs="Times New Roman"/>
                      <w:color w:val="auto"/>
                      <w:sz w:val="18"/>
                      <w:szCs w:val="18"/>
                      <w:highlight w:val="none"/>
                      <w:lang w:eastAsia="zh-CN"/>
                    </w:rPr>
                  </w:pPr>
                </w:p>
              </w:tc>
              <w:tc>
                <w:tcPr>
                  <w:tcW w:w="376" w:type="pct"/>
                  <w:vMerge w:val="restart"/>
                  <w:tcBorders>
                    <w:left w:val="single" w:color="auto" w:sz="4" w:space="0"/>
                    <w:right w:val="single" w:color="auto" w:sz="4" w:space="0"/>
                  </w:tcBorders>
                  <w:tcMar>
                    <w:left w:w="57" w:type="dxa"/>
                    <w:right w:w="57" w:type="dxa"/>
                  </w:tcMar>
                  <w:vAlign w:val="center"/>
                </w:tcPr>
                <w:p w14:paraId="27B83D33">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空压机组</w:t>
                  </w:r>
                </w:p>
              </w:tc>
              <w:tc>
                <w:tcPr>
                  <w:tcW w:w="439" w:type="pct"/>
                  <w:vMerge w:val="restart"/>
                  <w:tcBorders>
                    <w:left w:val="single" w:color="auto" w:sz="4" w:space="0"/>
                    <w:right w:val="single" w:color="auto" w:sz="4" w:space="0"/>
                  </w:tcBorders>
                  <w:vAlign w:val="center"/>
                </w:tcPr>
                <w:p w14:paraId="04B9DF71">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90</w:t>
                  </w:r>
                </w:p>
              </w:tc>
              <w:tc>
                <w:tcPr>
                  <w:tcW w:w="335" w:type="pct"/>
                  <w:vMerge w:val="continue"/>
                  <w:tcBorders>
                    <w:left w:val="single" w:color="auto" w:sz="4" w:space="0"/>
                    <w:right w:val="single" w:color="auto" w:sz="4" w:space="0"/>
                  </w:tcBorders>
                  <w:vAlign w:val="center"/>
                </w:tcPr>
                <w:p w14:paraId="79F62095">
                  <w:pPr>
                    <w:pStyle w:val="41"/>
                    <w:rPr>
                      <w:rFonts w:hint="default" w:ascii="Times New Roman" w:hAnsi="Times New Roman" w:eastAsia="宋体" w:cs="Times New Roman"/>
                      <w:color w:val="auto"/>
                      <w:sz w:val="18"/>
                      <w:szCs w:val="18"/>
                      <w:highlight w:val="none"/>
                      <w:lang w:val="zh-CN" w:eastAsia="zh-CN"/>
                    </w:rPr>
                  </w:pPr>
                </w:p>
              </w:tc>
              <w:tc>
                <w:tcPr>
                  <w:tcW w:w="348" w:type="pct"/>
                  <w:vMerge w:val="restart"/>
                  <w:tcBorders>
                    <w:left w:val="single" w:color="auto" w:sz="4" w:space="0"/>
                    <w:right w:val="single" w:color="auto" w:sz="4" w:space="0"/>
                  </w:tcBorders>
                  <w:vAlign w:val="center"/>
                </w:tcPr>
                <w:p w14:paraId="3A8BC682">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41</w:t>
                  </w:r>
                </w:p>
              </w:tc>
              <w:tc>
                <w:tcPr>
                  <w:tcW w:w="359" w:type="pct"/>
                  <w:vMerge w:val="restart"/>
                  <w:tcBorders>
                    <w:left w:val="single" w:color="auto" w:sz="4" w:space="0"/>
                    <w:right w:val="single" w:color="auto" w:sz="4" w:space="0"/>
                  </w:tcBorders>
                  <w:vAlign w:val="center"/>
                </w:tcPr>
                <w:p w14:paraId="2AED2CDD">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72</w:t>
                  </w:r>
                </w:p>
              </w:tc>
              <w:tc>
                <w:tcPr>
                  <w:tcW w:w="329" w:type="pct"/>
                  <w:vMerge w:val="restart"/>
                  <w:tcBorders>
                    <w:left w:val="single" w:color="auto" w:sz="4" w:space="0"/>
                    <w:right w:val="single" w:color="auto" w:sz="4" w:space="0"/>
                  </w:tcBorders>
                  <w:vAlign w:val="center"/>
                </w:tcPr>
                <w:p w14:paraId="5CC0ECC8">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1.2</w:t>
                  </w:r>
                </w:p>
              </w:tc>
              <w:tc>
                <w:tcPr>
                  <w:tcW w:w="524" w:type="pct"/>
                  <w:tcBorders>
                    <w:top w:val="single" w:color="auto" w:sz="4" w:space="0"/>
                    <w:left w:val="single" w:color="auto" w:sz="4" w:space="0"/>
                    <w:bottom w:val="single" w:color="auto" w:sz="4" w:space="0"/>
                    <w:right w:val="single" w:color="auto" w:sz="4" w:space="0"/>
                  </w:tcBorders>
                  <w:shd w:val="clear" w:color="auto" w:fill="auto"/>
                  <w:vAlign w:val="center"/>
                </w:tcPr>
                <w:p w14:paraId="6DD596E9">
                  <w:pPr>
                    <w:pStyle w:val="41"/>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eastAsia="zh-CN"/>
                    </w:rPr>
                    <w:t>东：</w:t>
                  </w:r>
                  <w:r>
                    <w:rPr>
                      <w:rFonts w:hint="eastAsia" w:ascii="Times New Roman" w:hAnsi="Times New Roman" w:eastAsia="宋体" w:cs="Times New Roman"/>
                      <w:color w:val="auto"/>
                      <w:sz w:val="18"/>
                      <w:szCs w:val="18"/>
                      <w:highlight w:val="none"/>
                      <w:lang w:val="en-US" w:eastAsia="zh-CN"/>
                    </w:rPr>
                    <w:t>6</w:t>
                  </w:r>
                </w:p>
              </w:tc>
              <w:tc>
                <w:tcPr>
                  <w:tcW w:w="455" w:type="pct"/>
                  <w:tcBorders>
                    <w:left w:val="single" w:color="auto" w:sz="4" w:space="0"/>
                    <w:bottom w:val="single" w:color="auto" w:sz="4" w:space="0"/>
                    <w:right w:val="single" w:color="auto" w:sz="4" w:space="0"/>
                  </w:tcBorders>
                  <w:vAlign w:val="center"/>
                </w:tcPr>
                <w:p w14:paraId="1F6107D1">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74.4</w:t>
                  </w:r>
                </w:p>
              </w:tc>
              <w:tc>
                <w:tcPr>
                  <w:tcW w:w="281" w:type="pct"/>
                  <w:vMerge w:val="restart"/>
                  <w:tcBorders>
                    <w:left w:val="single" w:color="auto" w:sz="4" w:space="0"/>
                    <w:right w:val="single" w:color="auto" w:sz="4" w:space="0"/>
                  </w:tcBorders>
                  <w:shd w:val="clear" w:color="auto" w:fill="auto"/>
                  <w:vAlign w:val="center"/>
                </w:tcPr>
                <w:p w14:paraId="3A136B36">
                  <w:pPr>
                    <w:pStyle w:val="41"/>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8</w:t>
                  </w:r>
                  <w:r>
                    <w:rPr>
                      <w:rFonts w:hint="default" w:ascii="Times New Roman" w:hAnsi="Times New Roman" w:eastAsia="宋体" w:cs="Times New Roman"/>
                      <w:color w:val="auto"/>
                      <w:sz w:val="18"/>
                      <w:szCs w:val="18"/>
                      <w:highlight w:val="none"/>
                      <w:lang w:eastAsia="zh-CN"/>
                    </w:rPr>
                    <w:t>h</w:t>
                  </w:r>
                </w:p>
              </w:tc>
              <w:tc>
                <w:tcPr>
                  <w:tcW w:w="422" w:type="pct"/>
                  <w:vMerge w:val="restart"/>
                  <w:tcBorders>
                    <w:left w:val="single" w:color="auto" w:sz="4" w:space="0"/>
                    <w:right w:val="single" w:color="auto" w:sz="4" w:space="0"/>
                  </w:tcBorders>
                  <w:shd w:val="clear" w:color="auto" w:fill="auto"/>
                  <w:vAlign w:val="center"/>
                </w:tcPr>
                <w:p w14:paraId="51C3459C">
                  <w:pPr>
                    <w:pStyle w:val="41"/>
                    <w:rPr>
                      <w:rFonts w:hint="default" w:ascii="Times New Roman" w:hAnsi="Times New Roman" w:eastAsia="宋体" w:cs="Times New Roman"/>
                      <w:color w:val="FF0000"/>
                      <w:kern w:val="2"/>
                      <w:sz w:val="18"/>
                      <w:szCs w:val="18"/>
                      <w:highlight w:val="none"/>
                      <w:lang w:val="en-US" w:eastAsia="zh-CN" w:bidi="ar-SA"/>
                    </w:rPr>
                  </w:pPr>
                  <w:r>
                    <w:rPr>
                      <w:rFonts w:hint="eastAsia" w:ascii="Times New Roman" w:hAnsi="Times New Roman" w:cs="Times New Roman"/>
                      <w:color w:val="FF0000"/>
                      <w:sz w:val="18"/>
                      <w:szCs w:val="18"/>
                      <w:highlight w:val="none"/>
                      <w:lang w:val="en-US" w:eastAsia="zh-CN"/>
                    </w:rPr>
                    <w:t>15</w:t>
                  </w:r>
                </w:p>
              </w:tc>
              <w:tc>
                <w:tcPr>
                  <w:tcW w:w="453" w:type="pct"/>
                  <w:tcBorders>
                    <w:left w:val="single" w:color="auto" w:sz="4" w:space="0"/>
                    <w:bottom w:val="single" w:color="auto" w:sz="4" w:space="0"/>
                    <w:right w:val="single" w:color="auto" w:sz="4" w:space="0"/>
                  </w:tcBorders>
                  <w:shd w:val="clear" w:color="auto" w:fill="auto"/>
                  <w:vAlign w:val="center"/>
                </w:tcPr>
                <w:p w14:paraId="432F603B">
                  <w:pPr>
                    <w:pStyle w:val="41"/>
                    <w:rPr>
                      <w:rFonts w:hint="eastAsia"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59.4</w:t>
                  </w:r>
                </w:p>
              </w:tc>
              <w:tc>
                <w:tcPr>
                  <w:tcW w:w="373" w:type="pct"/>
                  <w:vMerge w:val="restart"/>
                  <w:tcBorders>
                    <w:left w:val="single" w:color="auto" w:sz="4" w:space="0"/>
                    <w:right w:val="single" w:color="auto" w:sz="4" w:space="0"/>
                  </w:tcBorders>
                  <w:vAlign w:val="center"/>
                </w:tcPr>
                <w:p w14:paraId="7CBD3A38">
                  <w:pPr>
                    <w:pStyle w:val="41"/>
                    <w:rPr>
                      <w:rFonts w:hint="default" w:ascii="Times New Roman" w:hAnsi="Times New Roman" w:eastAsia="宋体" w:cs="Times New Roman"/>
                      <w:color w:val="auto"/>
                      <w:sz w:val="18"/>
                      <w:szCs w:val="18"/>
                      <w:highlight w:val="none"/>
                      <w:lang w:eastAsia="zh-CN"/>
                    </w:rPr>
                  </w:pPr>
                </w:p>
              </w:tc>
            </w:tr>
            <w:tr w14:paraId="726C0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5185C552">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6C1DB3D9">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6E337C6F">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34212F17">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63156DC2">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51012C0B">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4268FE2D">
                  <w:pPr>
                    <w:pStyle w:val="41"/>
                    <w:rPr>
                      <w:rFonts w:hint="default" w:ascii="Times New Roman" w:hAnsi="Times New Roman" w:eastAsia="宋体" w:cs="Times New Roman"/>
                      <w:color w:val="auto"/>
                      <w:sz w:val="18"/>
                      <w:szCs w:val="18"/>
                      <w:highlight w:val="none"/>
                      <w:lang w:eastAsia="zh-CN"/>
                    </w:rPr>
                  </w:pPr>
                </w:p>
              </w:tc>
              <w:tc>
                <w:tcPr>
                  <w:tcW w:w="524" w:type="pct"/>
                  <w:tcBorders>
                    <w:top w:val="single" w:color="auto" w:sz="4" w:space="0"/>
                    <w:left w:val="single" w:color="auto" w:sz="4" w:space="0"/>
                    <w:bottom w:val="single" w:color="auto" w:sz="4" w:space="0"/>
                    <w:right w:val="single" w:color="auto" w:sz="4" w:space="0"/>
                  </w:tcBorders>
                  <w:shd w:val="clear" w:color="auto" w:fill="auto"/>
                  <w:vAlign w:val="center"/>
                </w:tcPr>
                <w:p w14:paraId="51AE783F">
                  <w:pPr>
                    <w:pStyle w:val="41"/>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eastAsia="zh-CN"/>
                    </w:rPr>
                    <w:t>南：</w:t>
                  </w:r>
                  <w:r>
                    <w:rPr>
                      <w:rFonts w:hint="eastAsia" w:ascii="Times New Roman" w:hAnsi="Times New Roman" w:eastAsia="宋体" w:cs="Times New Roman"/>
                      <w:color w:val="auto"/>
                      <w:sz w:val="18"/>
                      <w:szCs w:val="18"/>
                      <w:highlight w:val="none"/>
                      <w:lang w:val="en-US" w:eastAsia="zh-CN"/>
                    </w:rPr>
                    <w:t>32</w:t>
                  </w:r>
                </w:p>
              </w:tc>
              <w:tc>
                <w:tcPr>
                  <w:tcW w:w="455" w:type="pct"/>
                  <w:tcBorders>
                    <w:left w:val="single" w:color="auto" w:sz="4" w:space="0"/>
                    <w:bottom w:val="single" w:color="auto" w:sz="4" w:space="0"/>
                    <w:right w:val="single" w:color="auto" w:sz="4" w:space="0"/>
                  </w:tcBorders>
                  <w:vAlign w:val="center"/>
                </w:tcPr>
                <w:p w14:paraId="1034A763">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59.9</w:t>
                  </w:r>
                </w:p>
              </w:tc>
              <w:tc>
                <w:tcPr>
                  <w:tcW w:w="281" w:type="pct"/>
                  <w:vMerge w:val="continue"/>
                  <w:tcBorders>
                    <w:left w:val="single" w:color="auto" w:sz="4" w:space="0"/>
                    <w:right w:val="single" w:color="auto" w:sz="4" w:space="0"/>
                  </w:tcBorders>
                  <w:vAlign w:val="center"/>
                </w:tcPr>
                <w:p w14:paraId="641239D3">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619846A4">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bottom w:val="single" w:color="auto" w:sz="4" w:space="0"/>
                    <w:right w:val="single" w:color="auto" w:sz="4" w:space="0"/>
                  </w:tcBorders>
                  <w:shd w:val="clear" w:color="auto" w:fill="auto"/>
                  <w:vAlign w:val="center"/>
                </w:tcPr>
                <w:p w14:paraId="50287C74">
                  <w:pPr>
                    <w:pStyle w:val="41"/>
                    <w:rPr>
                      <w:rFonts w:hint="eastAsia"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44.9</w:t>
                  </w:r>
                </w:p>
              </w:tc>
              <w:tc>
                <w:tcPr>
                  <w:tcW w:w="373" w:type="pct"/>
                  <w:vMerge w:val="continue"/>
                  <w:tcBorders>
                    <w:left w:val="single" w:color="auto" w:sz="4" w:space="0"/>
                    <w:right w:val="single" w:color="auto" w:sz="4" w:space="0"/>
                  </w:tcBorders>
                  <w:vAlign w:val="center"/>
                </w:tcPr>
                <w:p w14:paraId="0A515CE5">
                  <w:pPr>
                    <w:pStyle w:val="41"/>
                    <w:rPr>
                      <w:rFonts w:hint="default" w:ascii="Times New Roman" w:hAnsi="Times New Roman" w:eastAsia="宋体" w:cs="Times New Roman"/>
                      <w:color w:val="auto"/>
                      <w:sz w:val="18"/>
                      <w:szCs w:val="18"/>
                      <w:highlight w:val="none"/>
                      <w:lang w:eastAsia="zh-CN"/>
                    </w:rPr>
                  </w:pPr>
                </w:p>
              </w:tc>
            </w:tr>
            <w:tr w14:paraId="7238C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34DD3107">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2CF2ACF0">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18A547AC">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59354EE5">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11DCA1CB">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31D48B6D">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27EDE510">
                  <w:pPr>
                    <w:pStyle w:val="41"/>
                    <w:rPr>
                      <w:rFonts w:hint="default" w:ascii="Times New Roman" w:hAnsi="Times New Roman" w:eastAsia="宋体" w:cs="Times New Roman"/>
                      <w:color w:val="auto"/>
                      <w:sz w:val="18"/>
                      <w:szCs w:val="18"/>
                      <w:highlight w:val="none"/>
                      <w:lang w:eastAsia="zh-CN"/>
                    </w:rPr>
                  </w:pPr>
                </w:p>
              </w:tc>
              <w:tc>
                <w:tcPr>
                  <w:tcW w:w="524" w:type="pct"/>
                  <w:tcBorders>
                    <w:top w:val="single" w:color="auto" w:sz="4" w:space="0"/>
                    <w:left w:val="single" w:color="auto" w:sz="4" w:space="0"/>
                    <w:bottom w:val="single" w:color="auto" w:sz="4" w:space="0"/>
                    <w:right w:val="single" w:color="auto" w:sz="4" w:space="0"/>
                  </w:tcBorders>
                  <w:shd w:val="clear" w:color="auto" w:fill="auto"/>
                  <w:vAlign w:val="center"/>
                </w:tcPr>
                <w:p w14:paraId="24AB615F">
                  <w:pPr>
                    <w:pStyle w:val="41"/>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eastAsia="zh-CN"/>
                    </w:rPr>
                    <w:t>西：</w:t>
                  </w:r>
                  <w:r>
                    <w:rPr>
                      <w:rFonts w:hint="eastAsia" w:ascii="Times New Roman" w:hAnsi="Times New Roman" w:eastAsia="宋体" w:cs="Times New Roman"/>
                      <w:color w:val="auto"/>
                      <w:sz w:val="18"/>
                      <w:szCs w:val="18"/>
                      <w:highlight w:val="none"/>
                      <w:lang w:val="en-US" w:eastAsia="zh-CN"/>
                    </w:rPr>
                    <w:t>34</w:t>
                  </w:r>
                </w:p>
              </w:tc>
              <w:tc>
                <w:tcPr>
                  <w:tcW w:w="455" w:type="pct"/>
                  <w:tcBorders>
                    <w:left w:val="single" w:color="auto" w:sz="4" w:space="0"/>
                    <w:bottom w:val="single" w:color="auto" w:sz="4" w:space="0"/>
                    <w:right w:val="single" w:color="auto" w:sz="4" w:space="0"/>
                  </w:tcBorders>
                  <w:vAlign w:val="center"/>
                </w:tcPr>
                <w:p w14:paraId="6B074369">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59.4</w:t>
                  </w:r>
                </w:p>
              </w:tc>
              <w:tc>
                <w:tcPr>
                  <w:tcW w:w="281" w:type="pct"/>
                  <w:vMerge w:val="continue"/>
                  <w:tcBorders>
                    <w:left w:val="single" w:color="auto" w:sz="4" w:space="0"/>
                    <w:right w:val="single" w:color="auto" w:sz="4" w:space="0"/>
                  </w:tcBorders>
                  <w:vAlign w:val="center"/>
                </w:tcPr>
                <w:p w14:paraId="5AC019F5">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465CD3D4">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bottom w:val="single" w:color="auto" w:sz="4" w:space="0"/>
                    <w:right w:val="single" w:color="auto" w:sz="4" w:space="0"/>
                  </w:tcBorders>
                  <w:shd w:val="clear" w:color="auto" w:fill="auto"/>
                  <w:vAlign w:val="center"/>
                </w:tcPr>
                <w:p w14:paraId="482ACC4A">
                  <w:pPr>
                    <w:pStyle w:val="41"/>
                    <w:rPr>
                      <w:rFonts w:hint="eastAsia"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44.4</w:t>
                  </w:r>
                </w:p>
              </w:tc>
              <w:tc>
                <w:tcPr>
                  <w:tcW w:w="373" w:type="pct"/>
                  <w:vMerge w:val="continue"/>
                  <w:tcBorders>
                    <w:left w:val="single" w:color="auto" w:sz="4" w:space="0"/>
                    <w:right w:val="single" w:color="auto" w:sz="4" w:space="0"/>
                  </w:tcBorders>
                  <w:vAlign w:val="center"/>
                </w:tcPr>
                <w:p w14:paraId="7F508D72">
                  <w:pPr>
                    <w:pStyle w:val="41"/>
                    <w:rPr>
                      <w:rFonts w:hint="default" w:ascii="Times New Roman" w:hAnsi="Times New Roman" w:eastAsia="宋体" w:cs="Times New Roman"/>
                      <w:color w:val="auto"/>
                      <w:sz w:val="18"/>
                      <w:szCs w:val="18"/>
                      <w:highlight w:val="none"/>
                      <w:lang w:eastAsia="zh-CN"/>
                    </w:rPr>
                  </w:pPr>
                </w:p>
              </w:tc>
            </w:tr>
            <w:tr w14:paraId="01E00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5B821B0C">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bottom w:val="single" w:color="auto" w:sz="4" w:space="0"/>
                    <w:right w:val="single" w:color="auto" w:sz="4" w:space="0"/>
                  </w:tcBorders>
                  <w:tcMar>
                    <w:left w:w="57" w:type="dxa"/>
                    <w:right w:w="57" w:type="dxa"/>
                  </w:tcMar>
                  <w:vAlign w:val="center"/>
                </w:tcPr>
                <w:p w14:paraId="583647A0">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bottom w:val="single" w:color="auto" w:sz="4" w:space="0"/>
                    <w:right w:val="single" w:color="auto" w:sz="4" w:space="0"/>
                  </w:tcBorders>
                  <w:vAlign w:val="center"/>
                </w:tcPr>
                <w:p w14:paraId="574ADD6B">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1C71CDBF">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bottom w:val="single" w:color="auto" w:sz="4" w:space="0"/>
                    <w:right w:val="single" w:color="auto" w:sz="4" w:space="0"/>
                  </w:tcBorders>
                  <w:vAlign w:val="center"/>
                </w:tcPr>
                <w:p w14:paraId="7BD25616">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bottom w:val="single" w:color="auto" w:sz="4" w:space="0"/>
                    <w:right w:val="single" w:color="auto" w:sz="4" w:space="0"/>
                  </w:tcBorders>
                  <w:vAlign w:val="center"/>
                </w:tcPr>
                <w:p w14:paraId="7867D947">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bottom w:val="single" w:color="auto" w:sz="4" w:space="0"/>
                    <w:right w:val="single" w:color="auto" w:sz="4" w:space="0"/>
                  </w:tcBorders>
                  <w:vAlign w:val="center"/>
                </w:tcPr>
                <w:p w14:paraId="2DE12C59">
                  <w:pPr>
                    <w:pStyle w:val="41"/>
                    <w:rPr>
                      <w:rFonts w:hint="default" w:ascii="Times New Roman" w:hAnsi="Times New Roman" w:eastAsia="宋体" w:cs="Times New Roman"/>
                      <w:color w:val="auto"/>
                      <w:sz w:val="18"/>
                      <w:szCs w:val="18"/>
                      <w:highlight w:val="none"/>
                      <w:lang w:eastAsia="zh-CN"/>
                    </w:rPr>
                  </w:pPr>
                </w:p>
              </w:tc>
              <w:tc>
                <w:tcPr>
                  <w:tcW w:w="524" w:type="pct"/>
                  <w:tcBorders>
                    <w:top w:val="single" w:color="auto" w:sz="4" w:space="0"/>
                    <w:left w:val="single" w:color="auto" w:sz="4" w:space="0"/>
                    <w:bottom w:val="single" w:color="auto" w:sz="4" w:space="0"/>
                    <w:right w:val="single" w:color="auto" w:sz="4" w:space="0"/>
                  </w:tcBorders>
                  <w:shd w:val="clear" w:color="auto" w:fill="auto"/>
                  <w:vAlign w:val="center"/>
                </w:tcPr>
                <w:p w14:paraId="46F23E0C">
                  <w:pPr>
                    <w:pStyle w:val="41"/>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eastAsia="zh-CN"/>
                    </w:rPr>
                    <w:t>北：</w:t>
                  </w:r>
                  <w:r>
                    <w:rPr>
                      <w:rFonts w:hint="eastAsia" w:ascii="Times New Roman" w:hAnsi="Times New Roman" w:eastAsia="宋体" w:cs="Times New Roman"/>
                      <w:color w:val="auto"/>
                      <w:sz w:val="18"/>
                      <w:szCs w:val="18"/>
                      <w:highlight w:val="none"/>
                      <w:lang w:val="en-US" w:eastAsia="zh-CN"/>
                    </w:rPr>
                    <w:t>4</w:t>
                  </w:r>
                </w:p>
              </w:tc>
              <w:tc>
                <w:tcPr>
                  <w:tcW w:w="455" w:type="pct"/>
                  <w:tcBorders>
                    <w:left w:val="single" w:color="auto" w:sz="4" w:space="0"/>
                    <w:bottom w:val="single" w:color="auto" w:sz="4" w:space="0"/>
                    <w:right w:val="single" w:color="auto" w:sz="4" w:space="0"/>
                  </w:tcBorders>
                  <w:vAlign w:val="center"/>
                </w:tcPr>
                <w:p w14:paraId="419D4BD1">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77.9</w:t>
                  </w:r>
                </w:p>
              </w:tc>
              <w:tc>
                <w:tcPr>
                  <w:tcW w:w="281" w:type="pct"/>
                  <w:vMerge w:val="continue"/>
                  <w:tcBorders>
                    <w:left w:val="single" w:color="auto" w:sz="4" w:space="0"/>
                    <w:bottom w:val="single" w:color="auto" w:sz="4" w:space="0"/>
                    <w:right w:val="single" w:color="auto" w:sz="4" w:space="0"/>
                  </w:tcBorders>
                  <w:vAlign w:val="center"/>
                </w:tcPr>
                <w:p w14:paraId="3928CA77">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bottom w:val="single" w:color="auto" w:sz="4" w:space="0"/>
                    <w:right w:val="single" w:color="auto" w:sz="4" w:space="0"/>
                  </w:tcBorders>
                  <w:vAlign w:val="center"/>
                </w:tcPr>
                <w:p w14:paraId="30BF1DB0">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bottom w:val="single" w:color="auto" w:sz="4" w:space="0"/>
                    <w:right w:val="single" w:color="auto" w:sz="4" w:space="0"/>
                  </w:tcBorders>
                  <w:shd w:val="clear" w:color="auto" w:fill="auto"/>
                  <w:vAlign w:val="center"/>
                </w:tcPr>
                <w:p w14:paraId="2FC50A74">
                  <w:pPr>
                    <w:pStyle w:val="41"/>
                    <w:rPr>
                      <w:rFonts w:hint="eastAsia"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62.9</w:t>
                  </w:r>
                </w:p>
              </w:tc>
              <w:tc>
                <w:tcPr>
                  <w:tcW w:w="373" w:type="pct"/>
                  <w:vMerge w:val="continue"/>
                  <w:tcBorders>
                    <w:left w:val="single" w:color="auto" w:sz="4" w:space="0"/>
                    <w:bottom w:val="single" w:color="auto" w:sz="4" w:space="0"/>
                    <w:right w:val="single" w:color="auto" w:sz="4" w:space="0"/>
                  </w:tcBorders>
                  <w:vAlign w:val="center"/>
                </w:tcPr>
                <w:p w14:paraId="5AB044B3">
                  <w:pPr>
                    <w:pStyle w:val="41"/>
                    <w:rPr>
                      <w:rFonts w:hint="default" w:ascii="Times New Roman" w:hAnsi="Times New Roman" w:eastAsia="宋体" w:cs="Times New Roman"/>
                      <w:color w:val="auto"/>
                      <w:sz w:val="18"/>
                      <w:szCs w:val="18"/>
                      <w:highlight w:val="none"/>
                      <w:lang w:eastAsia="zh-CN"/>
                    </w:rPr>
                  </w:pPr>
                </w:p>
              </w:tc>
            </w:tr>
            <w:tr w14:paraId="47392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7FD99727">
                  <w:pPr>
                    <w:pStyle w:val="41"/>
                    <w:rPr>
                      <w:rFonts w:hint="default" w:ascii="Times New Roman" w:hAnsi="Times New Roman" w:eastAsia="宋体" w:cs="Times New Roman"/>
                      <w:color w:val="auto"/>
                      <w:sz w:val="18"/>
                      <w:szCs w:val="18"/>
                      <w:highlight w:val="none"/>
                      <w:lang w:eastAsia="zh-CN"/>
                    </w:rPr>
                  </w:pPr>
                </w:p>
              </w:tc>
              <w:tc>
                <w:tcPr>
                  <w:tcW w:w="376" w:type="pct"/>
                  <w:vMerge w:val="restart"/>
                  <w:tcBorders>
                    <w:top w:val="single" w:color="auto" w:sz="4" w:space="0"/>
                    <w:left w:val="single" w:color="auto" w:sz="4" w:space="0"/>
                    <w:right w:val="single" w:color="auto" w:sz="4" w:space="0"/>
                  </w:tcBorders>
                  <w:tcMar>
                    <w:left w:w="57" w:type="dxa"/>
                    <w:right w:w="57" w:type="dxa"/>
                  </w:tcMar>
                  <w:vAlign w:val="center"/>
                </w:tcPr>
                <w:p w14:paraId="1EF2F3F6">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精密推台锯</w:t>
                  </w:r>
                </w:p>
              </w:tc>
              <w:tc>
                <w:tcPr>
                  <w:tcW w:w="439" w:type="pct"/>
                  <w:vMerge w:val="restart"/>
                  <w:tcBorders>
                    <w:top w:val="single" w:color="auto" w:sz="4" w:space="0"/>
                    <w:left w:val="single" w:color="auto" w:sz="4" w:space="0"/>
                    <w:right w:val="single" w:color="auto" w:sz="4" w:space="0"/>
                  </w:tcBorders>
                  <w:vAlign w:val="center"/>
                </w:tcPr>
                <w:p w14:paraId="4BF4F6B4">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85</w:t>
                  </w:r>
                </w:p>
              </w:tc>
              <w:tc>
                <w:tcPr>
                  <w:tcW w:w="335" w:type="pct"/>
                  <w:vMerge w:val="restart"/>
                  <w:tcBorders>
                    <w:left w:val="single" w:color="auto" w:sz="4" w:space="0"/>
                    <w:right w:val="single" w:color="auto" w:sz="4" w:space="0"/>
                  </w:tcBorders>
                  <w:vAlign w:val="center"/>
                </w:tcPr>
                <w:p w14:paraId="46644FA7">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FF0000"/>
                      <w:sz w:val="18"/>
                      <w:szCs w:val="18"/>
                      <w:highlight w:val="none"/>
                      <w:lang w:val="zh-CN" w:eastAsia="zh-CN"/>
                    </w:rPr>
                    <w:t>基础减振</w:t>
                  </w:r>
                  <w:r>
                    <w:rPr>
                      <w:rFonts w:hint="eastAsia" w:ascii="Times New Roman" w:hAnsi="Times New Roman" w:cs="Times New Roman"/>
                      <w:color w:val="FF0000"/>
                      <w:sz w:val="18"/>
                      <w:szCs w:val="18"/>
                      <w:highlight w:val="none"/>
                      <w:lang w:val="zh-CN" w:eastAsia="zh-CN"/>
                    </w:rPr>
                    <w:t>、隔声</w:t>
                  </w:r>
                </w:p>
              </w:tc>
              <w:tc>
                <w:tcPr>
                  <w:tcW w:w="348" w:type="pct"/>
                  <w:vMerge w:val="restart"/>
                  <w:tcBorders>
                    <w:top w:val="single" w:color="auto" w:sz="4" w:space="0"/>
                    <w:left w:val="single" w:color="auto" w:sz="4" w:space="0"/>
                    <w:right w:val="single" w:color="auto" w:sz="4" w:space="0"/>
                  </w:tcBorders>
                  <w:vAlign w:val="center"/>
                </w:tcPr>
                <w:p w14:paraId="3945ABB4">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36</w:t>
                  </w:r>
                </w:p>
              </w:tc>
              <w:tc>
                <w:tcPr>
                  <w:tcW w:w="359" w:type="pct"/>
                  <w:vMerge w:val="restart"/>
                  <w:tcBorders>
                    <w:top w:val="single" w:color="auto" w:sz="4" w:space="0"/>
                    <w:left w:val="single" w:color="auto" w:sz="4" w:space="0"/>
                    <w:right w:val="single" w:color="auto" w:sz="4" w:space="0"/>
                  </w:tcBorders>
                  <w:vAlign w:val="center"/>
                </w:tcPr>
                <w:p w14:paraId="01D283E2">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48</w:t>
                  </w:r>
                </w:p>
              </w:tc>
              <w:tc>
                <w:tcPr>
                  <w:tcW w:w="329" w:type="pct"/>
                  <w:vMerge w:val="restart"/>
                  <w:tcBorders>
                    <w:top w:val="single" w:color="auto" w:sz="4" w:space="0"/>
                    <w:left w:val="single" w:color="auto" w:sz="4" w:space="0"/>
                    <w:right w:val="single" w:color="auto" w:sz="4" w:space="0"/>
                  </w:tcBorders>
                  <w:vAlign w:val="center"/>
                </w:tcPr>
                <w:p w14:paraId="3BF8AFB7">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1.2</w:t>
                  </w:r>
                </w:p>
              </w:tc>
              <w:tc>
                <w:tcPr>
                  <w:tcW w:w="524" w:type="pct"/>
                  <w:tcBorders>
                    <w:top w:val="single" w:color="auto" w:sz="4" w:space="0"/>
                    <w:left w:val="single" w:color="auto" w:sz="4" w:space="0"/>
                    <w:right w:val="single" w:color="auto" w:sz="4" w:space="0"/>
                  </w:tcBorders>
                  <w:vAlign w:val="center"/>
                </w:tcPr>
                <w:p w14:paraId="303F02B6">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东：</w:t>
                  </w:r>
                  <w:r>
                    <w:rPr>
                      <w:rFonts w:hint="eastAsia" w:ascii="Times New Roman" w:hAnsi="Times New Roman" w:eastAsia="宋体" w:cs="Times New Roman"/>
                      <w:color w:val="auto"/>
                      <w:sz w:val="18"/>
                      <w:szCs w:val="18"/>
                      <w:highlight w:val="none"/>
                      <w:lang w:val="en-US" w:eastAsia="zh-CN"/>
                    </w:rPr>
                    <w:t>10</w:t>
                  </w:r>
                </w:p>
              </w:tc>
              <w:tc>
                <w:tcPr>
                  <w:tcW w:w="455" w:type="pct"/>
                  <w:tcBorders>
                    <w:top w:val="single" w:color="auto" w:sz="4" w:space="0"/>
                    <w:left w:val="single" w:color="auto" w:sz="4" w:space="0"/>
                    <w:bottom w:val="single" w:color="auto" w:sz="4" w:space="0"/>
                    <w:right w:val="single" w:color="auto" w:sz="4" w:space="0"/>
                  </w:tcBorders>
                  <w:vAlign w:val="center"/>
                </w:tcPr>
                <w:p w14:paraId="0C6435C0">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65</w:t>
                  </w:r>
                </w:p>
              </w:tc>
              <w:tc>
                <w:tcPr>
                  <w:tcW w:w="281" w:type="pct"/>
                  <w:vMerge w:val="restart"/>
                  <w:tcBorders>
                    <w:top w:val="single" w:color="auto" w:sz="4" w:space="0"/>
                    <w:left w:val="single" w:color="auto" w:sz="4" w:space="0"/>
                    <w:right w:val="single" w:color="auto" w:sz="4" w:space="0"/>
                  </w:tcBorders>
                  <w:vAlign w:val="center"/>
                </w:tcPr>
                <w:p w14:paraId="68D2D59D">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val="en-US" w:eastAsia="zh-CN"/>
                    </w:rPr>
                    <w:t>8</w:t>
                  </w:r>
                  <w:r>
                    <w:rPr>
                      <w:rFonts w:hint="default" w:ascii="Times New Roman" w:hAnsi="Times New Roman" w:eastAsia="宋体" w:cs="Times New Roman"/>
                      <w:color w:val="auto"/>
                      <w:sz w:val="18"/>
                      <w:szCs w:val="18"/>
                      <w:highlight w:val="none"/>
                      <w:lang w:eastAsia="zh-CN"/>
                    </w:rPr>
                    <w:t>h</w:t>
                  </w:r>
                </w:p>
              </w:tc>
              <w:tc>
                <w:tcPr>
                  <w:tcW w:w="422" w:type="pct"/>
                  <w:vMerge w:val="restart"/>
                  <w:tcBorders>
                    <w:top w:val="single" w:color="auto" w:sz="4" w:space="0"/>
                    <w:left w:val="single" w:color="auto" w:sz="4" w:space="0"/>
                    <w:right w:val="single" w:color="auto" w:sz="4" w:space="0"/>
                  </w:tcBorders>
                  <w:vAlign w:val="center"/>
                </w:tcPr>
                <w:p w14:paraId="5E5F9D7B">
                  <w:pPr>
                    <w:pStyle w:val="41"/>
                    <w:rPr>
                      <w:rFonts w:hint="default" w:ascii="Times New Roman" w:hAnsi="Times New Roman" w:eastAsia="宋体" w:cs="Times New Roman"/>
                      <w:color w:val="FF0000"/>
                      <w:sz w:val="18"/>
                      <w:szCs w:val="18"/>
                      <w:highlight w:val="none"/>
                      <w:lang w:eastAsia="zh-CN"/>
                    </w:rPr>
                  </w:pPr>
                  <w:r>
                    <w:rPr>
                      <w:rFonts w:hint="eastAsia" w:ascii="Times New Roman" w:hAnsi="Times New Roman" w:cs="Times New Roman"/>
                      <w:color w:val="FF0000"/>
                      <w:sz w:val="18"/>
                      <w:szCs w:val="18"/>
                      <w:highlight w:val="none"/>
                      <w:lang w:val="en-US" w:eastAsia="zh-CN"/>
                    </w:rPr>
                    <w:t>15</w:t>
                  </w:r>
                </w:p>
              </w:tc>
              <w:tc>
                <w:tcPr>
                  <w:tcW w:w="453" w:type="pct"/>
                  <w:tcBorders>
                    <w:top w:val="single" w:color="auto" w:sz="4" w:space="0"/>
                    <w:left w:val="single" w:color="auto" w:sz="4" w:space="0"/>
                    <w:right w:val="single" w:color="auto" w:sz="4" w:space="0"/>
                  </w:tcBorders>
                  <w:shd w:val="clear" w:color="auto" w:fill="auto"/>
                  <w:vAlign w:val="center"/>
                </w:tcPr>
                <w:p w14:paraId="25F8A38F">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50</w:t>
                  </w:r>
                </w:p>
              </w:tc>
              <w:tc>
                <w:tcPr>
                  <w:tcW w:w="373" w:type="pct"/>
                  <w:vMerge w:val="restart"/>
                  <w:tcBorders>
                    <w:top w:val="single" w:color="auto" w:sz="4" w:space="0"/>
                    <w:left w:val="single" w:color="auto" w:sz="4" w:space="0"/>
                    <w:right w:val="single" w:color="auto" w:sz="4" w:space="0"/>
                  </w:tcBorders>
                  <w:vAlign w:val="center"/>
                </w:tcPr>
                <w:p w14:paraId="112759F4">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1</w:t>
                  </w:r>
                </w:p>
              </w:tc>
            </w:tr>
            <w:tr w14:paraId="34827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6BF799ED">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27AF4983">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2DF72BAA">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35943EE3">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7A84DB35">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429B909A">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46EA845F">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154937BA">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南：</w:t>
                  </w:r>
                  <w:r>
                    <w:rPr>
                      <w:rFonts w:hint="eastAsia" w:ascii="Times New Roman" w:hAnsi="Times New Roman" w:eastAsia="宋体" w:cs="Times New Roman"/>
                      <w:color w:val="auto"/>
                      <w:sz w:val="18"/>
                      <w:szCs w:val="18"/>
                      <w:highlight w:val="none"/>
                      <w:lang w:val="en-US" w:eastAsia="zh-CN"/>
                    </w:rPr>
                    <w:t>9</w:t>
                  </w:r>
                </w:p>
              </w:tc>
              <w:tc>
                <w:tcPr>
                  <w:tcW w:w="455" w:type="pct"/>
                  <w:tcBorders>
                    <w:top w:val="single" w:color="auto" w:sz="4" w:space="0"/>
                    <w:left w:val="single" w:color="auto" w:sz="4" w:space="0"/>
                    <w:bottom w:val="single" w:color="auto" w:sz="4" w:space="0"/>
                    <w:right w:val="single" w:color="auto" w:sz="4" w:space="0"/>
                  </w:tcBorders>
                  <w:vAlign w:val="center"/>
                </w:tcPr>
                <w:p w14:paraId="44A5819D">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65.9</w:t>
                  </w:r>
                </w:p>
              </w:tc>
              <w:tc>
                <w:tcPr>
                  <w:tcW w:w="281" w:type="pct"/>
                  <w:vMerge w:val="continue"/>
                  <w:tcBorders>
                    <w:left w:val="single" w:color="auto" w:sz="4" w:space="0"/>
                    <w:right w:val="single" w:color="auto" w:sz="4" w:space="0"/>
                  </w:tcBorders>
                  <w:vAlign w:val="center"/>
                </w:tcPr>
                <w:p w14:paraId="2FE7D456">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786F6F50">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3C67B263">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50.9</w:t>
                  </w:r>
                </w:p>
              </w:tc>
              <w:tc>
                <w:tcPr>
                  <w:tcW w:w="373" w:type="pct"/>
                  <w:vMerge w:val="continue"/>
                  <w:tcBorders>
                    <w:left w:val="single" w:color="auto" w:sz="4" w:space="0"/>
                    <w:right w:val="single" w:color="auto" w:sz="4" w:space="0"/>
                  </w:tcBorders>
                  <w:vAlign w:val="center"/>
                </w:tcPr>
                <w:p w14:paraId="08EC93DF">
                  <w:pPr>
                    <w:pStyle w:val="41"/>
                    <w:rPr>
                      <w:rFonts w:hint="default" w:ascii="Times New Roman" w:hAnsi="Times New Roman" w:eastAsia="宋体" w:cs="Times New Roman"/>
                      <w:color w:val="auto"/>
                      <w:sz w:val="18"/>
                      <w:szCs w:val="18"/>
                      <w:highlight w:val="none"/>
                      <w:lang w:eastAsia="zh-CN"/>
                    </w:rPr>
                  </w:pPr>
                </w:p>
              </w:tc>
            </w:tr>
            <w:tr w14:paraId="07B76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26129E6B">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55EDAF48">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2AE1004D">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7B328FF4">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0CDA8011">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0C6916FB">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0DE60CB6">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27C524C5">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西：</w:t>
                  </w:r>
                  <w:r>
                    <w:rPr>
                      <w:rFonts w:hint="eastAsia" w:ascii="Times New Roman" w:hAnsi="Times New Roman" w:eastAsia="宋体" w:cs="Times New Roman"/>
                      <w:color w:val="auto"/>
                      <w:sz w:val="18"/>
                      <w:szCs w:val="18"/>
                      <w:highlight w:val="none"/>
                      <w:lang w:val="en-US" w:eastAsia="zh-CN"/>
                    </w:rPr>
                    <w:t>30</w:t>
                  </w:r>
                </w:p>
              </w:tc>
              <w:tc>
                <w:tcPr>
                  <w:tcW w:w="455" w:type="pct"/>
                  <w:tcBorders>
                    <w:top w:val="single" w:color="auto" w:sz="4" w:space="0"/>
                    <w:left w:val="single" w:color="auto" w:sz="4" w:space="0"/>
                    <w:bottom w:val="single" w:color="auto" w:sz="4" w:space="0"/>
                    <w:right w:val="single" w:color="auto" w:sz="4" w:space="0"/>
                  </w:tcBorders>
                  <w:vAlign w:val="center"/>
                </w:tcPr>
                <w:p w14:paraId="1A59B65D">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val="en-US" w:eastAsia="zh-CN"/>
                    </w:rPr>
                    <w:t>55</w:t>
                  </w:r>
                  <w:r>
                    <w:rPr>
                      <w:rFonts w:hint="eastAsia" w:ascii="Times New Roman" w:hAnsi="Times New Roman" w:eastAsia="宋体" w:cs="Times New Roman"/>
                      <w:color w:val="auto"/>
                      <w:sz w:val="18"/>
                      <w:szCs w:val="18"/>
                      <w:highlight w:val="none"/>
                      <w:lang w:eastAsia="zh-CN"/>
                    </w:rPr>
                    <w:t>.5</w:t>
                  </w:r>
                </w:p>
              </w:tc>
              <w:tc>
                <w:tcPr>
                  <w:tcW w:w="281" w:type="pct"/>
                  <w:vMerge w:val="continue"/>
                  <w:tcBorders>
                    <w:left w:val="single" w:color="auto" w:sz="4" w:space="0"/>
                    <w:right w:val="single" w:color="auto" w:sz="4" w:space="0"/>
                  </w:tcBorders>
                  <w:vAlign w:val="center"/>
                </w:tcPr>
                <w:p w14:paraId="60D1528B">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6657F7F8">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5D06DC0E">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40.5</w:t>
                  </w:r>
                </w:p>
              </w:tc>
              <w:tc>
                <w:tcPr>
                  <w:tcW w:w="373" w:type="pct"/>
                  <w:vMerge w:val="continue"/>
                  <w:tcBorders>
                    <w:left w:val="single" w:color="auto" w:sz="4" w:space="0"/>
                    <w:right w:val="single" w:color="auto" w:sz="4" w:space="0"/>
                  </w:tcBorders>
                  <w:vAlign w:val="center"/>
                </w:tcPr>
                <w:p w14:paraId="6B5B7E6B">
                  <w:pPr>
                    <w:pStyle w:val="41"/>
                    <w:rPr>
                      <w:rFonts w:hint="default" w:ascii="Times New Roman" w:hAnsi="Times New Roman" w:eastAsia="宋体" w:cs="Times New Roman"/>
                      <w:color w:val="auto"/>
                      <w:sz w:val="18"/>
                      <w:szCs w:val="18"/>
                      <w:highlight w:val="none"/>
                      <w:lang w:eastAsia="zh-CN"/>
                    </w:rPr>
                  </w:pPr>
                </w:p>
              </w:tc>
            </w:tr>
            <w:tr w14:paraId="5C287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24FF9E5B">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bottom w:val="single" w:color="auto" w:sz="4" w:space="0"/>
                    <w:right w:val="single" w:color="auto" w:sz="4" w:space="0"/>
                  </w:tcBorders>
                  <w:tcMar>
                    <w:left w:w="57" w:type="dxa"/>
                    <w:right w:w="57" w:type="dxa"/>
                  </w:tcMar>
                  <w:vAlign w:val="center"/>
                </w:tcPr>
                <w:p w14:paraId="57274F2C">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bottom w:val="single" w:color="auto" w:sz="4" w:space="0"/>
                    <w:right w:val="single" w:color="auto" w:sz="4" w:space="0"/>
                  </w:tcBorders>
                  <w:vAlign w:val="center"/>
                </w:tcPr>
                <w:p w14:paraId="29FCB760">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2E2BF06D">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bottom w:val="single" w:color="auto" w:sz="4" w:space="0"/>
                    <w:right w:val="single" w:color="auto" w:sz="4" w:space="0"/>
                  </w:tcBorders>
                  <w:vAlign w:val="center"/>
                </w:tcPr>
                <w:p w14:paraId="25791C0F">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bottom w:val="single" w:color="auto" w:sz="4" w:space="0"/>
                    <w:right w:val="single" w:color="auto" w:sz="4" w:space="0"/>
                  </w:tcBorders>
                  <w:vAlign w:val="center"/>
                </w:tcPr>
                <w:p w14:paraId="1FCC44A0">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bottom w:val="single" w:color="auto" w:sz="4" w:space="0"/>
                    <w:right w:val="single" w:color="auto" w:sz="4" w:space="0"/>
                  </w:tcBorders>
                  <w:vAlign w:val="center"/>
                </w:tcPr>
                <w:p w14:paraId="31DF5B0F">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bottom w:val="single" w:color="auto" w:sz="4" w:space="0"/>
                    <w:right w:val="single" w:color="auto" w:sz="4" w:space="0"/>
                  </w:tcBorders>
                  <w:vAlign w:val="center"/>
                </w:tcPr>
                <w:p w14:paraId="2747B7B8">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北：</w:t>
                  </w:r>
                  <w:r>
                    <w:rPr>
                      <w:rFonts w:hint="eastAsia" w:ascii="Times New Roman" w:hAnsi="Times New Roman" w:eastAsia="宋体" w:cs="Times New Roman"/>
                      <w:color w:val="auto"/>
                      <w:sz w:val="18"/>
                      <w:szCs w:val="18"/>
                      <w:highlight w:val="none"/>
                      <w:lang w:val="en-US" w:eastAsia="zh-CN"/>
                    </w:rPr>
                    <w:t>27</w:t>
                  </w:r>
                </w:p>
              </w:tc>
              <w:tc>
                <w:tcPr>
                  <w:tcW w:w="455" w:type="pct"/>
                  <w:tcBorders>
                    <w:top w:val="single" w:color="auto" w:sz="4" w:space="0"/>
                    <w:left w:val="single" w:color="auto" w:sz="4" w:space="0"/>
                    <w:bottom w:val="single" w:color="auto" w:sz="4" w:space="0"/>
                    <w:right w:val="single" w:color="auto" w:sz="4" w:space="0"/>
                  </w:tcBorders>
                  <w:vAlign w:val="center"/>
                </w:tcPr>
                <w:p w14:paraId="41AC8A7C">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56.4</w:t>
                  </w:r>
                </w:p>
              </w:tc>
              <w:tc>
                <w:tcPr>
                  <w:tcW w:w="281" w:type="pct"/>
                  <w:vMerge w:val="continue"/>
                  <w:tcBorders>
                    <w:left w:val="single" w:color="auto" w:sz="4" w:space="0"/>
                    <w:bottom w:val="single" w:color="auto" w:sz="4" w:space="0"/>
                    <w:right w:val="single" w:color="auto" w:sz="4" w:space="0"/>
                  </w:tcBorders>
                  <w:vAlign w:val="center"/>
                </w:tcPr>
                <w:p w14:paraId="343B54CE">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bottom w:val="single" w:color="auto" w:sz="4" w:space="0"/>
                    <w:right w:val="single" w:color="auto" w:sz="4" w:space="0"/>
                  </w:tcBorders>
                  <w:vAlign w:val="center"/>
                </w:tcPr>
                <w:p w14:paraId="6ED74128">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bottom w:val="single" w:color="auto" w:sz="4" w:space="0"/>
                    <w:right w:val="single" w:color="auto" w:sz="4" w:space="0"/>
                  </w:tcBorders>
                  <w:shd w:val="clear" w:color="auto" w:fill="auto"/>
                  <w:vAlign w:val="center"/>
                </w:tcPr>
                <w:p w14:paraId="5C45D540">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41.4</w:t>
                  </w:r>
                </w:p>
              </w:tc>
              <w:tc>
                <w:tcPr>
                  <w:tcW w:w="373" w:type="pct"/>
                  <w:vMerge w:val="continue"/>
                  <w:tcBorders>
                    <w:left w:val="single" w:color="auto" w:sz="4" w:space="0"/>
                    <w:bottom w:val="single" w:color="auto" w:sz="4" w:space="0"/>
                    <w:right w:val="single" w:color="auto" w:sz="4" w:space="0"/>
                  </w:tcBorders>
                  <w:vAlign w:val="center"/>
                </w:tcPr>
                <w:p w14:paraId="682D8E0A">
                  <w:pPr>
                    <w:pStyle w:val="41"/>
                    <w:rPr>
                      <w:rFonts w:hint="default" w:ascii="Times New Roman" w:hAnsi="Times New Roman" w:eastAsia="宋体" w:cs="Times New Roman"/>
                      <w:color w:val="auto"/>
                      <w:sz w:val="18"/>
                      <w:szCs w:val="18"/>
                      <w:highlight w:val="none"/>
                      <w:lang w:eastAsia="zh-CN"/>
                    </w:rPr>
                  </w:pPr>
                </w:p>
              </w:tc>
            </w:tr>
            <w:tr w14:paraId="22D20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633882BE">
                  <w:pPr>
                    <w:pStyle w:val="41"/>
                    <w:rPr>
                      <w:rFonts w:hint="default" w:ascii="Times New Roman" w:hAnsi="Times New Roman" w:eastAsia="宋体" w:cs="Times New Roman"/>
                      <w:color w:val="auto"/>
                      <w:sz w:val="18"/>
                      <w:szCs w:val="18"/>
                      <w:highlight w:val="none"/>
                      <w:lang w:eastAsia="zh-CN"/>
                    </w:rPr>
                  </w:pPr>
                </w:p>
              </w:tc>
              <w:tc>
                <w:tcPr>
                  <w:tcW w:w="376" w:type="pct"/>
                  <w:vMerge w:val="restart"/>
                  <w:tcBorders>
                    <w:top w:val="single" w:color="auto" w:sz="4" w:space="0"/>
                    <w:left w:val="single" w:color="auto" w:sz="4" w:space="0"/>
                    <w:right w:val="single" w:color="auto" w:sz="4" w:space="0"/>
                  </w:tcBorders>
                  <w:tcMar>
                    <w:left w:w="57" w:type="dxa"/>
                    <w:right w:w="57" w:type="dxa"/>
                  </w:tcMar>
                  <w:vAlign w:val="center"/>
                </w:tcPr>
                <w:p w14:paraId="671D2DC4">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20"/>
                      <w:szCs w:val="20"/>
                      <w:highlight w:val="none"/>
                      <w:lang w:val="en-US" w:eastAsia="zh-CN"/>
                    </w:rPr>
                    <w:t>数控木工加工中心</w:t>
                  </w:r>
                </w:p>
              </w:tc>
              <w:tc>
                <w:tcPr>
                  <w:tcW w:w="439" w:type="pct"/>
                  <w:vMerge w:val="restart"/>
                  <w:tcBorders>
                    <w:top w:val="single" w:color="auto" w:sz="4" w:space="0"/>
                    <w:left w:val="single" w:color="auto" w:sz="4" w:space="0"/>
                    <w:right w:val="single" w:color="auto" w:sz="4" w:space="0"/>
                  </w:tcBorders>
                  <w:vAlign w:val="center"/>
                </w:tcPr>
                <w:p w14:paraId="456DC88D">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85</w:t>
                  </w:r>
                </w:p>
              </w:tc>
              <w:tc>
                <w:tcPr>
                  <w:tcW w:w="335" w:type="pct"/>
                  <w:vMerge w:val="continue"/>
                  <w:tcBorders>
                    <w:left w:val="single" w:color="auto" w:sz="4" w:space="0"/>
                    <w:right w:val="single" w:color="auto" w:sz="4" w:space="0"/>
                  </w:tcBorders>
                  <w:vAlign w:val="center"/>
                </w:tcPr>
                <w:p w14:paraId="78940497">
                  <w:pPr>
                    <w:pStyle w:val="41"/>
                    <w:rPr>
                      <w:rFonts w:hint="default" w:ascii="Times New Roman" w:hAnsi="Times New Roman" w:eastAsia="宋体" w:cs="Times New Roman"/>
                      <w:color w:val="auto"/>
                      <w:sz w:val="18"/>
                      <w:szCs w:val="18"/>
                      <w:highlight w:val="none"/>
                      <w:lang w:val="zh-CN" w:eastAsia="zh-CN"/>
                    </w:rPr>
                  </w:pPr>
                </w:p>
              </w:tc>
              <w:tc>
                <w:tcPr>
                  <w:tcW w:w="348" w:type="pct"/>
                  <w:vMerge w:val="restart"/>
                  <w:tcBorders>
                    <w:top w:val="single" w:color="auto" w:sz="4" w:space="0"/>
                    <w:left w:val="single" w:color="auto" w:sz="4" w:space="0"/>
                    <w:right w:val="single" w:color="auto" w:sz="4" w:space="0"/>
                  </w:tcBorders>
                  <w:vAlign w:val="center"/>
                </w:tcPr>
                <w:p w14:paraId="3CB2470D">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36</w:t>
                  </w:r>
                </w:p>
              </w:tc>
              <w:tc>
                <w:tcPr>
                  <w:tcW w:w="359" w:type="pct"/>
                  <w:vMerge w:val="restart"/>
                  <w:tcBorders>
                    <w:top w:val="single" w:color="auto" w:sz="4" w:space="0"/>
                    <w:left w:val="single" w:color="auto" w:sz="4" w:space="0"/>
                    <w:right w:val="single" w:color="auto" w:sz="4" w:space="0"/>
                  </w:tcBorders>
                  <w:vAlign w:val="center"/>
                </w:tcPr>
                <w:p w14:paraId="57A83013">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56</w:t>
                  </w:r>
                </w:p>
              </w:tc>
              <w:tc>
                <w:tcPr>
                  <w:tcW w:w="329" w:type="pct"/>
                  <w:vMerge w:val="restart"/>
                  <w:tcBorders>
                    <w:top w:val="single" w:color="auto" w:sz="4" w:space="0"/>
                    <w:left w:val="single" w:color="auto" w:sz="4" w:space="0"/>
                    <w:right w:val="single" w:color="auto" w:sz="4" w:space="0"/>
                  </w:tcBorders>
                  <w:vAlign w:val="center"/>
                </w:tcPr>
                <w:p w14:paraId="7DC71402">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1.2</w:t>
                  </w:r>
                </w:p>
              </w:tc>
              <w:tc>
                <w:tcPr>
                  <w:tcW w:w="524" w:type="pct"/>
                  <w:tcBorders>
                    <w:top w:val="single" w:color="auto" w:sz="4" w:space="0"/>
                    <w:left w:val="single" w:color="auto" w:sz="4" w:space="0"/>
                    <w:right w:val="single" w:color="auto" w:sz="4" w:space="0"/>
                  </w:tcBorders>
                  <w:vAlign w:val="center"/>
                </w:tcPr>
                <w:p w14:paraId="5C2B2AA9">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东：</w:t>
                  </w:r>
                  <w:r>
                    <w:rPr>
                      <w:rFonts w:hint="eastAsia" w:ascii="Times New Roman" w:hAnsi="Times New Roman" w:eastAsia="宋体" w:cs="Times New Roman"/>
                      <w:color w:val="auto"/>
                      <w:sz w:val="18"/>
                      <w:szCs w:val="18"/>
                      <w:highlight w:val="none"/>
                      <w:lang w:val="en-US" w:eastAsia="zh-CN"/>
                    </w:rPr>
                    <w:t>10</w:t>
                  </w:r>
                </w:p>
              </w:tc>
              <w:tc>
                <w:tcPr>
                  <w:tcW w:w="455" w:type="pct"/>
                  <w:tcBorders>
                    <w:top w:val="single" w:color="auto" w:sz="4" w:space="0"/>
                    <w:left w:val="single" w:color="auto" w:sz="4" w:space="0"/>
                    <w:bottom w:val="single" w:color="auto" w:sz="4" w:space="0"/>
                    <w:right w:val="single" w:color="auto" w:sz="4" w:space="0"/>
                  </w:tcBorders>
                  <w:vAlign w:val="center"/>
                </w:tcPr>
                <w:p w14:paraId="337645B5">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65</w:t>
                  </w:r>
                </w:p>
              </w:tc>
              <w:tc>
                <w:tcPr>
                  <w:tcW w:w="281" w:type="pct"/>
                  <w:vMerge w:val="restart"/>
                  <w:tcBorders>
                    <w:top w:val="single" w:color="auto" w:sz="4" w:space="0"/>
                    <w:left w:val="single" w:color="auto" w:sz="4" w:space="0"/>
                    <w:right w:val="single" w:color="auto" w:sz="4" w:space="0"/>
                  </w:tcBorders>
                  <w:vAlign w:val="center"/>
                </w:tcPr>
                <w:p w14:paraId="1930514D">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val="en-US" w:eastAsia="zh-CN"/>
                    </w:rPr>
                    <w:t>8</w:t>
                  </w:r>
                  <w:r>
                    <w:rPr>
                      <w:rFonts w:hint="default" w:ascii="Times New Roman" w:hAnsi="Times New Roman" w:eastAsia="宋体" w:cs="Times New Roman"/>
                      <w:color w:val="auto"/>
                      <w:sz w:val="18"/>
                      <w:szCs w:val="18"/>
                      <w:highlight w:val="none"/>
                      <w:lang w:eastAsia="zh-CN"/>
                    </w:rPr>
                    <w:t>h</w:t>
                  </w:r>
                </w:p>
              </w:tc>
              <w:tc>
                <w:tcPr>
                  <w:tcW w:w="422" w:type="pct"/>
                  <w:vMerge w:val="restart"/>
                  <w:tcBorders>
                    <w:top w:val="single" w:color="auto" w:sz="4" w:space="0"/>
                    <w:left w:val="single" w:color="auto" w:sz="4" w:space="0"/>
                    <w:right w:val="single" w:color="auto" w:sz="4" w:space="0"/>
                  </w:tcBorders>
                  <w:vAlign w:val="center"/>
                </w:tcPr>
                <w:p w14:paraId="28085895">
                  <w:pPr>
                    <w:pStyle w:val="41"/>
                    <w:rPr>
                      <w:rFonts w:hint="default" w:ascii="Times New Roman" w:hAnsi="Times New Roman" w:eastAsia="宋体" w:cs="Times New Roman"/>
                      <w:color w:val="FF0000"/>
                      <w:sz w:val="18"/>
                      <w:szCs w:val="18"/>
                      <w:highlight w:val="none"/>
                      <w:lang w:eastAsia="zh-CN"/>
                    </w:rPr>
                  </w:pPr>
                  <w:r>
                    <w:rPr>
                      <w:rFonts w:hint="eastAsia" w:ascii="Times New Roman" w:hAnsi="Times New Roman" w:cs="Times New Roman"/>
                      <w:color w:val="FF0000"/>
                      <w:sz w:val="18"/>
                      <w:szCs w:val="18"/>
                      <w:highlight w:val="none"/>
                      <w:lang w:val="en-US" w:eastAsia="zh-CN"/>
                    </w:rPr>
                    <w:t>15</w:t>
                  </w:r>
                </w:p>
              </w:tc>
              <w:tc>
                <w:tcPr>
                  <w:tcW w:w="453" w:type="pct"/>
                  <w:tcBorders>
                    <w:top w:val="single" w:color="auto" w:sz="4" w:space="0"/>
                    <w:left w:val="single" w:color="auto" w:sz="4" w:space="0"/>
                    <w:right w:val="single" w:color="auto" w:sz="4" w:space="0"/>
                  </w:tcBorders>
                  <w:shd w:val="clear" w:color="auto" w:fill="auto"/>
                  <w:vAlign w:val="center"/>
                </w:tcPr>
                <w:p w14:paraId="593478F1">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50</w:t>
                  </w:r>
                </w:p>
              </w:tc>
              <w:tc>
                <w:tcPr>
                  <w:tcW w:w="373" w:type="pct"/>
                  <w:vMerge w:val="restart"/>
                  <w:tcBorders>
                    <w:top w:val="single" w:color="auto" w:sz="4" w:space="0"/>
                    <w:left w:val="single" w:color="auto" w:sz="4" w:space="0"/>
                    <w:right w:val="single" w:color="auto" w:sz="4" w:space="0"/>
                  </w:tcBorders>
                  <w:vAlign w:val="center"/>
                </w:tcPr>
                <w:p w14:paraId="66A40F0C">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1</w:t>
                  </w:r>
                </w:p>
              </w:tc>
            </w:tr>
            <w:tr w14:paraId="46F9A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5C4E5A86">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617DF577">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1B45684E">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78A69CBC">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3CDF540B">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3C69F05E">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6265B6ED">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6AB69799">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南：</w:t>
                  </w:r>
                  <w:r>
                    <w:rPr>
                      <w:rFonts w:hint="eastAsia" w:ascii="Times New Roman" w:hAnsi="Times New Roman" w:eastAsia="宋体" w:cs="Times New Roman"/>
                      <w:color w:val="auto"/>
                      <w:sz w:val="18"/>
                      <w:szCs w:val="18"/>
                      <w:highlight w:val="none"/>
                      <w:lang w:val="en-US" w:eastAsia="zh-CN"/>
                    </w:rPr>
                    <w:t>16</w:t>
                  </w:r>
                </w:p>
              </w:tc>
              <w:tc>
                <w:tcPr>
                  <w:tcW w:w="455" w:type="pct"/>
                  <w:tcBorders>
                    <w:top w:val="single" w:color="auto" w:sz="4" w:space="0"/>
                    <w:left w:val="single" w:color="auto" w:sz="4" w:space="0"/>
                    <w:bottom w:val="single" w:color="auto" w:sz="4" w:space="0"/>
                    <w:right w:val="single" w:color="auto" w:sz="4" w:space="0"/>
                  </w:tcBorders>
                  <w:vAlign w:val="center"/>
                </w:tcPr>
                <w:p w14:paraId="53E8E719">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60.9</w:t>
                  </w:r>
                </w:p>
              </w:tc>
              <w:tc>
                <w:tcPr>
                  <w:tcW w:w="281" w:type="pct"/>
                  <w:vMerge w:val="continue"/>
                  <w:tcBorders>
                    <w:left w:val="single" w:color="auto" w:sz="4" w:space="0"/>
                    <w:right w:val="single" w:color="auto" w:sz="4" w:space="0"/>
                  </w:tcBorders>
                  <w:vAlign w:val="center"/>
                </w:tcPr>
                <w:p w14:paraId="6DC45A01">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56819B24">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17EAB548">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45.9</w:t>
                  </w:r>
                </w:p>
              </w:tc>
              <w:tc>
                <w:tcPr>
                  <w:tcW w:w="373" w:type="pct"/>
                  <w:vMerge w:val="continue"/>
                  <w:tcBorders>
                    <w:left w:val="single" w:color="auto" w:sz="4" w:space="0"/>
                    <w:right w:val="single" w:color="auto" w:sz="4" w:space="0"/>
                  </w:tcBorders>
                  <w:vAlign w:val="center"/>
                </w:tcPr>
                <w:p w14:paraId="25641FB2">
                  <w:pPr>
                    <w:pStyle w:val="41"/>
                    <w:rPr>
                      <w:rFonts w:hint="default" w:ascii="Times New Roman" w:hAnsi="Times New Roman" w:eastAsia="宋体" w:cs="Times New Roman"/>
                      <w:color w:val="auto"/>
                      <w:sz w:val="18"/>
                      <w:szCs w:val="18"/>
                      <w:highlight w:val="none"/>
                      <w:lang w:eastAsia="zh-CN"/>
                    </w:rPr>
                  </w:pPr>
                </w:p>
              </w:tc>
            </w:tr>
            <w:tr w14:paraId="66DB1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46C0470F">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404CDC37">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31BF382D">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0C11CCC1">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6E1C74D5">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00238562">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2D3EBE2A">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38CACA19">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西：</w:t>
                  </w:r>
                  <w:r>
                    <w:rPr>
                      <w:rFonts w:hint="eastAsia" w:ascii="Times New Roman" w:hAnsi="Times New Roman" w:eastAsia="宋体" w:cs="Times New Roman"/>
                      <w:color w:val="auto"/>
                      <w:sz w:val="18"/>
                      <w:szCs w:val="18"/>
                      <w:highlight w:val="none"/>
                      <w:lang w:val="en-US" w:eastAsia="zh-CN"/>
                    </w:rPr>
                    <w:t>30</w:t>
                  </w:r>
                </w:p>
              </w:tc>
              <w:tc>
                <w:tcPr>
                  <w:tcW w:w="455" w:type="pct"/>
                  <w:tcBorders>
                    <w:top w:val="single" w:color="auto" w:sz="4" w:space="0"/>
                    <w:left w:val="single" w:color="auto" w:sz="4" w:space="0"/>
                    <w:bottom w:val="single" w:color="auto" w:sz="4" w:space="0"/>
                    <w:right w:val="single" w:color="auto" w:sz="4" w:space="0"/>
                  </w:tcBorders>
                  <w:vAlign w:val="center"/>
                </w:tcPr>
                <w:p w14:paraId="00193BEE">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55.5</w:t>
                  </w:r>
                </w:p>
              </w:tc>
              <w:tc>
                <w:tcPr>
                  <w:tcW w:w="281" w:type="pct"/>
                  <w:vMerge w:val="continue"/>
                  <w:tcBorders>
                    <w:left w:val="single" w:color="auto" w:sz="4" w:space="0"/>
                    <w:right w:val="single" w:color="auto" w:sz="4" w:space="0"/>
                  </w:tcBorders>
                  <w:vAlign w:val="center"/>
                </w:tcPr>
                <w:p w14:paraId="131FE103">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66B5041D">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35C98C35">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40.5</w:t>
                  </w:r>
                </w:p>
              </w:tc>
              <w:tc>
                <w:tcPr>
                  <w:tcW w:w="373" w:type="pct"/>
                  <w:vMerge w:val="continue"/>
                  <w:tcBorders>
                    <w:left w:val="single" w:color="auto" w:sz="4" w:space="0"/>
                    <w:right w:val="single" w:color="auto" w:sz="4" w:space="0"/>
                  </w:tcBorders>
                  <w:vAlign w:val="center"/>
                </w:tcPr>
                <w:p w14:paraId="13D0D3AC">
                  <w:pPr>
                    <w:pStyle w:val="41"/>
                    <w:rPr>
                      <w:rFonts w:hint="default" w:ascii="Times New Roman" w:hAnsi="Times New Roman" w:eastAsia="宋体" w:cs="Times New Roman"/>
                      <w:color w:val="auto"/>
                      <w:sz w:val="18"/>
                      <w:szCs w:val="18"/>
                      <w:highlight w:val="none"/>
                      <w:lang w:eastAsia="zh-CN"/>
                    </w:rPr>
                  </w:pPr>
                </w:p>
              </w:tc>
            </w:tr>
            <w:tr w14:paraId="49544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6E004DC6">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bottom w:val="single" w:color="auto" w:sz="4" w:space="0"/>
                    <w:right w:val="single" w:color="auto" w:sz="4" w:space="0"/>
                  </w:tcBorders>
                  <w:tcMar>
                    <w:left w:w="57" w:type="dxa"/>
                    <w:right w:w="57" w:type="dxa"/>
                  </w:tcMar>
                  <w:vAlign w:val="center"/>
                </w:tcPr>
                <w:p w14:paraId="2F50C03C">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bottom w:val="single" w:color="auto" w:sz="4" w:space="0"/>
                    <w:right w:val="single" w:color="auto" w:sz="4" w:space="0"/>
                  </w:tcBorders>
                  <w:vAlign w:val="center"/>
                </w:tcPr>
                <w:p w14:paraId="3A4D6D4C">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3AD7AFAB">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bottom w:val="single" w:color="auto" w:sz="4" w:space="0"/>
                    <w:right w:val="single" w:color="auto" w:sz="4" w:space="0"/>
                  </w:tcBorders>
                  <w:vAlign w:val="center"/>
                </w:tcPr>
                <w:p w14:paraId="76F411A3">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bottom w:val="single" w:color="auto" w:sz="4" w:space="0"/>
                    <w:right w:val="single" w:color="auto" w:sz="4" w:space="0"/>
                  </w:tcBorders>
                  <w:vAlign w:val="center"/>
                </w:tcPr>
                <w:p w14:paraId="7EC336EF">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bottom w:val="single" w:color="auto" w:sz="4" w:space="0"/>
                    <w:right w:val="single" w:color="auto" w:sz="4" w:space="0"/>
                  </w:tcBorders>
                  <w:vAlign w:val="center"/>
                </w:tcPr>
                <w:p w14:paraId="554EB2C0">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bottom w:val="single" w:color="auto" w:sz="4" w:space="0"/>
                    <w:right w:val="single" w:color="auto" w:sz="4" w:space="0"/>
                  </w:tcBorders>
                  <w:vAlign w:val="center"/>
                </w:tcPr>
                <w:p w14:paraId="1A3F1868">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北：</w:t>
                  </w:r>
                  <w:r>
                    <w:rPr>
                      <w:rFonts w:hint="eastAsia" w:ascii="Times New Roman" w:hAnsi="Times New Roman" w:eastAsia="宋体" w:cs="Times New Roman"/>
                      <w:color w:val="auto"/>
                      <w:sz w:val="18"/>
                      <w:szCs w:val="18"/>
                      <w:highlight w:val="none"/>
                      <w:lang w:val="en-US" w:eastAsia="zh-CN"/>
                    </w:rPr>
                    <w:t>20</w:t>
                  </w:r>
                </w:p>
              </w:tc>
              <w:tc>
                <w:tcPr>
                  <w:tcW w:w="455" w:type="pct"/>
                  <w:tcBorders>
                    <w:top w:val="single" w:color="auto" w:sz="4" w:space="0"/>
                    <w:left w:val="single" w:color="auto" w:sz="4" w:space="0"/>
                    <w:bottom w:val="single" w:color="auto" w:sz="4" w:space="0"/>
                    <w:right w:val="single" w:color="auto" w:sz="4" w:space="0"/>
                  </w:tcBorders>
                  <w:vAlign w:val="center"/>
                </w:tcPr>
                <w:p w14:paraId="31D94965">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58.9</w:t>
                  </w:r>
                </w:p>
              </w:tc>
              <w:tc>
                <w:tcPr>
                  <w:tcW w:w="281" w:type="pct"/>
                  <w:vMerge w:val="continue"/>
                  <w:tcBorders>
                    <w:left w:val="single" w:color="auto" w:sz="4" w:space="0"/>
                    <w:bottom w:val="single" w:color="auto" w:sz="4" w:space="0"/>
                    <w:right w:val="single" w:color="auto" w:sz="4" w:space="0"/>
                  </w:tcBorders>
                  <w:vAlign w:val="center"/>
                </w:tcPr>
                <w:p w14:paraId="6ABA867B">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bottom w:val="single" w:color="auto" w:sz="4" w:space="0"/>
                    <w:right w:val="single" w:color="auto" w:sz="4" w:space="0"/>
                  </w:tcBorders>
                  <w:vAlign w:val="center"/>
                </w:tcPr>
                <w:p w14:paraId="463E4415">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bottom w:val="single" w:color="auto" w:sz="4" w:space="0"/>
                    <w:right w:val="single" w:color="auto" w:sz="4" w:space="0"/>
                  </w:tcBorders>
                  <w:shd w:val="clear" w:color="auto" w:fill="auto"/>
                  <w:vAlign w:val="center"/>
                </w:tcPr>
                <w:p w14:paraId="7A8083CA">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43.9</w:t>
                  </w:r>
                </w:p>
              </w:tc>
              <w:tc>
                <w:tcPr>
                  <w:tcW w:w="373" w:type="pct"/>
                  <w:vMerge w:val="continue"/>
                  <w:tcBorders>
                    <w:left w:val="single" w:color="auto" w:sz="4" w:space="0"/>
                    <w:bottom w:val="single" w:color="auto" w:sz="4" w:space="0"/>
                    <w:right w:val="single" w:color="auto" w:sz="4" w:space="0"/>
                  </w:tcBorders>
                  <w:vAlign w:val="center"/>
                </w:tcPr>
                <w:p w14:paraId="3BBC082D">
                  <w:pPr>
                    <w:pStyle w:val="41"/>
                    <w:rPr>
                      <w:rFonts w:hint="default" w:ascii="Times New Roman" w:hAnsi="Times New Roman" w:eastAsia="宋体" w:cs="Times New Roman"/>
                      <w:color w:val="auto"/>
                      <w:sz w:val="18"/>
                      <w:szCs w:val="18"/>
                      <w:highlight w:val="none"/>
                      <w:lang w:eastAsia="zh-CN"/>
                    </w:rPr>
                  </w:pPr>
                </w:p>
              </w:tc>
            </w:tr>
            <w:tr w14:paraId="2AA4F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5A0CEDD4">
                  <w:pPr>
                    <w:pStyle w:val="41"/>
                    <w:rPr>
                      <w:rFonts w:hint="default" w:ascii="Times New Roman" w:hAnsi="Times New Roman" w:eastAsia="宋体" w:cs="Times New Roman"/>
                      <w:color w:val="auto"/>
                      <w:sz w:val="18"/>
                      <w:szCs w:val="18"/>
                      <w:highlight w:val="none"/>
                      <w:lang w:eastAsia="zh-CN"/>
                    </w:rPr>
                  </w:pPr>
                </w:p>
              </w:tc>
              <w:tc>
                <w:tcPr>
                  <w:tcW w:w="376" w:type="pct"/>
                  <w:vMerge w:val="restart"/>
                  <w:tcBorders>
                    <w:top w:val="single" w:color="auto" w:sz="4" w:space="0"/>
                    <w:left w:val="single" w:color="auto" w:sz="4" w:space="0"/>
                    <w:right w:val="single" w:color="auto" w:sz="4" w:space="0"/>
                  </w:tcBorders>
                  <w:tcMar>
                    <w:left w:w="57" w:type="dxa"/>
                    <w:right w:w="57" w:type="dxa"/>
                  </w:tcMar>
                  <w:vAlign w:val="center"/>
                </w:tcPr>
                <w:p w14:paraId="494A4C26">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多排台钻</w:t>
                  </w:r>
                </w:p>
              </w:tc>
              <w:tc>
                <w:tcPr>
                  <w:tcW w:w="439" w:type="pct"/>
                  <w:vMerge w:val="restart"/>
                  <w:tcBorders>
                    <w:top w:val="single" w:color="auto" w:sz="4" w:space="0"/>
                    <w:left w:val="single" w:color="auto" w:sz="4" w:space="0"/>
                    <w:right w:val="single" w:color="auto" w:sz="4" w:space="0"/>
                  </w:tcBorders>
                  <w:vAlign w:val="center"/>
                </w:tcPr>
                <w:p w14:paraId="715A780B">
                  <w:pPr>
                    <w:pStyle w:val="41"/>
                    <w:rPr>
                      <w:rFonts w:hint="default" w:ascii="Times New Roman" w:hAnsi="Times New Roman" w:eastAsia="宋体" w:cs="Times New Roman"/>
                      <w:color w:val="auto"/>
                      <w:sz w:val="18"/>
                      <w:szCs w:val="18"/>
                      <w:highlight w:val="none"/>
                      <w:lang w:val="zh-CN" w:eastAsia="zh-CN"/>
                    </w:rPr>
                  </w:pPr>
                  <w:r>
                    <w:rPr>
                      <w:rFonts w:hint="eastAsia" w:ascii="Times New Roman" w:hAnsi="Times New Roman" w:eastAsia="宋体" w:cs="Times New Roman"/>
                      <w:color w:val="auto"/>
                      <w:sz w:val="18"/>
                      <w:szCs w:val="18"/>
                      <w:highlight w:val="none"/>
                      <w:lang w:val="zh-CN" w:eastAsia="zh-CN"/>
                    </w:rPr>
                    <w:t>85</w:t>
                  </w:r>
                </w:p>
              </w:tc>
              <w:tc>
                <w:tcPr>
                  <w:tcW w:w="335" w:type="pct"/>
                  <w:vMerge w:val="continue"/>
                  <w:tcBorders>
                    <w:left w:val="single" w:color="auto" w:sz="4" w:space="0"/>
                    <w:right w:val="single" w:color="auto" w:sz="4" w:space="0"/>
                  </w:tcBorders>
                  <w:vAlign w:val="center"/>
                </w:tcPr>
                <w:p w14:paraId="7565B159">
                  <w:pPr>
                    <w:pStyle w:val="41"/>
                    <w:rPr>
                      <w:rFonts w:hint="default" w:ascii="Times New Roman" w:hAnsi="Times New Roman" w:eastAsia="宋体" w:cs="Times New Roman"/>
                      <w:color w:val="auto"/>
                      <w:sz w:val="18"/>
                      <w:szCs w:val="18"/>
                      <w:highlight w:val="none"/>
                      <w:lang w:val="zh-CN" w:eastAsia="zh-CN"/>
                    </w:rPr>
                  </w:pPr>
                </w:p>
              </w:tc>
              <w:tc>
                <w:tcPr>
                  <w:tcW w:w="348" w:type="pct"/>
                  <w:vMerge w:val="restart"/>
                  <w:tcBorders>
                    <w:top w:val="single" w:color="auto" w:sz="4" w:space="0"/>
                    <w:left w:val="single" w:color="auto" w:sz="4" w:space="0"/>
                    <w:right w:val="single" w:color="auto" w:sz="4" w:space="0"/>
                  </w:tcBorders>
                  <w:vAlign w:val="center"/>
                </w:tcPr>
                <w:p w14:paraId="57E156DA">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34</w:t>
                  </w:r>
                </w:p>
              </w:tc>
              <w:tc>
                <w:tcPr>
                  <w:tcW w:w="359" w:type="pct"/>
                  <w:vMerge w:val="restart"/>
                  <w:tcBorders>
                    <w:top w:val="single" w:color="auto" w:sz="4" w:space="0"/>
                    <w:left w:val="single" w:color="auto" w:sz="4" w:space="0"/>
                    <w:right w:val="single" w:color="auto" w:sz="4" w:space="0"/>
                  </w:tcBorders>
                  <w:vAlign w:val="center"/>
                </w:tcPr>
                <w:p w14:paraId="751FB22D">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70</w:t>
                  </w:r>
                </w:p>
              </w:tc>
              <w:tc>
                <w:tcPr>
                  <w:tcW w:w="329" w:type="pct"/>
                  <w:vMerge w:val="restart"/>
                  <w:tcBorders>
                    <w:top w:val="single" w:color="auto" w:sz="4" w:space="0"/>
                    <w:left w:val="single" w:color="auto" w:sz="4" w:space="0"/>
                    <w:right w:val="single" w:color="auto" w:sz="4" w:space="0"/>
                  </w:tcBorders>
                  <w:vAlign w:val="center"/>
                </w:tcPr>
                <w:p w14:paraId="14C2F1EC">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1.2</w:t>
                  </w:r>
                </w:p>
              </w:tc>
              <w:tc>
                <w:tcPr>
                  <w:tcW w:w="524" w:type="pct"/>
                  <w:tcBorders>
                    <w:top w:val="single" w:color="auto" w:sz="4" w:space="0"/>
                    <w:left w:val="single" w:color="auto" w:sz="4" w:space="0"/>
                    <w:right w:val="single" w:color="auto" w:sz="4" w:space="0"/>
                  </w:tcBorders>
                  <w:vAlign w:val="center"/>
                </w:tcPr>
                <w:p w14:paraId="620F0048">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东：</w:t>
                  </w:r>
                  <w:r>
                    <w:rPr>
                      <w:rFonts w:hint="eastAsia" w:ascii="Times New Roman" w:hAnsi="Times New Roman" w:eastAsia="宋体" w:cs="Times New Roman"/>
                      <w:color w:val="auto"/>
                      <w:sz w:val="18"/>
                      <w:szCs w:val="18"/>
                      <w:highlight w:val="none"/>
                      <w:lang w:val="en-US" w:eastAsia="zh-CN"/>
                    </w:rPr>
                    <w:t>12</w:t>
                  </w:r>
                </w:p>
              </w:tc>
              <w:tc>
                <w:tcPr>
                  <w:tcW w:w="455" w:type="pct"/>
                  <w:tcBorders>
                    <w:top w:val="single" w:color="auto" w:sz="4" w:space="0"/>
                    <w:left w:val="single" w:color="auto" w:sz="4" w:space="0"/>
                    <w:bottom w:val="single" w:color="auto" w:sz="4" w:space="0"/>
                    <w:right w:val="single" w:color="auto" w:sz="4" w:space="0"/>
                  </w:tcBorders>
                  <w:vAlign w:val="center"/>
                </w:tcPr>
                <w:p w14:paraId="11C49F22">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val="en-US" w:eastAsia="zh-CN"/>
                    </w:rPr>
                    <w:t>6</w:t>
                  </w:r>
                  <w:r>
                    <w:rPr>
                      <w:rFonts w:hint="eastAsia" w:ascii="Times New Roman" w:hAnsi="Times New Roman" w:eastAsia="宋体" w:cs="Times New Roman"/>
                      <w:color w:val="auto"/>
                      <w:sz w:val="18"/>
                      <w:szCs w:val="18"/>
                      <w:highlight w:val="none"/>
                      <w:lang w:eastAsia="zh-CN"/>
                    </w:rPr>
                    <w:t>3.4</w:t>
                  </w:r>
                </w:p>
              </w:tc>
              <w:tc>
                <w:tcPr>
                  <w:tcW w:w="281" w:type="pct"/>
                  <w:vMerge w:val="restart"/>
                  <w:tcBorders>
                    <w:top w:val="single" w:color="auto" w:sz="4" w:space="0"/>
                    <w:left w:val="single" w:color="auto" w:sz="4" w:space="0"/>
                    <w:right w:val="single" w:color="auto" w:sz="4" w:space="0"/>
                  </w:tcBorders>
                  <w:vAlign w:val="center"/>
                </w:tcPr>
                <w:p w14:paraId="4D8522BE">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val="en-US" w:eastAsia="zh-CN"/>
                    </w:rPr>
                    <w:t>8</w:t>
                  </w:r>
                  <w:r>
                    <w:rPr>
                      <w:rFonts w:hint="default" w:ascii="Times New Roman" w:hAnsi="Times New Roman" w:eastAsia="宋体" w:cs="Times New Roman"/>
                      <w:color w:val="auto"/>
                      <w:sz w:val="18"/>
                      <w:szCs w:val="18"/>
                      <w:highlight w:val="none"/>
                      <w:lang w:eastAsia="zh-CN"/>
                    </w:rPr>
                    <w:t>h</w:t>
                  </w:r>
                </w:p>
              </w:tc>
              <w:tc>
                <w:tcPr>
                  <w:tcW w:w="422" w:type="pct"/>
                  <w:vMerge w:val="restart"/>
                  <w:tcBorders>
                    <w:top w:val="single" w:color="auto" w:sz="4" w:space="0"/>
                    <w:left w:val="single" w:color="auto" w:sz="4" w:space="0"/>
                    <w:right w:val="single" w:color="auto" w:sz="4" w:space="0"/>
                  </w:tcBorders>
                  <w:vAlign w:val="center"/>
                </w:tcPr>
                <w:p w14:paraId="555FC79A">
                  <w:pPr>
                    <w:pStyle w:val="41"/>
                    <w:rPr>
                      <w:rFonts w:hint="default" w:ascii="Times New Roman" w:hAnsi="Times New Roman" w:eastAsia="宋体" w:cs="Times New Roman"/>
                      <w:color w:val="FF0000"/>
                      <w:sz w:val="18"/>
                      <w:szCs w:val="18"/>
                      <w:highlight w:val="none"/>
                      <w:lang w:eastAsia="zh-CN"/>
                    </w:rPr>
                  </w:pPr>
                  <w:r>
                    <w:rPr>
                      <w:rFonts w:hint="eastAsia" w:ascii="Times New Roman" w:hAnsi="Times New Roman" w:cs="Times New Roman"/>
                      <w:color w:val="FF0000"/>
                      <w:sz w:val="18"/>
                      <w:szCs w:val="18"/>
                      <w:highlight w:val="none"/>
                      <w:lang w:val="en-US" w:eastAsia="zh-CN"/>
                    </w:rPr>
                    <w:t>15</w:t>
                  </w:r>
                </w:p>
              </w:tc>
              <w:tc>
                <w:tcPr>
                  <w:tcW w:w="453" w:type="pct"/>
                  <w:tcBorders>
                    <w:top w:val="single" w:color="auto" w:sz="4" w:space="0"/>
                    <w:left w:val="single" w:color="auto" w:sz="4" w:space="0"/>
                    <w:right w:val="single" w:color="auto" w:sz="4" w:space="0"/>
                  </w:tcBorders>
                  <w:shd w:val="clear" w:color="auto" w:fill="auto"/>
                  <w:vAlign w:val="center"/>
                </w:tcPr>
                <w:p w14:paraId="75D52904">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48.4</w:t>
                  </w:r>
                </w:p>
              </w:tc>
              <w:tc>
                <w:tcPr>
                  <w:tcW w:w="373" w:type="pct"/>
                  <w:vMerge w:val="restart"/>
                  <w:tcBorders>
                    <w:top w:val="single" w:color="auto" w:sz="4" w:space="0"/>
                    <w:left w:val="single" w:color="auto" w:sz="4" w:space="0"/>
                    <w:right w:val="single" w:color="auto" w:sz="4" w:space="0"/>
                  </w:tcBorders>
                  <w:vAlign w:val="center"/>
                </w:tcPr>
                <w:p w14:paraId="07C006D7">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1</w:t>
                  </w:r>
                </w:p>
              </w:tc>
            </w:tr>
            <w:tr w14:paraId="12FAB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094E7A59">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3775F310">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581B21D9">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0133D8A5">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7620A79E">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29F38390">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52B73DAD">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0B14B519">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南：</w:t>
                  </w:r>
                  <w:r>
                    <w:rPr>
                      <w:rFonts w:hint="eastAsia" w:ascii="Times New Roman" w:hAnsi="Times New Roman" w:eastAsia="宋体" w:cs="Times New Roman"/>
                      <w:color w:val="auto"/>
                      <w:sz w:val="18"/>
                      <w:szCs w:val="18"/>
                      <w:highlight w:val="none"/>
                      <w:lang w:val="en-US" w:eastAsia="zh-CN"/>
                    </w:rPr>
                    <w:t>30</w:t>
                  </w:r>
                </w:p>
              </w:tc>
              <w:tc>
                <w:tcPr>
                  <w:tcW w:w="455" w:type="pct"/>
                  <w:tcBorders>
                    <w:top w:val="single" w:color="auto" w:sz="4" w:space="0"/>
                    <w:left w:val="single" w:color="auto" w:sz="4" w:space="0"/>
                    <w:bottom w:val="single" w:color="auto" w:sz="4" w:space="0"/>
                    <w:right w:val="single" w:color="auto" w:sz="4" w:space="0"/>
                  </w:tcBorders>
                  <w:vAlign w:val="center"/>
                </w:tcPr>
                <w:p w14:paraId="7465B395">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55.</w:t>
                  </w:r>
                  <w:r>
                    <w:rPr>
                      <w:rFonts w:hint="eastAsia" w:ascii="Times New Roman" w:hAnsi="Times New Roman" w:eastAsia="宋体" w:cs="Times New Roman"/>
                      <w:color w:val="auto"/>
                      <w:sz w:val="18"/>
                      <w:szCs w:val="18"/>
                      <w:highlight w:val="none"/>
                      <w:lang w:val="en-US" w:eastAsia="zh-CN"/>
                    </w:rPr>
                    <w:t>5</w:t>
                  </w:r>
                </w:p>
              </w:tc>
              <w:tc>
                <w:tcPr>
                  <w:tcW w:w="281" w:type="pct"/>
                  <w:vMerge w:val="continue"/>
                  <w:tcBorders>
                    <w:left w:val="single" w:color="auto" w:sz="4" w:space="0"/>
                    <w:right w:val="single" w:color="auto" w:sz="4" w:space="0"/>
                  </w:tcBorders>
                  <w:vAlign w:val="center"/>
                </w:tcPr>
                <w:p w14:paraId="27F47535">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5ECE743F">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0C5359E0">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40.5</w:t>
                  </w:r>
                </w:p>
              </w:tc>
              <w:tc>
                <w:tcPr>
                  <w:tcW w:w="373" w:type="pct"/>
                  <w:vMerge w:val="continue"/>
                  <w:tcBorders>
                    <w:left w:val="single" w:color="auto" w:sz="4" w:space="0"/>
                    <w:right w:val="single" w:color="auto" w:sz="4" w:space="0"/>
                  </w:tcBorders>
                  <w:vAlign w:val="center"/>
                </w:tcPr>
                <w:p w14:paraId="432EF696">
                  <w:pPr>
                    <w:pStyle w:val="41"/>
                    <w:rPr>
                      <w:rFonts w:hint="default" w:ascii="Times New Roman" w:hAnsi="Times New Roman" w:eastAsia="宋体" w:cs="Times New Roman"/>
                      <w:color w:val="auto"/>
                      <w:sz w:val="18"/>
                      <w:szCs w:val="18"/>
                      <w:highlight w:val="none"/>
                      <w:lang w:eastAsia="zh-CN"/>
                    </w:rPr>
                  </w:pPr>
                </w:p>
              </w:tc>
            </w:tr>
            <w:tr w14:paraId="06FF8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0C08351E">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64BFDE6F">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4B974052">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6AA9AB06">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3565DE06">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399C8848">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5CA7FFE3">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7C678FFE">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西：</w:t>
                  </w:r>
                  <w:r>
                    <w:rPr>
                      <w:rFonts w:hint="eastAsia" w:ascii="Times New Roman" w:hAnsi="Times New Roman" w:eastAsia="宋体" w:cs="Times New Roman"/>
                      <w:color w:val="auto"/>
                      <w:sz w:val="18"/>
                      <w:szCs w:val="18"/>
                      <w:highlight w:val="none"/>
                      <w:lang w:val="en-US" w:eastAsia="zh-CN"/>
                    </w:rPr>
                    <w:t>28</w:t>
                  </w:r>
                </w:p>
              </w:tc>
              <w:tc>
                <w:tcPr>
                  <w:tcW w:w="455" w:type="pct"/>
                  <w:tcBorders>
                    <w:top w:val="single" w:color="auto" w:sz="4" w:space="0"/>
                    <w:left w:val="single" w:color="auto" w:sz="4" w:space="0"/>
                    <w:bottom w:val="single" w:color="auto" w:sz="4" w:space="0"/>
                    <w:right w:val="single" w:color="auto" w:sz="4" w:space="0"/>
                  </w:tcBorders>
                  <w:vAlign w:val="center"/>
                </w:tcPr>
                <w:p w14:paraId="209E7550">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56.1</w:t>
                  </w:r>
                </w:p>
              </w:tc>
              <w:tc>
                <w:tcPr>
                  <w:tcW w:w="281" w:type="pct"/>
                  <w:vMerge w:val="continue"/>
                  <w:tcBorders>
                    <w:left w:val="single" w:color="auto" w:sz="4" w:space="0"/>
                    <w:right w:val="single" w:color="auto" w:sz="4" w:space="0"/>
                  </w:tcBorders>
                  <w:vAlign w:val="center"/>
                </w:tcPr>
                <w:p w14:paraId="0F4B870C">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5F5E3EF0">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4AC63549">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41.1</w:t>
                  </w:r>
                </w:p>
              </w:tc>
              <w:tc>
                <w:tcPr>
                  <w:tcW w:w="373" w:type="pct"/>
                  <w:vMerge w:val="continue"/>
                  <w:tcBorders>
                    <w:left w:val="single" w:color="auto" w:sz="4" w:space="0"/>
                    <w:right w:val="single" w:color="auto" w:sz="4" w:space="0"/>
                  </w:tcBorders>
                  <w:vAlign w:val="center"/>
                </w:tcPr>
                <w:p w14:paraId="7C3F0C06">
                  <w:pPr>
                    <w:pStyle w:val="41"/>
                    <w:rPr>
                      <w:rFonts w:hint="default" w:ascii="Times New Roman" w:hAnsi="Times New Roman" w:eastAsia="宋体" w:cs="Times New Roman"/>
                      <w:color w:val="auto"/>
                      <w:sz w:val="18"/>
                      <w:szCs w:val="18"/>
                      <w:highlight w:val="none"/>
                      <w:lang w:eastAsia="zh-CN"/>
                    </w:rPr>
                  </w:pPr>
                </w:p>
              </w:tc>
            </w:tr>
            <w:tr w14:paraId="091E0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16041641">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bottom w:val="single" w:color="auto" w:sz="4" w:space="0"/>
                    <w:right w:val="single" w:color="auto" w:sz="4" w:space="0"/>
                  </w:tcBorders>
                  <w:tcMar>
                    <w:left w:w="57" w:type="dxa"/>
                    <w:right w:w="57" w:type="dxa"/>
                  </w:tcMar>
                  <w:vAlign w:val="center"/>
                </w:tcPr>
                <w:p w14:paraId="09877475">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bottom w:val="single" w:color="auto" w:sz="4" w:space="0"/>
                    <w:right w:val="single" w:color="auto" w:sz="4" w:space="0"/>
                  </w:tcBorders>
                  <w:vAlign w:val="center"/>
                </w:tcPr>
                <w:p w14:paraId="1A4328BF">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788023D9">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bottom w:val="single" w:color="auto" w:sz="4" w:space="0"/>
                    <w:right w:val="single" w:color="auto" w:sz="4" w:space="0"/>
                  </w:tcBorders>
                  <w:vAlign w:val="center"/>
                </w:tcPr>
                <w:p w14:paraId="502A7196">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bottom w:val="single" w:color="auto" w:sz="4" w:space="0"/>
                    <w:right w:val="single" w:color="auto" w:sz="4" w:space="0"/>
                  </w:tcBorders>
                  <w:vAlign w:val="center"/>
                </w:tcPr>
                <w:p w14:paraId="637964F2">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bottom w:val="single" w:color="auto" w:sz="4" w:space="0"/>
                    <w:right w:val="single" w:color="auto" w:sz="4" w:space="0"/>
                  </w:tcBorders>
                  <w:vAlign w:val="center"/>
                </w:tcPr>
                <w:p w14:paraId="73E2DB00">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bottom w:val="single" w:color="auto" w:sz="4" w:space="0"/>
                    <w:right w:val="single" w:color="auto" w:sz="4" w:space="0"/>
                  </w:tcBorders>
                  <w:vAlign w:val="center"/>
                </w:tcPr>
                <w:p w14:paraId="3A0B6945">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北：</w:t>
                  </w:r>
                  <w:r>
                    <w:rPr>
                      <w:rFonts w:hint="eastAsia" w:ascii="Times New Roman" w:hAnsi="Times New Roman" w:eastAsia="宋体" w:cs="Times New Roman"/>
                      <w:color w:val="auto"/>
                      <w:sz w:val="18"/>
                      <w:szCs w:val="18"/>
                      <w:highlight w:val="none"/>
                      <w:lang w:val="en-US" w:eastAsia="zh-CN"/>
                    </w:rPr>
                    <w:t>6</w:t>
                  </w:r>
                </w:p>
              </w:tc>
              <w:tc>
                <w:tcPr>
                  <w:tcW w:w="455" w:type="pct"/>
                  <w:tcBorders>
                    <w:top w:val="single" w:color="auto" w:sz="4" w:space="0"/>
                    <w:left w:val="single" w:color="auto" w:sz="4" w:space="0"/>
                    <w:bottom w:val="single" w:color="auto" w:sz="4" w:space="0"/>
                    <w:right w:val="single" w:color="auto" w:sz="4" w:space="0"/>
                  </w:tcBorders>
                  <w:vAlign w:val="center"/>
                </w:tcPr>
                <w:p w14:paraId="040EADA4">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69.4</w:t>
                  </w:r>
                </w:p>
              </w:tc>
              <w:tc>
                <w:tcPr>
                  <w:tcW w:w="281" w:type="pct"/>
                  <w:vMerge w:val="continue"/>
                  <w:tcBorders>
                    <w:left w:val="single" w:color="auto" w:sz="4" w:space="0"/>
                    <w:bottom w:val="single" w:color="auto" w:sz="4" w:space="0"/>
                    <w:right w:val="single" w:color="auto" w:sz="4" w:space="0"/>
                  </w:tcBorders>
                  <w:vAlign w:val="center"/>
                </w:tcPr>
                <w:p w14:paraId="6CE58519">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bottom w:val="single" w:color="auto" w:sz="4" w:space="0"/>
                    <w:right w:val="single" w:color="auto" w:sz="4" w:space="0"/>
                  </w:tcBorders>
                  <w:vAlign w:val="center"/>
                </w:tcPr>
                <w:p w14:paraId="504C2971">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bottom w:val="single" w:color="auto" w:sz="4" w:space="0"/>
                    <w:right w:val="single" w:color="auto" w:sz="4" w:space="0"/>
                  </w:tcBorders>
                  <w:shd w:val="clear" w:color="auto" w:fill="auto"/>
                  <w:vAlign w:val="center"/>
                </w:tcPr>
                <w:p w14:paraId="4CB3F329">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54.4</w:t>
                  </w:r>
                </w:p>
              </w:tc>
              <w:tc>
                <w:tcPr>
                  <w:tcW w:w="373" w:type="pct"/>
                  <w:vMerge w:val="continue"/>
                  <w:tcBorders>
                    <w:left w:val="single" w:color="auto" w:sz="4" w:space="0"/>
                    <w:bottom w:val="single" w:color="auto" w:sz="4" w:space="0"/>
                    <w:right w:val="single" w:color="auto" w:sz="4" w:space="0"/>
                  </w:tcBorders>
                  <w:vAlign w:val="center"/>
                </w:tcPr>
                <w:p w14:paraId="100A66F6">
                  <w:pPr>
                    <w:pStyle w:val="41"/>
                    <w:rPr>
                      <w:rFonts w:hint="default" w:ascii="Times New Roman" w:hAnsi="Times New Roman" w:eastAsia="宋体" w:cs="Times New Roman"/>
                      <w:color w:val="auto"/>
                      <w:sz w:val="18"/>
                      <w:szCs w:val="18"/>
                      <w:highlight w:val="none"/>
                      <w:lang w:eastAsia="zh-CN"/>
                    </w:rPr>
                  </w:pPr>
                </w:p>
              </w:tc>
            </w:tr>
            <w:tr w14:paraId="5A42A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4C6A890E">
                  <w:pPr>
                    <w:pStyle w:val="41"/>
                    <w:rPr>
                      <w:rFonts w:hint="default" w:ascii="Times New Roman" w:hAnsi="Times New Roman" w:eastAsia="宋体" w:cs="Times New Roman"/>
                      <w:color w:val="auto"/>
                      <w:sz w:val="18"/>
                      <w:szCs w:val="18"/>
                      <w:highlight w:val="none"/>
                      <w:lang w:eastAsia="zh-CN"/>
                    </w:rPr>
                  </w:pPr>
                </w:p>
              </w:tc>
              <w:tc>
                <w:tcPr>
                  <w:tcW w:w="376" w:type="pct"/>
                  <w:vMerge w:val="restart"/>
                  <w:tcBorders>
                    <w:top w:val="single" w:color="auto" w:sz="4" w:space="0"/>
                    <w:left w:val="single" w:color="auto" w:sz="4" w:space="0"/>
                    <w:right w:val="single" w:color="auto" w:sz="4" w:space="0"/>
                  </w:tcBorders>
                  <w:tcMar>
                    <w:left w:w="57" w:type="dxa"/>
                    <w:right w:w="57" w:type="dxa"/>
                  </w:tcMar>
                  <w:vAlign w:val="center"/>
                </w:tcPr>
                <w:p w14:paraId="707A67DD">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封边机</w:t>
                  </w:r>
                </w:p>
              </w:tc>
              <w:tc>
                <w:tcPr>
                  <w:tcW w:w="439" w:type="pct"/>
                  <w:vMerge w:val="restart"/>
                  <w:tcBorders>
                    <w:top w:val="single" w:color="auto" w:sz="4" w:space="0"/>
                    <w:left w:val="single" w:color="auto" w:sz="4" w:space="0"/>
                    <w:right w:val="single" w:color="auto" w:sz="4" w:space="0"/>
                  </w:tcBorders>
                  <w:vAlign w:val="center"/>
                </w:tcPr>
                <w:p w14:paraId="02919F31">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80</w:t>
                  </w:r>
                </w:p>
              </w:tc>
              <w:tc>
                <w:tcPr>
                  <w:tcW w:w="335" w:type="pct"/>
                  <w:vMerge w:val="continue"/>
                  <w:tcBorders>
                    <w:left w:val="single" w:color="auto" w:sz="4" w:space="0"/>
                    <w:right w:val="single" w:color="auto" w:sz="4" w:space="0"/>
                  </w:tcBorders>
                  <w:vAlign w:val="center"/>
                </w:tcPr>
                <w:p w14:paraId="2120CC05">
                  <w:pPr>
                    <w:pStyle w:val="41"/>
                    <w:rPr>
                      <w:rFonts w:hint="default" w:ascii="Times New Roman" w:hAnsi="Times New Roman" w:eastAsia="宋体" w:cs="Times New Roman"/>
                      <w:color w:val="auto"/>
                      <w:sz w:val="18"/>
                      <w:szCs w:val="18"/>
                      <w:highlight w:val="none"/>
                      <w:lang w:val="zh-CN" w:eastAsia="zh-CN"/>
                    </w:rPr>
                  </w:pPr>
                </w:p>
              </w:tc>
              <w:tc>
                <w:tcPr>
                  <w:tcW w:w="348" w:type="pct"/>
                  <w:vMerge w:val="restart"/>
                  <w:tcBorders>
                    <w:top w:val="single" w:color="auto" w:sz="4" w:space="0"/>
                    <w:left w:val="single" w:color="auto" w:sz="4" w:space="0"/>
                    <w:right w:val="single" w:color="auto" w:sz="4" w:space="0"/>
                  </w:tcBorders>
                  <w:vAlign w:val="center"/>
                </w:tcPr>
                <w:p w14:paraId="0128F8EC">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36</w:t>
                  </w:r>
                </w:p>
              </w:tc>
              <w:tc>
                <w:tcPr>
                  <w:tcW w:w="359" w:type="pct"/>
                  <w:vMerge w:val="restart"/>
                  <w:tcBorders>
                    <w:top w:val="single" w:color="auto" w:sz="4" w:space="0"/>
                    <w:left w:val="single" w:color="auto" w:sz="4" w:space="0"/>
                    <w:right w:val="single" w:color="auto" w:sz="4" w:space="0"/>
                  </w:tcBorders>
                  <w:vAlign w:val="center"/>
                </w:tcPr>
                <w:p w14:paraId="0C4C0C42">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70</w:t>
                  </w:r>
                </w:p>
              </w:tc>
              <w:tc>
                <w:tcPr>
                  <w:tcW w:w="329" w:type="pct"/>
                  <w:vMerge w:val="restart"/>
                  <w:tcBorders>
                    <w:top w:val="single" w:color="auto" w:sz="4" w:space="0"/>
                    <w:left w:val="single" w:color="auto" w:sz="4" w:space="0"/>
                    <w:right w:val="single" w:color="auto" w:sz="4" w:space="0"/>
                  </w:tcBorders>
                  <w:vAlign w:val="center"/>
                </w:tcPr>
                <w:p w14:paraId="43FED4EC">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1.2</w:t>
                  </w:r>
                </w:p>
              </w:tc>
              <w:tc>
                <w:tcPr>
                  <w:tcW w:w="524" w:type="pct"/>
                  <w:tcBorders>
                    <w:top w:val="single" w:color="auto" w:sz="4" w:space="0"/>
                    <w:left w:val="single" w:color="auto" w:sz="4" w:space="0"/>
                    <w:right w:val="single" w:color="auto" w:sz="4" w:space="0"/>
                  </w:tcBorders>
                  <w:vAlign w:val="center"/>
                </w:tcPr>
                <w:p w14:paraId="01880E97">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东：</w:t>
                  </w:r>
                  <w:r>
                    <w:rPr>
                      <w:rFonts w:hint="eastAsia" w:ascii="Times New Roman" w:hAnsi="Times New Roman" w:eastAsia="宋体" w:cs="Times New Roman"/>
                      <w:color w:val="auto"/>
                      <w:sz w:val="18"/>
                      <w:szCs w:val="18"/>
                      <w:highlight w:val="none"/>
                      <w:lang w:val="en-US" w:eastAsia="zh-CN"/>
                    </w:rPr>
                    <w:t>10</w:t>
                  </w:r>
                </w:p>
              </w:tc>
              <w:tc>
                <w:tcPr>
                  <w:tcW w:w="455" w:type="pct"/>
                  <w:tcBorders>
                    <w:top w:val="single" w:color="auto" w:sz="4" w:space="0"/>
                    <w:left w:val="single" w:color="auto" w:sz="4" w:space="0"/>
                    <w:bottom w:val="single" w:color="auto" w:sz="4" w:space="0"/>
                    <w:right w:val="single" w:color="auto" w:sz="4" w:space="0"/>
                  </w:tcBorders>
                  <w:vAlign w:val="center"/>
                </w:tcPr>
                <w:p w14:paraId="44EA1E9D">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60</w:t>
                  </w:r>
                </w:p>
              </w:tc>
              <w:tc>
                <w:tcPr>
                  <w:tcW w:w="281" w:type="pct"/>
                  <w:vMerge w:val="restart"/>
                  <w:tcBorders>
                    <w:top w:val="single" w:color="auto" w:sz="4" w:space="0"/>
                    <w:left w:val="single" w:color="auto" w:sz="4" w:space="0"/>
                    <w:right w:val="single" w:color="auto" w:sz="4" w:space="0"/>
                  </w:tcBorders>
                  <w:vAlign w:val="center"/>
                </w:tcPr>
                <w:p w14:paraId="7C026095">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val="en-US" w:eastAsia="zh-CN"/>
                    </w:rPr>
                    <w:t>8</w:t>
                  </w:r>
                  <w:r>
                    <w:rPr>
                      <w:rFonts w:hint="default" w:ascii="Times New Roman" w:hAnsi="Times New Roman" w:eastAsia="宋体" w:cs="Times New Roman"/>
                      <w:color w:val="auto"/>
                      <w:sz w:val="18"/>
                      <w:szCs w:val="18"/>
                      <w:highlight w:val="none"/>
                      <w:lang w:eastAsia="zh-CN"/>
                    </w:rPr>
                    <w:t>h</w:t>
                  </w:r>
                </w:p>
              </w:tc>
              <w:tc>
                <w:tcPr>
                  <w:tcW w:w="422" w:type="pct"/>
                  <w:vMerge w:val="restart"/>
                  <w:tcBorders>
                    <w:top w:val="single" w:color="auto" w:sz="4" w:space="0"/>
                    <w:left w:val="single" w:color="auto" w:sz="4" w:space="0"/>
                    <w:right w:val="single" w:color="auto" w:sz="4" w:space="0"/>
                  </w:tcBorders>
                  <w:vAlign w:val="center"/>
                </w:tcPr>
                <w:p w14:paraId="35869EB0">
                  <w:pPr>
                    <w:pStyle w:val="41"/>
                    <w:rPr>
                      <w:rFonts w:hint="default" w:ascii="Times New Roman" w:hAnsi="Times New Roman" w:eastAsia="宋体" w:cs="Times New Roman"/>
                      <w:color w:val="FF0000"/>
                      <w:sz w:val="18"/>
                      <w:szCs w:val="18"/>
                      <w:highlight w:val="none"/>
                      <w:lang w:eastAsia="zh-CN"/>
                    </w:rPr>
                  </w:pPr>
                  <w:r>
                    <w:rPr>
                      <w:rFonts w:hint="eastAsia" w:ascii="Times New Roman" w:hAnsi="Times New Roman" w:cs="Times New Roman"/>
                      <w:color w:val="FF0000"/>
                      <w:sz w:val="18"/>
                      <w:szCs w:val="18"/>
                      <w:highlight w:val="none"/>
                      <w:lang w:val="en-US" w:eastAsia="zh-CN"/>
                    </w:rPr>
                    <w:t>15</w:t>
                  </w:r>
                </w:p>
              </w:tc>
              <w:tc>
                <w:tcPr>
                  <w:tcW w:w="453" w:type="pct"/>
                  <w:tcBorders>
                    <w:top w:val="single" w:color="auto" w:sz="4" w:space="0"/>
                    <w:left w:val="single" w:color="auto" w:sz="4" w:space="0"/>
                    <w:right w:val="single" w:color="auto" w:sz="4" w:space="0"/>
                  </w:tcBorders>
                  <w:shd w:val="clear" w:color="auto" w:fill="auto"/>
                  <w:vAlign w:val="center"/>
                </w:tcPr>
                <w:p w14:paraId="0DFBB8C4">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45</w:t>
                  </w:r>
                </w:p>
              </w:tc>
              <w:tc>
                <w:tcPr>
                  <w:tcW w:w="373" w:type="pct"/>
                  <w:vMerge w:val="restart"/>
                  <w:tcBorders>
                    <w:top w:val="single" w:color="auto" w:sz="4" w:space="0"/>
                    <w:left w:val="single" w:color="auto" w:sz="4" w:space="0"/>
                    <w:right w:val="single" w:color="auto" w:sz="4" w:space="0"/>
                  </w:tcBorders>
                  <w:vAlign w:val="center"/>
                </w:tcPr>
                <w:p w14:paraId="45D3D39C">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1</w:t>
                  </w:r>
                </w:p>
              </w:tc>
            </w:tr>
            <w:tr w14:paraId="3A174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7CAE9C48">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132C6790">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17CB1A3E">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564BA7E5">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144CA8A2">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4A64F0EB">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680843F3">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30B2C9AB">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南：</w:t>
                  </w:r>
                  <w:r>
                    <w:rPr>
                      <w:rFonts w:hint="eastAsia" w:ascii="Times New Roman" w:hAnsi="Times New Roman" w:eastAsia="宋体" w:cs="Times New Roman"/>
                      <w:color w:val="auto"/>
                      <w:sz w:val="18"/>
                      <w:szCs w:val="18"/>
                      <w:highlight w:val="none"/>
                      <w:lang w:val="en-US" w:eastAsia="zh-CN"/>
                    </w:rPr>
                    <w:t>30</w:t>
                  </w:r>
                </w:p>
              </w:tc>
              <w:tc>
                <w:tcPr>
                  <w:tcW w:w="455" w:type="pct"/>
                  <w:tcBorders>
                    <w:top w:val="single" w:color="auto" w:sz="4" w:space="0"/>
                    <w:left w:val="single" w:color="auto" w:sz="4" w:space="0"/>
                    <w:bottom w:val="single" w:color="auto" w:sz="4" w:space="0"/>
                    <w:right w:val="single" w:color="auto" w:sz="4" w:space="0"/>
                  </w:tcBorders>
                  <w:vAlign w:val="center"/>
                </w:tcPr>
                <w:p w14:paraId="061EBDF0">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50.5</w:t>
                  </w:r>
                </w:p>
              </w:tc>
              <w:tc>
                <w:tcPr>
                  <w:tcW w:w="281" w:type="pct"/>
                  <w:vMerge w:val="continue"/>
                  <w:tcBorders>
                    <w:left w:val="single" w:color="auto" w:sz="4" w:space="0"/>
                    <w:right w:val="single" w:color="auto" w:sz="4" w:space="0"/>
                  </w:tcBorders>
                  <w:vAlign w:val="center"/>
                </w:tcPr>
                <w:p w14:paraId="7FE3CC25">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2EEEC830">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5B0B89AF">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35.5</w:t>
                  </w:r>
                </w:p>
              </w:tc>
              <w:tc>
                <w:tcPr>
                  <w:tcW w:w="373" w:type="pct"/>
                  <w:vMerge w:val="continue"/>
                  <w:tcBorders>
                    <w:left w:val="single" w:color="auto" w:sz="4" w:space="0"/>
                    <w:right w:val="single" w:color="auto" w:sz="4" w:space="0"/>
                  </w:tcBorders>
                  <w:vAlign w:val="center"/>
                </w:tcPr>
                <w:p w14:paraId="172FB42E">
                  <w:pPr>
                    <w:pStyle w:val="41"/>
                    <w:rPr>
                      <w:rFonts w:hint="default" w:ascii="Times New Roman" w:hAnsi="Times New Roman" w:eastAsia="宋体" w:cs="Times New Roman"/>
                      <w:color w:val="auto"/>
                      <w:sz w:val="18"/>
                      <w:szCs w:val="18"/>
                      <w:highlight w:val="none"/>
                      <w:lang w:eastAsia="zh-CN"/>
                    </w:rPr>
                  </w:pPr>
                </w:p>
              </w:tc>
            </w:tr>
            <w:tr w14:paraId="426DC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5E430C16">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6F4AB716">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2B512324">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5B569900">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5C4E652E">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076D442D">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32259111">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7DBF4232">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西：</w:t>
                  </w:r>
                  <w:r>
                    <w:rPr>
                      <w:rFonts w:hint="eastAsia" w:ascii="Times New Roman" w:hAnsi="Times New Roman" w:eastAsia="宋体" w:cs="Times New Roman"/>
                      <w:color w:val="auto"/>
                      <w:sz w:val="18"/>
                      <w:szCs w:val="18"/>
                      <w:highlight w:val="none"/>
                      <w:lang w:val="en-US" w:eastAsia="zh-CN"/>
                    </w:rPr>
                    <w:t>30</w:t>
                  </w:r>
                </w:p>
              </w:tc>
              <w:tc>
                <w:tcPr>
                  <w:tcW w:w="455" w:type="pct"/>
                  <w:tcBorders>
                    <w:top w:val="single" w:color="auto" w:sz="4" w:space="0"/>
                    <w:left w:val="single" w:color="auto" w:sz="4" w:space="0"/>
                    <w:bottom w:val="single" w:color="auto" w:sz="4" w:space="0"/>
                    <w:right w:val="single" w:color="auto" w:sz="4" w:space="0"/>
                  </w:tcBorders>
                  <w:vAlign w:val="center"/>
                </w:tcPr>
                <w:p w14:paraId="1DF9ABF6">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50.5</w:t>
                  </w:r>
                </w:p>
              </w:tc>
              <w:tc>
                <w:tcPr>
                  <w:tcW w:w="281" w:type="pct"/>
                  <w:vMerge w:val="continue"/>
                  <w:tcBorders>
                    <w:left w:val="single" w:color="auto" w:sz="4" w:space="0"/>
                    <w:right w:val="single" w:color="auto" w:sz="4" w:space="0"/>
                  </w:tcBorders>
                  <w:vAlign w:val="center"/>
                </w:tcPr>
                <w:p w14:paraId="5AB09698">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4BF8B43F">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017C533C">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35.5</w:t>
                  </w:r>
                </w:p>
              </w:tc>
              <w:tc>
                <w:tcPr>
                  <w:tcW w:w="373" w:type="pct"/>
                  <w:vMerge w:val="continue"/>
                  <w:tcBorders>
                    <w:left w:val="single" w:color="auto" w:sz="4" w:space="0"/>
                    <w:right w:val="single" w:color="auto" w:sz="4" w:space="0"/>
                  </w:tcBorders>
                  <w:vAlign w:val="center"/>
                </w:tcPr>
                <w:p w14:paraId="60C89EC9">
                  <w:pPr>
                    <w:pStyle w:val="41"/>
                    <w:rPr>
                      <w:rFonts w:hint="default" w:ascii="Times New Roman" w:hAnsi="Times New Roman" w:eastAsia="宋体" w:cs="Times New Roman"/>
                      <w:color w:val="auto"/>
                      <w:sz w:val="18"/>
                      <w:szCs w:val="18"/>
                      <w:highlight w:val="none"/>
                      <w:lang w:eastAsia="zh-CN"/>
                    </w:rPr>
                  </w:pPr>
                </w:p>
              </w:tc>
            </w:tr>
            <w:tr w14:paraId="319FE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4F04AB14">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bottom w:val="single" w:color="auto" w:sz="4" w:space="0"/>
                    <w:right w:val="single" w:color="auto" w:sz="4" w:space="0"/>
                  </w:tcBorders>
                  <w:tcMar>
                    <w:left w:w="57" w:type="dxa"/>
                    <w:right w:w="57" w:type="dxa"/>
                  </w:tcMar>
                  <w:vAlign w:val="center"/>
                </w:tcPr>
                <w:p w14:paraId="50DC50F1">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bottom w:val="single" w:color="auto" w:sz="4" w:space="0"/>
                    <w:right w:val="single" w:color="auto" w:sz="4" w:space="0"/>
                  </w:tcBorders>
                  <w:vAlign w:val="center"/>
                </w:tcPr>
                <w:p w14:paraId="10B8AB9C">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2AD42DAD">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bottom w:val="single" w:color="auto" w:sz="4" w:space="0"/>
                    <w:right w:val="single" w:color="auto" w:sz="4" w:space="0"/>
                  </w:tcBorders>
                  <w:vAlign w:val="center"/>
                </w:tcPr>
                <w:p w14:paraId="3797B4D8">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bottom w:val="single" w:color="auto" w:sz="4" w:space="0"/>
                    <w:right w:val="single" w:color="auto" w:sz="4" w:space="0"/>
                  </w:tcBorders>
                  <w:vAlign w:val="center"/>
                </w:tcPr>
                <w:p w14:paraId="500A28A8">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bottom w:val="single" w:color="auto" w:sz="4" w:space="0"/>
                    <w:right w:val="single" w:color="auto" w:sz="4" w:space="0"/>
                  </w:tcBorders>
                  <w:vAlign w:val="center"/>
                </w:tcPr>
                <w:p w14:paraId="762FEB89">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bottom w:val="single" w:color="auto" w:sz="4" w:space="0"/>
                    <w:right w:val="single" w:color="auto" w:sz="4" w:space="0"/>
                  </w:tcBorders>
                  <w:vAlign w:val="center"/>
                </w:tcPr>
                <w:p w14:paraId="24118642">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北：</w:t>
                  </w:r>
                  <w:r>
                    <w:rPr>
                      <w:rFonts w:hint="eastAsia" w:ascii="Times New Roman" w:hAnsi="Times New Roman" w:eastAsia="宋体" w:cs="Times New Roman"/>
                      <w:color w:val="auto"/>
                      <w:sz w:val="18"/>
                      <w:szCs w:val="18"/>
                      <w:highlight w:val="none"/>
                      <w:lang w:val="en-US" w:eastAsia="zh-CN"/>
                    </w:rPr>
                    <w:t>6</w:t>
                  </w:r>
                </w:p>
              </w:tc>
              <w:tc>
                <w:tcPr>
                  <w:tcW w:w="455" w:type="pct"/>
                  <w:tcBorders>
                    <w:top w:val="single" w:color="auto" w:sz="4" w:space="0"/>
                    <w:left w:val="single" w:color="auto" w:sz="4" w:space="0"/>
                    <w:bottom w:val="single" w:color="auto" w:sz="4" w:space="0"/>
                    <w:right w:val="single" w:color="auto" w:sz="4" w:space="0"/>
                  </w:tcBorders>
                  <w:vAlign w:val="center"/>
                </w:tcPr>
                <w:p w14:paraId="31FE799A">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64.4</w:t>
                  </w:r>
                </w:p>
              </w:tc>
              <w:tc>
                <w:tcPr>
                  <w:tcW w:w="281" w:type="pct"/>
                  <w:vMerge w:val="continue"/>
                  <w:tcBorders>
                    <w:left w:val="single" w:color="auto" w:sz="4" w:space="0"/>
                    <w:bottom w:val="single" w:color="auto" w:sz="4" w:space="0"/>
                    <w:right w:val="single" w:color="auto" w:sz="4" w:space="0"/>
                  </w:tcBorders>
                  <w:vAlign w:val="center"/>
                </w:tcPr>
                <w:p w14:paraId="1EF96029">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bottom w:val="single" w:color="auto" w:sz="4" w:space="0"/>
                    <w:right w:val="single" w:color="auto" w:sz="4" w:space="0"/>
                  </w:tcBorders>
                  <w:vAlign w:val="center"/>
                </w:tcPr>
                <w:p w14:paraId="6E8E6C8F">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bottom w:val="single" w:color="auto" w:sz="4" w:space="0"/>
                    <w:right w:val="single" w:color="auto" w:sz="4" w:space="0"/>
                  </w:tcBorders>
                  <w:shd w:val="clear" w:color="auto" w:fill="auto"/>
                  <w:vAlign w:val="center"/>
                </w:tcPr>
                <w:p w14:paraId="013D9018">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49.4</w:t>
                  </w:r>
                </w:p>
              </w:tc>
              <w:tc>
                <w:tcPr>
                  <w:tcW w:w="373" w:type="pct"/>
                  <w:vMerge w:val="continue"/>
                  <w:tcBorders>
                    <w:left w:val="single" w:color="auto" w:sz="4" w:space="0"/>
                    <w:bottom w:val="single" w:color="auto" w:sz="4" w:space="0"/>
                    <w:right w:val="single" w:color="auto" w:sz="4" w:space="0"/>
                  </w:tcBorders>
                  <w:vAlign w:val="center"/>
                </w:tcPr>
                <w:p w14:paraId="78288891">
                  <w:pPr>
                    <w:pStyle w:val="41"/>
                    <w:rPr>
                      <w:rFonts w:hint="default" w:ascii="Times New Roman" w:hAnsi="Times New Roman" w:eastAsia="宋体" w:cs="Times New Roman"/>
                      <w:color w:val="auto"/>
                      <w:sz w:val="18"/>
                      <w:szCs w:val="18"/>
                      <w:highlight w:val="none"/>
                      <w:lang w:eastAsia="zh-CN"/>
                    </w:rPr>
                  </w:pPr>
                </w:p>
              </w:tc>
            </w:tr>
            <w:tr w14:paraId="3189A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2E988122">
                  <w:pPr>
                    <w:pStyle w:val="41"/>
                    <w:rPr>
                      <w:rFonts w:hint="default" w:ascii="Times New Roman" w:hAnsi="Times New Roman" w:eastAsia="宋体" w:cs="Times New Roman"/>
                      <w:color w:val="auto"/>
                      <w:sz w:val="18"/>
                      <w:szCs w:val="18"/>
                      <w:highlight w:val="none"/>
                      <w:lang w:eastAsia="zh-CN"/>
                    </w:rPr>
                  </w:pPr>
                </w:p>
              </w:tc>
              <w:tc>
                <w:tcPr>
                  <w:tcW w:w="376" w:type="pct"/>
                  <w:vMerge w:val="restart"/>
                  <w:tcBorders>
                    <w:top w:val="single" w:color="auto" w:sz="4" w:space="0"/>
                    <w:left w:val="single" w:color="auto" w:sz="4" w:space="0"/>
                    <w:right w:val="single" w:color="auto" w:sz="4" w:space="0"/>
                  </w:tcBorders>
                  <w:tcMar>
                    <w:left w:w="57" w:type="dxa"/>
                    <w:right w:w="57" w:type="dxa"/>
                  </w:tcMar>
                  <w:vAlign w:val="center"/>
                </w:tcPr>
                <w:p w14:paraId="347B21B6">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二氧化碳保护焊机</w:t>
                  </w:r>
                </w:p>
              </w:tc>
              <w:tc>
                <w:tcPr>
                  <w:tcW w:w="439" w:type="pct"/>
                  <w:vMerge w:val="restart"/>
                  <w:tcBorders>
                    <w:top w:val="single" w:color="auto" w:sz="4" w:space="0"/>
                    <w:left w:val="single" w:color="auto" w:sz="4" w:space="0"/>
                    <w:right w:val="single" w:color="auto" w:sz="4" w:space="0"/>
                  </w:tcBorders>
                  <w:vAlign w:val="center"/>
                </w:tcPr>
                <w:p w14:paraId="4147B026">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70（73）</w:t>
                  </w:r>
                </w:p>
              </w:tc>
              <w:tc>
                <w:tcPr>
                  <w:tcW w:w="335" w:type="pct"/>
                  <w:vMerge w:val="continue"/>
                  <w:tcBorders>
                    <w:left w:val="single" w:color="auto" w:sz="4" w:space="0"/>
                    <w:right w:val="single" w:color="auto" w:sz="4" w:space="0"/>
                  </w:tcBorders>
                  <w:vAlign w:val="center"/>
                </w:tcPr>
                <w:p w14:paraId="63AA583D">
                  <w:pPr>
                    <w:pStyle w:val="41"/>
                    <w:rPr>
                      <w:rFonts w:hint="default" w:ascii="Times New Roman" w:hAnsi="Times New Roman" w:eastAsia="宋体" w:cs="Times New Roman"/>
                      <w:color w:val="auto"/>
                      <w:sz w:val="18"/>
                      <w:szCs w:val="18"/>
                      <w:highlight w:val="none"/>
                      <w:lang w:val="zh-CN" w:eastAsia="zh-CN"/>
                    </w:rPr>
                  </w:pPr>
                </w:p>
              </w:tc>
              <w:tc>
                <w:tcPr>
                  <w:tcW w:w="348" w:type="pct"/>
                  <w:vMerge w:val="restart"/>
                  <w:tcBorders>
                    <w:top w:val="single" w:color="auto" w:sz="4" w:space="0"/>
                    <w:left w:val="single" w:color="auto" w:sz="4" w:space="0"/>
                    <w:right w:val="single" w:color="auto" w:sz="4" w:space="0"/>
                  </w:tcBorders>
                  <w:vAlign w:val="center"/>
                </w:tcPr>
                <w:p w14:paraId="6F64C92C">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val="en-US" w:eastAsia="zh-CN"/>
                    </w:rPr>
                    <w:t>9</w:t>
                  </w:r>
                </w:p>
              </w:tc>
              <w:tc>
                <w:tcPr>
                  <w:tcW w:w="359" w:type="pct"/>
                  <w:vMerge w:val="restart"/>
                  <w:tcBorders>
                    <w:top w:val="single" w:color="auto" w:sz="4" w:space="0"/>
                    <w:left w:val="single" w:color="auto" w:sz="4" w:space="0"/>
                    <w:right w:val="single" w:color="auto" w:sz="4" w:space="0"/>
                  </w:tcBorders>
                  <w:vAlign w:val="center"/>
                </w:tcPr>
                <w:p w14:paraId="5B12E545">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43</w:t>
                  </w:r>
                </w:p>
              </w:tc>
              <w:tc>
                <w:tcPr>
                  <w:tcW w:w="329" w:type="pct"/>
                  <w:vMerge w:val="restart"/>
                  <w:tcBorders>
                    <w:top w:val="single" w:color="auto" w:sz="4" w:space="0"/>
                    <w:left w:val="single" w:color="auto" w:sz="4" w:space="0"/>
                    <w:right w:val="single" w:color="auto" w:sz="4" w:space="0"/>
                  </w:tcBorders>
                  <w:vAlign w:val="center"/>
                </w:tcPr>
                <w:p w14:paraId="05B415C2">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1.0</w:t>
                  </w:r>
                </w:p>
              </w:tc>
              <w:tc>
                <w:tcPr>
                  <w:tcW w:w="524" w:type="pct"/>
                  <w:tcBorders>
                    <w:top w:val="single" w:color="auto" w:sz="4" w:space="0"/>
                    <w:left w:val="single" w:color="auto" w:sz="4" w:space="0"/>
                    <w:right w:val="single" w:color="auto" w:sz="4" w:space="0"/>
                  </w:tcBorders>
                  <w:vAlign w:val="center"/>
                </w:tcPr>
                <w:p w14:paraId="4989578A">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东：</w:t>
                  </w:r>
                  <w:r>
                    <w:rPr>
                      <w:rFonts w:hint="eastAsia" w:ascii="Times New Roman" w:hAnsi="Times New Roman" w:eastAsia="宋体" w:cs="Times New Roman"/>
                      <w:color w:val="auto"/>
                      <w:sz w:val="18"/>
                      <w:szCs w:val="18"/>
                      <w:highlight w:val="none"/>
                      <w:lang w:val="en-US" w:eastAsia="zh-CN"/>
                    </w:rPr>
                    <w:t>37</w:t>
                  </w:r>
                </w:p>
              </w:tc>
              <w:tc>
                <w:tcPr>
                  <w:tcW w:w="455" w:type="pct"/>
                  <w:tcBorders>
                    <w:top w:val="single" w:color="auto" w:sz="4" w:space="0"/>
                    <w:left w:val="single" w:color="auto" w:sz="4" w:space="0"/>
                    <w:bottom w:val="single" w:color="auto" w:sz="4" w:space="0"/>
                    <w:right w:val="single" w:color="auto" w:sz="4" w:space="0"/>
                  </w:tcBorders>
                  <w:vAlign w:val="center"/>
                </w:tcPr>
                <w:p w14:paraId="11DB1ADB">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41.6</w:t>
                  </w:r>
                </w:p>
              </w:tc>
              <w:tc>
                <w:tcPr>
                  <w:tcW w:w="281" w:type="pct"/>
                  <w:vMerge w:val="restart"/>
                  <w:tcBorders>
                    <w:top w:val="single" w:color="auto" w:sz="4" w:space="0"/>
                    <w:left w:val="single" w:color="auto" w:sz="4" w:space="0"/>
                    <w:right w:val="single" w:color="auto" w:sz="4" w:space="0"/>
                  </w:tcBorders>
                  <w:vAlign w:val="center"/>
                </w:tcPr>
                <w:p w14:paraId="3248C99A">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val="en-US" w:eastAsia="zh-CN"/>
                    </w:rPr>
                    <w:t>8</w:t>
                  </w:r>
                  <w:r>
                    <w:rPr>
                      <w:rFonts w:hint="default" w:ascii="Times New Roman" w:hAnsi="Times New Roman" w:eastAsia="宋体" w:cs="Times New Roman"/>
                      <w:color w:val="auto"/>
                      <w:sz w:val="18"/>
                      <w:szCs w:val="18"/>
                      <w:highlight w:val="none"/>
                      <w:lang w:eastAsia="zh-CN"/>
                    </w:rPr>
                    <w:t>h</w:t>
                  </w:r>
                </w:p>
              </w:tc>
              <w:tc>
                <w:tcPr>
                  <w:tcW w:w="422" w:type="pct"/>
                  <w:vMerge w:val="restart"/>
                  <w:tcBorders>
                    <w:top w:val="single" w:color="auto" w:sz="4" w:space="0"/>
                    <w:left w:val="single" w:color="auto" w:sz="4" w:space="0"/>
                    <w:right w:val="single" w:color="auto" w:sz="4" w:space="0"/>
                  </w:tcBorders>
                  <w:vAlign w:val="center"/>
                </w:tcPr>
                <w:p w14:paraId="57495E77">
                  <w:pPr>
                    <w:pStyle w:val="41"/>
                    <w:rPr>
                      <w:rFonts w:hint="default" w:ascii="Times New Roman" w:hAnsi="Times New Roman" w:eastAsia="宋体" w:cs="Times New Roman"/>
                      <w:color w:val="FF0000"/>
                      <w:sz w:val="18"/>
                      <w:szCs w:val="18"/>
                      <w:highlight w:val="none"/>
                      <w:lang w:eastAsia="zh-CN"/>
                    </w:rPr>
                  </w:pPr>
                  <w:r>
                    <w:rPr>
                      <w:rFonts w:hint="eastAsia" w:ascii="Times New Roman" w:hAnsi="Times New Roman" w:cs="Times New Roman"/>
                      <w:color w:val="FF0000"/>
                      <w:sz w:val="18"/>
                      <w:szCs w:val="18"/>
                      <w:highlight w:val="none"/>
                      <w:lang w:val="en-US" w:eastAsia="zh-CN"/>
                    </w:rPr>
                    <w:t>15</w:t>
                  </w:r>
                </w:p>
              </w:tc>
              <w:tc>
                <w:tcPr>
                  <w:tcW w:w="453" w:type="pct"/>
                  <w:tcBorders>
                    <w:top w:val="single" w:color="auto" w:sz="4" w:space="0"/>
                    <w:left w:val="single" w:color="auto" w:sz="4" w:space="0"/>
                    <w:right w:val="single" w:color="auto" w:sz="4" w:space="0"/>
                  </w:tcBorders>
                  <w:shd w:val="clear" w:color="auto" w:fill="auto"/>
                  <w:vAlign w:val="center"/>
                </w:tcPr>
                <w:p w14:paraId="06D07D2C">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26.6</w:t>
                  </w:r>
                </w:p>
              </w:tc>
              <w:tc>
                <w:tcPr>
                  <w:tcW w:w="373" w:type="pct"/>
                  <w:vMerge w:val="restart"/>
                  <w:tcBorders>
                    <w:top w:val="single" w:color="auto" w:sz="4" w:space="0"/>
                    <w:left w:val="single" w:color="auto" w:sz="4" w:space="0"/>
                    <w:right w:val="single" w:color="auto" w:sz="4" w:space="0"/>
                  </w:tcBorders>
                  <w:vAlign w:val="center"/>
                </w:tcPr>
                <w:p w14:paraId="0A971404">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1</w:t>
                  </w:r>
                </w:p>
              </w:tc>
            </w:tr>
            <w:tr w14:paraId="5058D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4924ECF0">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30EF7E85">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328EB879">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3757E3E5">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05BEB15D">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77774218">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0507D461">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570A7405">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南：</w:t>
                  </w:r>
                  <w:r>
                    <w:rPr>
                      <w:rFonts w:hint="eastAsia" w:ascii="Times New Roman" w:hAnsi="Times New Roman" w:eastAsia="宋体" w:cs="Times New Roman"/>
                      <w:color w:val="auto"/>
                      <w:sz w:val="18"/>
                      <w:szCs w:val="18"/>
                      <w:highlight w:val="none"/>
                      <w:lang w:val="en-US" w:eastAsia="zh-CN"/>
                    </w:rPr>
                    <w:t>3</w:t>
                  </w:r>
                </w:p>
              </w:tc>
              <w:tc>
                <w:tcPr>
                  <w:tcW w:w="455" w:type="pct"/>
                  <w:tcBorders>
                    <w:top w:val="single" w:color="auto" w:sz="4" w:space="0"/>
                    <w:left w:val="single" w:color="auto" w:sz="4" w:space="0"/>
                    <w:bottom w:val="single" w:color="auto" w:sz="4" w:space="0"/>
                    <w:right w:val="single" w:color="auto" w:sz="4" w:space="0"/>
                  </w:tcBorders>
                  <w:vAlign w:val="center"/>
                </w:tcPr>
                <w:p w14:paraId="195FC0DE">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63.4</w:t>
                  </w:r>
                </w:p>
              </w:tc>
              <w:tc>
                <w:tcPr>
                  <w:tcW w:w="281" w:type="pct"/>
                  <w:vMerge w:val="continue"/>
                  <w:tcBorders>
                    <w:left w:val="single" w:color="auto" w:sz="4" w:space="0"/>
                    <w:right w:val="single" w:color="auto" w:sz="4" w:space="0"/>
                  </w:tcBorders>
                  <w:vAlign w:val="center"/>
                </w:tcPr>
                <w:p w14:paraId="6C3D855A">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3DBD6349">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2345B154">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48.4</w:t>
                  </w:r>
                </w:p>
              </w:tc>
              <w:tc>
                <w:tcPr>
                  <w:tcW w:w="373" w:type="pct"/>
                  <w:vMerge w:val="continue"/>
                  <w:tcBorders>
                    <w:left w:val="single" w:color="auto" w:sz="4" w:space="0"/>
                    <w:right w:val="single" w:color="auto" w:sz="4" w:space="0"/>
                  </w:tcBorders>
                  <w:vAlign w:val="center"/>
                </w:tcPr>
                <w:p w14:paraId="3EE14077">
                  <w:pPr>
                    <w:pStyle w:val="41"/>
                    <w:rPr>
                      <w:rFonts w:hint="default" w:ascii="Times New Roman" w:hAnsi="Times New Roman" w:eastAsia="宋体" w:cs="Times New Roman"/>
                      <w:color w:val="auto"/>
                      <w:sz w:val="18"/>
                      <w:szCs w:val="18"/>
                      <w:highlight w:val="none"/>
                      <w:lang w:eastAsia="zh-CN"/>
                    </w:rPr>
                  </w:pPr>
                </w:p>
              </w:tc>
            </w:tr>
            <w:tr w14:paraId="020C9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1F115B1B">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67707B48">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2200C83E">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1CB753C3">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6BBC1962">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6D0EF46E">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2E6FC600">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7938D629">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西：</w:t>
                  </w:r>
                  <w:r>
                    <w:rPr>
                      <w:rFonts w:hint="eastAsia" w:ascii="Times New Roman" w:hAnsi="Times New Roman" w:eastAsia="宋体" w:cs="Times New Roman"/>
                      <w:color w:val="auto"/>
                      <w:sz w:val="18"/>
                      <w:szCs w:val="18"/>
                      <w:highlight w:val="none"/>
                      <w:lang w:val="en-US" w:eastAsia="zh-CN"/>
                    </w:rPr>
                    <w:t>3</w:t>
                  </w:r>
                </w:p>
              </w:tc>
              <w:tc>
                <w:tcPr>
                  <w:tcW w:w="455" w:type="pct"/>
                  <w:tcBorders>
                    <w:top w:val="single" w:color="auto" w:sz="4" w:space="0"/>
                    <w:left w:val="single" w:color="auto" w:sz="4" w:space="0"/>
                    <w:bottom w:val="single" w:color="auto" w:sz="4" w:space="0"/>
                    <w:right w:val="single" w:color="auto" w:sz="4" w:space="0"/>
                  </w:tcBorders>
                  <w:vAlign w:val="center"/>
                </w:tcPr>
                <w:p w14:paraId="2D5AA572">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63.4</w:t>
                  </w:r>
                </w:p>
              </w:tc>
              <w:tc>
                <w:tcPr>
                  <w:tcW w:w="281" w:type="pct"/>
                  <w:vMerge w:val="continue"/>
                  <w:tcBorders>
                    <w:left w:val="single" w:color="auto" w:sz="4" w:space="0"/>
                    <w:right w:val="single" w:color="auto" w:sz="4" w:space="0"/>
                  </w:tcBorders>
                  <w:vAlign w:val="center"/>
                </w:tcPr>
                <w:p w14:paraId="23C39DB3">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1EE343EA">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3121D3A3">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48.4</w:t>
                  </w:r>
                </w:p>
              </w:tc>
              <w:tc>
                <w:tcPr>
                  <w:tcW w:w="373" w:type="pct"/>
                  <w:vMerge w:val="continue"/>
                  <w:tcBorders>
                    <w:left w:val="single" w:color="auto" w:sz="4" w:space="0"/>
                    <w:right w:val="single" w:color="auto" w:sz="4" w:space="0"/>
                  </w:tcBorders>
                  <w:vAlign w:val="center"/>
                </w:tcPr>
                <w:p w14:paraId="0F52412F">
                  <w:pPr>
                    <w:pStyle w:val="41"/>
                    <w:rPr>
                      <w:rFonts w:hint="default" w:ascii="Times New Roman" w:hAnsi="Times New Roman" w:eastAsia="宋体" w:cs="Times New Roman"/>
                      <w:color w:val="auto"/>
                      <w:sz w:val="18"/>
                      <w:szCs w:val="18"/>
                      <w:highlight w:val="none"/>
                      <w:lang w:eastAsia="zh-CN"/>
                    </w:rPr>
                  </w:pPr>
                </w:p>
              </w:tc>
            </w:tr>
            <w:tr w14:paraId="0E40E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286539F0">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bottom w:val="single" w:color="auto" w:sz="4" w:space="0"/>
                    <w:right w:val="single" w:color="auto" w:sz="4" w:space="0"/>
                  </w:tcBorders>
                  <w:tcMar>
                    <w:left w:w="57" w:type="dxa"/>
                    <w:right w:w="57" w:type="dxa"/>
                  </w:tcMar>
                  <w:vAlign w:val="center"/>
                </w:tcPr>
                <w:p w14:paraId="4DDB677D">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bottom w:val="single" w:color="auto" w:sz="4" w:space="0"/>
                    <w:right w:val="single" w:color="auto" w:sz="4" w:space="0"/>
                  </w:tcBorders>
                  <w:vAlign w:val="center"/>
                </w:tcPr>
                <w:p w14:paraId="68D3388E">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76BE3137">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bottom w:val="single" w:color="auto" w:sz="4" w:space="0"/>
                    <w:right w:val="single" w:color="auto" w:sz="4" w:space="0"/>
                  </w:tcBorders>
                  <w:vAlign w:val="center"/>
                </w:tcPr>
                <w:p w14:paraId="3698E8EF">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bottom w:val="single" w:color="auto" w:sz="4" w:space="0"/>
                    <w:right w:val="single" w:color="auto" w:sz="4" w:space="0"/>
                  </w:tcBorders>
                  <w:vAlign w:val="center"/>
                </w:tcPr>
                <w:p w14:paraId="11E6A3B2">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bottom w:val="single" w:color="auto" w:sz="4" w:space="0"/>
                    <w:right w:val="single" w:color="auto" w:sz="4" w:space="0"/>
                  </w:tcBorders>
                  <w:vAlign w:val="center"/>
                </w:tcPr>
                <w:p w14:paraId="2565C657">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bottom w:val="single" w:color="auto" w:sz="4" w:space="0"/>
                    <w:right w:val="single" w:color="auto" w:sz="4" w:space="0"/>
                  </w:tcBorders>
                  <w:vAlign w:val="center"/>
                </w:tcPr>
                <w:p w14:paraId="29F9FD4F">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北：</w:t>
                  </w:r>
                  <w:r>
                    <w:rPr>
                      <w:rFonts w:hint="eastAsia" w:ascii="Times New Roman" w:hAnsi="Times New Roman" w:eastAsia="宋体" w:cs="Times New Roman"/>
                      <w:color w:val="auto"/>
                      <w:sz w:val="18"/>
                      <w:szCs w:val="18"/>
                      <w:highlight w:val="none"/>
                      <w:lang w:val="en-US" w:eastAsia="zh-CN"/>
                    </w:rPr>
                    <w:t>33</w:t>
                  </w:r>
                </w:p>
              </w:tc>
              <w:tc>
                <w:tcPr>
                  <w:tcW w:w="455" w:type="pct"/>
                  <w:tcBorders>
                    <w:top w:val="single" w:color="auto" w:sz="4" w:space="0"/>
                    <w:left w:val="single" w:color="auto" w:sz="4" w:space="0"/>
                    <w:bottom w:val="single" w:color="auto" w:sz="4" w:space="0"/>
                    <w:right w:val="single" w:color="auto" w:sz="4" w:space="0"/>
                  </w:tcBorders>
                  <w:vAlign w:val="center"/>
                </w:tcPr>
                <w:p w14:paraId="1583ED66">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42.6</w:t>
                  </w:r>
                </w:p>
              </w:tc>
              <w:tc>
                <w:tcPr>
                  <w:tcW w:w="281" w:type="pct"/>
                  <w:vMerge w:val="continue"/>
                  <w:tcBorders>
                    <w:left w:val="single" w:color="auto" w:sz="4" w:space="0"/>
                    <w:bottom w:val="single" w:color="auto" w:sz="4" w:space="0"/>
                    <w:right w:val="single" w:color="auto" w:sz="4" w:space="0"/>
                  </w:tcBorders>
                  <w:vAlign w:val="center"/>
                </w:tcPr>
                <w:p w14:paraId="1B035BFE">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bottom w:val="single" w:color="auto" w:sz="4" w:space="0"/>
                    <w:right w:val="single" w:color="auto" w:sz="4" w:space="0"/>
                  </w:tcBorders>
                  <w:vAlign w:val="center"/>
                </w:tcPr>
                <w:p w14:paraId="61BD741F">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bottom w:val="single" w:color="auto" w:sz="4" w:space="0"/>
                    <w:right w:val="single" w:color="auto" w:sz="4" w:space="0"/>
                  </w:tcBorders>
                  <w:shd w:val="clear" w:color="auto" w:fill="auto"/>
                  <w:vAlign w:val="center"/>
                </w:tcPr>
                <w:p w14:paraId="516545D9">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27.6</w:t>
                  </w:r>
                </w:p>
              </w:tc>
              <w:tc>
                <w:tcPr>
                  <w:tcW w:w="373" w:type="pct"/>
                  <w:vMerge w:val="continue"/>
                  <w:tcBorders>
                    <w:left w:val="single" w:color="auto" w:sz="4" w:space="0"/>
                    <w:bottom w:val="single" w:color="auto" w:sz="4" w:space="0"/>
                    <w:right w:val="single" w:color="auto" w:sz="4" w:space="0"/>
                  </w:tcBorders>
                  <w:vAlign w:val="center"/>
                </w:tcPr>
                <w:p w14:paraId="26137DD1">
                  <w:pPr>
                    <w:pStyle w:val="41"/>
                    <w:rPr>
                      <w:rFonts w:hint="default" w:ascii="Times New Roman" w:hAnsi="Times New Roman" w:eastAsia="宋体" w:cs="Times New Roman"/>
                      <w:color w:val="auto"/>
                      <w:sz w:val="18"/>
                      <w:szCs w:val="18"/>
                      <w:highlight w:val="none"/>
                      <w:lang w:eastAsia="zh-CN"/>
                    </w:rPr>
                  </w:pPr>
                </w:p>
              </w:tc>
            </w:tr>
            <w:tr w14:paraId="09D1D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49A7EF5F">
                  <w:pPr>
                    <w:pStyle w:val="41"/>
                    <w:rPr>
                      <w:rFonts w:hint="default" w:ascii="Times New Roman" w:hAnsi="Times New Roman" w:eastAsia="宋体" w:cs="Times New Roman"/>
                      <w:color w:val="auto"/>
                      <w:sz w:val="18"/>
                      <w:szCs w:val="18"/>
                      <w:highlight w:val="none"/>
                      <w:lang w:eastAsia="zh-CN"/>
                    </w:rPr>
                  </w:pPr>
                </w:p>
              </w:tc>
              <w:tc>
                <w:tcPr>
                  <w:tcW w:w="376" w:type="pct"/>
                  <w:vMerge w:val="restart"/>
                  <w:tcBorders>
                    <w:top w:val="single" w:color="auto" w:sz="4" w:space="0"/>
                    <w:left w:val="single" w:color="auto" w:sz="4" w:space="0"/>
                    <w:right w:val="single" w:color="auto" w:sz="4" w:space="0"/>
                  </w:tcBorders>
                  <w:tcMar>
                    <w:left w:w="57" w:type="dxa"/>
                    <w:right w:w="57" w:type="dxa"/>
                  </w:tcMar>
                  <w:vAlign w:val="center"/>
                </w:tcPr>
                <w:p w14:paraId="2A18A038">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台钻</w:t>
                  </w:r>
                </w:p>
              </w:tc>
              <w:tc>
                <w:tcPr>
                  <w:tcW w:w="439" w:type="pct"/>
                  <w:vMerge w:val="restart"/>
                  <w:tcBorders>
                    <w:top w:val="single" w:color="auto" w:sz="4" w:space="0"/>
                    <w:left w:val="single" w:color="auto" w:sz="4" w:space="0"/>
                    <w:right w:val="single" w:color="auto" w:sz="4" w:space="0"/>
                  </w:tcBorders>
                  <w:vAlign w:val="center"/>
                </w:tcPr>
                <w:p w14:paraId="35265B0E">
                  <w:pPr>
                    <w:pStyle w:val="41"/>
                    <w:rPr>
                      <w:rFonts w:hint="default" w:ascii="Times New Roman" w:hAnsi="Times New Roman" w:eastAsia="宋体" w:cs="Times New Roman"/>
                      <w:color w:val="auto"/>
                      <w:sz w:val="18"/>
                      <w:szCs w:val="18"/>
                      <w:highlight w:val="none"/>
                      <w:lang w:val="zh-CN" w:eastAsia="zh-CN"/>
                    </w:rPr>
                  </w:pPr>
                  <w:r>
                    <w:rPr>
                      <w:rFonts w:hint="eastAsia" w:ascii="Times New Roman" w:hAnsi="Times New Roman" w:eastAsia="宋体" w:cs="Times New Roman"/>
                      <w:color w:val="auto"/>
                      <w:sz w:val="18"/>
                      <w:szCs w:val="18"/>
                      <w:highlight w:val="none"/>
                      <w:lang w:val="zh-CN" w:eastAsia="zh-CN"/>
                    </w:rPr>
                    <w:t>80（</w:t>
                  </w:r>
                  <w:r>
                    <w:rPr>
                      <w:rFonts w:hint="eastAsia" w:ascii="Times New Roman" w:hAnsi="Times New Roman" w:eastAsia="宋体" w:cs="Times New Roman"/>
                      <w:color w:val="auto"/>
                      <w:sz w:val="18"/>
                      <w:szCs w:val="18"/>
                      <w:highlight w:val="none"/>
                      <w:lang w:val="en-US" w:eastAsia="zh-CN"/>
                    </w:rPr>
                    <w:t>83</w:t>
                  </w:r>
                  <w:r>
                    <w:rPr>
                      <w:rFonts w:hint="eastAsia" w:ascii="Times New Roman" w:hAnsi="Times New Roman" w:eastAsia="宋体" w:cs="Times New Roman"/>
                      <w:color w:val="auto"/>
                      <w:sz w:val="18"/>
                      <w:szCs w:val="18"/>
                      <w:highlight w:val="none"/>
                      <w:lang w:val="zh-CN" w:eastAsia="zh-CN"/>
                    </w:rPr>
                    <w:t>）</w:t>
                  </w:r>
                </w:p>
              </w:tc>
              <w:tc>
                <w:tcPr>
                  <w:tcW w:w="335" w:type="pct"/>
                  <w:vMerge w:val="continue"/>
                  <w:tcBorders>
                    <w:left w:val="single" w:color="auto" w:sz="4" w:space="0"/>
                    <w:right w:val="single" w:color="auto" w:sz="4" w:space="0"/>
                  </w:tcBorders>
                  <w:vAlign w:val="center"/>
                </w:tcPr>
                <w:p w14:paraId="25C93D89">
                  <w:pPr>
                    <w:pStyle w:val="41"/>
                    <w:rPr>
                      <w:rFonts w:hint="default" w:ascii="Times New Roman" w:hAnsi="Times New Roman" w:eastAsia="宋体" w:cs="Times New Roman"/>
                      <w:color w:val="auto"/>
                      <w:sz w:val="18"/>
                      <w:szCs w:val="18"/>
                      <w:highlight w:val="none"/>
                      <w:lang w:val="zh-CN" w:eastAsia="zh-CN"/>
                    </w:rPr>
                  </w:pPr>
                </w:p>
              </w:tc>
              <w:tc>
                <w:tcPr>
                  <w:tcW w:w="348" w:type="pct"/>
                  <w:vMerge w:val="restart"/>
                  <w:tcBorders>
                    <w:top w:val="single" w:color="auto" w:sz="4" w:space="0"/>
                    <w:left w:val="single" w:color="auto" w:sz="4" w:space="0"/>
                    <w:right w:val="single" w:color="auto" w:sz="4" w:space="0"/>
                  </w:tcBorders>
                  <w:vAlign w:val="center"/>
                </w:tcPr>
                <w:p w14:paraId="79C9DBC5">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13.5</w:t>
                  </w:r>
                </w:p>
              </w:tc>
              <w:tc>
                <w:tcPr>
                  <w:tcW w:w="359" w:type="pct"/>
                  <w:vMerge w:val="restart"/>
                  <w:tcBorders>
                    <w:top w:val="single" w:color="auto" w:sz="4" w:space="0"/>
                    <w:left w:val="single" w:color="auto" w:sz="4" w:space="0"/>
                    <w:right w:val="single" w:color="auto" w:sz="4" w:space="0"/>
                  </w:tcBorders>
                  <w:vAlign w:val="center"/>
                </w:tcPr>
                <w:p w14:paraId="6E0C25B7">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43</w:t>
                  </w:r>
                </w:p>
              </w:tc>
              <w:tc>
                <w:tcPr>
                  <w:tcW w:w="329" w:type="pct"/>
                  <w:vMerge w:val="restart"/>
                  <w:tcBorders>
                    <w:top w:val="single" w:color="auto" w:sz="4" w:space="0"/>
                    <w:left w:val="single" w:color="auto" w:sz="4" w:space="0"/>
                    <w:right w:val="single" w:color="auto" w:sz="4" w:space="0"/>
                  </w:tcBorders>
                  <w:vAlign w:val="center"/>
                </w:tcPr>
                <w:p w14:paraId="71CBC34D">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1.2</w:t>
                  </w:r>
                </w:p>
              </w:tc>
              <w:tc>
                <w:tcPr>
                  <w:tcW w:w="524" w:type="pct"/>
                  <w:tcBorders>
                    <w:top w:val="single" w:color="auto" w:sz="4" w:space="0"/>
                    <w:left w:val="single" w:color="auto" w:sz="4" w:space="0"/>
                    <w:right w:val="single" w:color="auto" w:sz="4" w:space="0"/>
                  </w:tcBorders>
                  <w:vAlign w:val="center"/>
                </w:tcPr>
                <w:p w14:paraId="367ACD36">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东：</w:t>
                  </w:r>
                  <w:r>
                    <w:rPr>
                      <w:rFonts w:hint="eastAsia" w:ascii="Times New Roman" w:hAnsi="Times New Roman" w:eastAsia="宋体" w:cs="Times New Roman"/>
                      <w:color w:val="auto"/>
                      <w:sz w:val="18"/>
                      <w:szCs w:val="18"/>
                      <w:highlight w:val="none"/>
                      <w:lang w:val="en-US" w:eastAsia="zh-CN"/>
                    </w:rPr>
                    <w:t>32.5</w:t>
                  </w:r>
                </w:p>
              </w:tc>
              <w:tc>
                <w:tcPr>
                  <w:tcW w:w="455" w:type="pct"/>
                  <w:tcBorders>
                    <w:top w:val="single" w:color="auto" w:sz="4" w:space="0"/>
                    <w:left w:val="single" w:color="auto" w:sz="4" w:space="0"/>
                    <w:bottom w:val="single" w:color="auto" w:sz="4" w:space="0"/>
                    <w:right w:val="single" w:color="auto" w:sz="4" w:space="0"/>
                  </w:tcBorders>
                  <w:vAlign w:val="center"/>
                </w:tcPr>
                <w:p w14:paraId="5973B3C7">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52.8</w:t>
                  </w:r>
                </w:p>
              </w:tc>
              <w:tc>
                <w:tcPr>
                  <w:tcW w:w="281" w:type="pct"/>
                  <w:vMerge w:val="restart"/>
                  <w:tcBorders>
                    <w:top w:val="single" w:color="auto" w:sz="4" w:space="0"/>
                    <w:left w:val="single" w:color="auto" w:sz="4" w:space="0"/>
                    <w:right w:val="single" w:color="auto" w:sz="4" w:space="0"/>
                  </w:tcBorders>
                  <w:vAlign w:val="center"/>
                </w:tcPr>
                <w:p w14:paraId="16D4F6A6">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val="en-US" w:eastAsia="zh-CN"/>
                    </w:rPr>
                    <w:t>8</w:t>
                  </w:r>
                  <w:r>
                    <w:rPr>
                      <w:rFonts w:hint="default" w:ascii="Times New Roman" w:hAnsi="Times New Roman" w:eastAsia="宋体" w:cs="Times New Roman"/>
                      <w:color w:val="auto"/>
                      <w:sz w:val="18"/>
                      <w:szCs w:val="18"/>
                      <w:highlight w:val="none"/>
                      <w:lang w:eastAsia="zh-CN"/>
                    </w:rPr>
                    <w:t>h</w:t>
                  </w:r>
                </w:p>
              </w:tc>
              <w:tc>
                <w:tcPr>
                  <w:tcW w:w="422" w:type="pct"/>
                  <w:vMerge w:val="restart"/>
                  <w:tcBorders>
                    <w:top w:val="single" w:color="auto" w:sz="4" w:space="0"/>
                    <w:left w:val="single" w:color="auto" w:sz="4" w:space="0"/>
                    <w:right w:val="single" w:color="auto" w:sz="4" w:space="0"/>
                  </w:tcBorders>
                  <w:vAlign w:val="center"/>
                </w:tcPr>
                <w:p w14:paraId="3EA1B7E6">
                  <w:pPr>
                    <w:pStyle w:val="41"/>
                    <w:rPr>
                      <w:rFonts w:hint="default" w:ascii="Times New Roman" w:hAnsi="Times New Roman" w:eastAsia="宋体" w:cs="Times New Roman"/>
                      <w:color w:val="FF0000"/>
                      <w:sz w:val="18"/>
                      <w:szCs w:val="18"/>
                      <w:highlight w:val="none"/>
                      <w:lang w:eastAsia="zh-CN"/>
                    </w:rPr>
                  </w:pPr>
                  <w:r>
                    <w:rPr>
                      <w:rFonts w:hint="eastAsia" w:ascii="Times New Roman" w:hAnsi="Times New Roman" w:cs="Times New Roman"/>
                      <w:color w:val="FF0000"/>
                      <w:sz w:val="18"/>
                      <w:szCs w:val="18"/>
                      <w:highlight w:val="none"/>
                      <w:lang w:val="en-US" w:eastAsia="zh-CN"/>
                    </w:rPr>
                    <w:t>15</w:t>
                  </w:r>
                </w:p>
              </w:tc>
              <w:tc>
                <w:tcPr>
                  <w:tcW w:w="453" w:type="pct"/>
                  <w:tcBorders>
                    <w:top w:val="single" w:color="auto" w:sz="4" w:space="0"/>
                    <w:left w:val="single" w:color="auto" w:sz="4" w:space="0"/>
                    <w:right w:val="single" w:color="auto" w:sz="4" w:space="0"/>
                  </w:tcBorders>
                  <w:shd w:val="clear" w:color="auto" w:fill="auto"/>
                  <w:vAlign w:val="center"/>
                </w:tcPr>
                <w:p w14:paraId="586BF922">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37.8</w:t>
                  </w:r>
                </w:p>
              </w:tc>
              <w:tc>
                <w:tcPr>
                  <w:tcW w:w="373" w:type="pct"/>
                  <w:vMerge w:val="restart"/>
                  <w:tcBorders>
                    <w:top w:val="single" w:color="auto" w:sz="4" w:space="0"/>
                    <w:left w:val="single" w:color="auto" w:sz="4" w:space="0"/>
                    <w:right w:val="single" w:color="auto" w:sz="4" w:space="0"/>
                  </w:tcBorders>
                  <w:vAlign w:val="center"/>
                </w:tcPr>
                <w:p w14:paraId="54D42535">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1</w:t>
                  </w:r>
                </w:p>
              </w:tc>
            </w:tr>
            <w:tr w14:paraId="029EA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384A8011">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0420D999">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47CC4678">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1AAC3057">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0B2C6FB7">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2658F6EC">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6CC4484F">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17C057C8">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南：</w:t>
                  </w:r>
                  <w:r>
                    <w:rPr>
                      <w:rFonts w:hint="eastAsia" w:ascii="Times New Roman" w:hAnsi="Times New Roman" w:eastAsia="宋体" w:cs="Times New Roman"/>
                      <w:color w:val="auto"/>
                      <w:sz w:val="18"/>
                      <w:szCs w:val="18"/>
                      <w:highlight w:val="none"/>
                      <w:lang w:val="en-US" w:eastAsia="zh-CN"/>
                    </w:rPr>
                    <w:t>3</w:t>
                  </w:r>
                </w:p>
              </w:tc>
              <w:tc>
                <w:tcPr>
                  <w:tcW w:w="455" w:type="pct"/>
                  <w:tcBorders>
                    <w:top w:val="single" w:color="auto" w:sz="4" w:space="0"/>
                    <w:left w:val="single" w:color="auto" w:sz="4" w:space="0"/>
                    <w:bottom w:val="single" w:color="auto" w:sz="4" w:space="0"/>
                    <w:right w:val="single" w:color="auto" w:sz="4" w:space="0"/>
                  </w:tcBorders>
                  <w:vAlign w:val="center"/>
                </w:tcPr>
                <w:p w14:paraId="12DE720C">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73.4</w:t>
                  </w:r>
                </w:p>
              </w:tc>
              <w:tc>
                <w:tcPr>
                  <w:tcW w:w="281" w:type="pct"/>
                  <w:vMerge w:val="continue"/>
                  <w:tcBorders>
                    <w:left w:val="single" w:color="auto" w:sz="4" w:space="0"/>
                    <w:right w:val="single" w:color="auto" w:sz="4" w:space="0"/>
                  </w:tcBorders>
                  <w:vAlign w:val="center"/>
                </w:tcPr>
                <w:p w14:paraId="487974BF">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22CE9AC2">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0F0BE986">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58.4</w:t>
                  </w:r>
                </w:p>
              </w:tc>
              <w:tc>
                <w:tcPr>
                  <w:tcW w:w="373" w:type="pct"/>
                  <w:vMerge w:val="continue"/>
                  <w:tcBorders>
                    <w:left w:val="single" w:color="auto" w:sz="4" w:space="0"/>
                    <w:right w:val="single" w:color="auto" w:sz="4" w:space="0"/>
                  </w:tcBorders>
                  <w:vAlign w:val="center"/>
                </w:tcPr>
                <w:p w14:paraId="07DED4F8">
                  <w:pPr>
                    <w:pStyle w:val="41"/>
                    <w:rPr>
                      <w:rFonts w:hint="default" w:ascii="Times New Roman" w:hAnsi="Times New Roman" w:eastAsia="宋体" w:cs="Times New Roman"/>
                      <w:color w:val="auto"/>
                      <w:sz w:val="18"/>
                      <w:szCs w:val="18"/>
                      <w:highlight w:val="none"/>
                      <w:lang w:eastAsia="zh-CN"/>
                    </w:rPr>
                  </w:pPr>
                </w:p>
              </w:tc>
            </w:tr>
            <w:tr w14:paraId="729AE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7CAD9E9E">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48C5D2CF">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1FC522A9">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648CAC69">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64FCD7B9">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6C061D17">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5B1FA32A">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5503D230">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西：</w:t>
                  </w:r>
                  <w:r>
                    <w:rPr>
                      <w:rFonts w:hint="eastAsia" w:ascii="Times New Roman" w:hAnsi="Times New Roman" w:eastAsia="宋体" w:cs="Times New Roman"/>
                      <w:color w:val="auto"/>
                      <w:sz w:val="18"/>
                      <w:szCs w:val="18"/>
                      <w:highlight w:val="none"/>
                      <w:lang w:val="en-US" w:eastAsia="zh-CN"/>
                    </w:rPr>
                    <w:t>7.5</w:t>
                  </w:r>
                </w:p>
              </w:tc>
              <w:tc>
                <w:tcPr>
                  <w:tcW w:w="455" w:type="pct"/>
                  <w:tcBorders>
                    <w:top w:val="single" w:color="auto" w:sz="4" w:space="0"/>
                    <w:left w:val="single" w:color="auto" w:sz="4" w:space="0"/>
                    <w:bottom w:val="single" w:color="auto" w:sz="4" w:space="0"/>
                    <w:right w:val="single" w:color="auto" w:sz="4" w:space="0"/>
                  </w:tcBorders>
                  <w:vAlign w:val="center"/>
                </w:tcPr>
                <w:p w14:paraId="10486BCE">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65.5</w:t>
                  </w:r>
                </w:p>
              </w:tc>
              <w:tc>
                <w:tcPr>
                  <w:tcW w:w="281" w:type="pct"/>
                  <w:vMerge w:val="continue"/>
                  <w:tcBorders>
                    <w:left w:val="single" w:color="auto" w:sz="4" w:space="0"/>
                    <w:right w:val="single" w:color="auto" w:sz="4" w:space="0"/>
                  </w:tcBorders>
                  <w:vAlign w:val="center"/>
                </w:tcPr>
                <w:p w14:paraId="0346ABDF">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4DFDAC88">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2CD8C5A0">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50.5</w:t>
                  </w:r>
                </w:p>
              </w:tc>
              <w:tc>
                <w:tcPr>
                  <w:tcW w:w="373" w:type="pct"/>
                  <w:vMerge w:val="continue"/>
                  <w:tcBorders>
                    <w:left w:val="single" w:color="auto" w:sz="4" w:space="0"/>
                    <w:right w:val="single" w:color="auto" w:sz="4" w:space="0"/>
                  </w:tcBorders>
                  <w:vAlign w:val="center"/>
                </w:tcPr>
                <w:p w14:paraId="4B85198C">
                  <w:pPr>
                    <w:pStyle w:val="41"/>
                    <w:rPr>
                      <w:rFonts w:hint="default" w:ascii="Times New Roman" w:hAnsi="Times New Roman" w:eastAsia="宋体" w:cs="Times New Roman"/>
                      <w:color w:val="auto"/>
                      <w:sz w:val="18"/>
                      <w:szCs w:val="18"/>
                      <w:highlight w:val="none"/>
                      <w:lang w:eastAsia="zh-CN"/>
                    </w:rPr>
                  </w:pPr>
                </w:p>
              </w:tc>
            </w:tr>
            <w:tr w14:paraId="644AA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6DC43948">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bottom w:val="single" w:color="auto" w:sz="4" w:space="0"/>
                    <w:right w:val="single" w:color="auto" w:sz="4" w:space="0"/>
                  </w:tcBorders>
                  <w:tcMar>
                    <w:left w:w="57" w:type="dxa"/>
                    <w:right w:w="57" w:type="dxa"/>
                  </w:tcMar>
                  <w:vAlign w:val="center"/>
                </w:tcPr>
                <w:p w14:paraId="462B47E4">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bottom w:val="single" w:color="auto" w:sz="4" w:space="0"/>
                    <w:right w:val="single" w:color="auto" w:sz="4" w:space="0"/>
                  </w:tcBorders>
                  <w:vAlign w:val="center"/>
                </w:tcPr>
                <w:p w14:paraId="3EE1591B">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2E613B35">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bottom w:val="single" w:color="auto" w:sz="4" w:space="0"/>
                    <w:right w:val="single" w:color="auto" w:sz="4" w:space="0"/>
                  </w:tcBorders>
                  <w:vAlign w:val="center"/>
                </w:tcPr>
                <w:p w14:paraId="3DB7FA5D">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bottom w:val="single" w:color="auto" w:sz="4" w:space="0"/>
                    <w:right w:val="single" w:color="auto" w:sz="4" w:space="0"/>
                  </w:tcBorders>
                  <w:vAlign w:val="center"/>
                </w:tcPr>
                <w:p w14:paraId="78C57E60">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bottom w:val="single" w:color="auto" w:sz="4" w:space="0"/>
                    <w:right w:val="single" w:color="auto" w:sz="4" w:space="0"/>
                  </w:tcBorders>
                  <w:vAlign w:val="center"/>
                </w:tcPr>
                <w:p w14:paraId="01E8FD74">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bottom w:val="single" w:color="auto" w:sz="4" w:space="0"/>
                    <w:right w:val="single" w:color="auto" w:sz="4" w:space="0"/>
                  </w:tcBorders>
                  <w:vAlign w:val="center"/>
                </w:tcPr>
                <w:p w14:paraId="1577DC80">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北：</w:t>
                  </w:r>
                  <w:r>
                    <w:rPr>
                      <w:rFonts w:hint="eastAsia" w:ascii="Times New Roman" w:hAnsi="Times New Roman" w:eastAsia="宋体" w:cs="Times New Roman"/>
                      <w:color w:val="auto"/>
                      <w:sz w:val="18"/>
                      <w:szCs w:val="18"/>
                      <w:highlight w:val="none"/>
                      <w:lang w:val="en-US" w:eastAsia="zh-CN"/>
                    </w:rPr>
                    <w:t>33</w:t>
                  </w:r>
                </w:p>
              </w:tc>
              <w:tc>
                <w:tcPr>
                  <w:tcW w:w="455" w:type="pct"/>
                  <w:tcBorders>
                    <w:top w:val="single" w:color="auto" w:sz="4" w:space="0"/>
                    <w:left w:val="single" w:color="auto" w:sz="4" w:space="0"/>
                    <w:bottom w:val="single" w:color="auto" w:sz="4" w:space="0"/>
                    <w:right w:val="single" w:color="auto" w:sz="4" w:space="0"/>
                  </w:tcBorders>
                  <w:vAlign w:val="center"/>
                </w:tcPr>
                <w:p w14:paraId="61A1C9E3">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52.6</w:t>
                  </w:r>
                </w:p>
              </w:tc>
              <w:tc>
                <w:tcPr>
                  <w:tcW w:w="281" w:type="pct"/>
                  <w:vMerge w:val="continue"/>
                  <w:tcBorders>
                    <w:left w:val="single" w:color="auto" w:sz="4" w:space="0"/>
                    <w:bottom w:val="single" w:color="auto" w:sz="4" w:space="0"/>
                    <w:right w:val="single" w:color="auto" w:sz="4" w:space="0"/>
                  </w:tcBorders>
                  <w:vAlign w:val="center"/>
                </w:tcPr>
                <w:p w14:paraId="3299E29E">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bottom w:val="single" w:color="auto" w:sz="4" w:space="0"/>
                    <w:right w:val="single" w:color="auto" w:sz="4" w:space="0"/>
                  </w:tcBorders>
                  <w:vAlign w:val="center"/>
                </w:tcPr>
                <w:p w14:paraId="0A0690AA">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bottom w:val="single" w:color="auto" w:sz="4" w:space="0"/>
                    <w:right w:val="single" w:color="auto" w:sz="4" w:space="0"/>
                  </w:tcBorders>
                  <w:shd w:val="clear" w:color="auto" w:fill="auto"/>
                  <w:vAlign w:val="center"/>
                </w:tcPr>
                <w:p w14:paraId="7DBC6EAF">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37.6</w:t>
                  </w:r>
                </w:p>
              </w:tc>
              <w:tc>
                <w:tcPr>
                  <w:tcW w:w="373" w:type="pct"/>
                  <w:vMerge w:val="continue"/>
                  <w:tcBorders>
                    <w:left w:val="single" w:color="auto" w:sz="4" w:space="0"/>
                    <w:bottom w:val="single" w:color="auto" w:sz="4" w:space="0"/>
                    <w:right w:val="single" w:color="auto" w:sz="4" w:space="0"/>
                  </w:tcBorders>
                  <w:vAlign w:val="center"/>
                </w:tcPr>
                <w:p w14:paraId="0E2C4037">
                  <w:pPr>
                    <w:pStyle w:val="41"/>
                    <w:rPr>
                      <w:rFonts w:hint="default" w:ascii="Times New Roman" w:hAnsi="Times New Roman" w:eastAsia="宋体" w:cs="Times New Roman"/>
                      <w:color w:val="auto"/>
                      <w:sz w:val="18"/>
                      <w:szCs w:val="18"/>
                      <w:highlight w:val="none"/>
                      <w:lang w:eastAsia="zh-CN"/>
                    </w:rPr>
                  </w:pPr>
                </w:p>
              </w:tc>
            </w:tr>
            <w:tr w14:paraId="4F70A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3661F722">
                  <w:pPr>
                    <w:pStyle w:val="41"/>
                    <w:rPr>
                      <w:rFonts w:hint="default" w:ascii="Times New Roman" w:hAnsi="Times New Roman" w:eastAsia="宋体" w:cs="Times New Roman"/>
                      <w:color w:val="auto"/>
                      <w:sz w:val="18"/>
                      <w:szCs w:val="18"/>
                      <w:highlight w:val="none"/>
                      <w:lang w:eastAsia="zh-CN"/>
                    </w:rPr>
                  </w:pPr>
                </w:p>
              </w:tc>
              <w:tc>
                <w:tcPr>
                  <w:tcW w:w="376" w:type="pct"/>
                  <w:vMerge w:val="restart"/>
                  <w:tcBorders>
                    <w:top w:val="single" w:color="auto" w:sz="4" w:space="0"/>
                    <w:left w:val="single" w:color="auto" w:sz="4" w:space="0"/>
                    <w:right w:val="single" w:color="auto" w:sz="4" w:space="0"/>
                  </w:tcBorders>
                  <w:tcMar>
                    <w:left w:w="57" w:type="dxa"/>
                    <w:right w:w="57" w:type="dxa"/>
                  </w:tcMar>
                  <w:vAlign w:val="center"/>
                </w:tcPr>
                <w:p w14:paraId="36571CF9">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切割锯</w:t>
                  </w:r>
                </w:p>
              </w:tc>
              <w:tc>
                <w:tcPr>
                  <w:tcW w:w="439" w:type="pct"/>
                  <w:vMerge w:val="restart"/>
                  <w:tcBorders>
                    <w:top w:val="single" w:color="auto" w:sz="4" w:space="0"/>
                    <w:left w:val="single" w:color="auto" w:sz="4" w:space="0"/>
                    <w:right w:val="single" w:color="auto" w:sz="4" w:space="0"/>
                  </w:tcBorders>
                  <w:vAlign w:val="center"/>
                </w:tcPr>
                <w:p w14:paraId="74439097">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90</w:t>
                  </w:r>
                </w:p>
              </w:tc>
              <w:tc>
                <w:tcPr>
                  <w:tcW w:w="335" w:type="pct"/>
                  <w:vMerge w:val="continue"/>
                  <w:tcBorders>
                    <w:left w:val="single" w:color="auto" w:sz="4" w:space="0"/>
                    <w:right w:val="single" w:color="auto" w:sz="4" w:space="0"/>
                  </w:tcBorders>
                  <w:vAlign w:val="center"/>
                </w:tcPr>
                <w:p w14:paraId="4170B5E8">
                  <w:pPr>
                    <w:pStyle w:val="41"/>
                    <w:rPr>
                      <w:rFonts w:hint="default" w:ascii="Times New Roman" w:hAnsi="Times New Roman" w:eastAsia="宋体" w:cs="Times New Roman"/>
                      <w:color w:val="auto"/>
                      <w:sz w:val="18"/>
                      <w:szCs w:val="18"/>
                      <w:highlight w:val="none"/>
                      <w:lang w:val="zh-CN" w:eastAsia="zh-CN"/>
                    </w:rPr>
                  </w:pPr>
                </w:p>
              </w:tc>
              <w:tc>
                <w:tcPr>
                  <w:tcW w:w="348" w:type="pct"/>
                  <w:vMerge w:val="restart"/>
                  <w:tcBorders>
                    <w:top w:val="single" w:color="auto" w:sz="4" w:space="0"/>
                    <w:left w:val="single" w:color="auto" w:sz="4" w:space="0"/>
                    <w:right w:val="single" w:color="auto" w:sz="4" w:space="0"/>
                  </w:tcBorders>
                  <w:vAlign w:val="center"/>
                </w:tcPr>
                <w:p w14:paraId="07A1FEEE">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42</w:t>
                  </w:r>
                </w:p>
              </w:tc>
              <w:tc>
                <w:tcPr>
                  <w:tcW w:w="359" w:type="pct"/>
                  <w:vMerge w:val="restart"/>
                  <w:tcBorders>
                    <w:top w:val="single" w:color="auto" w:sz="4" w:space="0"/>
                    <w:left w:val="single" w:color="auto" w:sz="4" w:space="0"/>
                    <w:right w:val="single" w:color="auto" w:sz="4" w:space="0"/>
                  </w:tcBorders>
                  <w:vAlign w:val="center"/>
                </w:tcPr>
                <w:p w14:paraId="4EDAF6BF">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58</w:t>
                  </w:r>
                </w:p>
              </w:tc>
              <w:tc>
                <w:tcPr>
                  <w:tcW w:w="329" w:type="pct"/>
                  <w:vMerge w:val="restart"/>
                  <w:tcBorders>
                    <w:top w:val="single" w:color="auto" w:sz="4" w:space="0"/>
                    <w:left w:val="single" w:color="auto" w:sz="4" w:space="0"/>
                    <w:right w:val="single" w:color="auto" w:sz="4" w:space="0"/>
                  </w:tcBorders>
                  <w:vAlign w:val="center"/>
                </w:tcPr>
                <w:p w14:paraId="0A1F8656">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1.2</w:t>
                  </w:r>
                </w:p>
              </w:tc>
              <w:tc>
                <w:tcPr>
                  <w:tcW w:w="524" w:type="pct"/>
                  <w:tcBorders>
                    <w:top w:val="single" w:color="auto" w:sz="4" w:space="0"/>
                    <w:left w:val="single" w:color="auto" w:sz="4" w:space="0"/>
                    <w:right w:val="single" w:color="auto" w:sz="4" w:space="0"/>
                  </w:tcBorders>
                  <w:vAlign w:val="center"/>
                </w:tcPr>
                <w:p w14:paraId="5CA54932">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东：</w:t>
                  </w:r>
                  <w:r>
                    <w:rPr>
                      <w:rFonts w:hint="eastAsia" w:ascii="Times New Roman" w:hAnsi="Times New Roman" w:eastAsia="宋体" w:cs="Times New Roman"/>
                      <w:color w:val="auto"/>
                      <w:sz w:val="18"/>
                      <w:szCs w:val="18"/>
                      <w:highlight w:val="none"/>
                      <w:lang w:val="en-US" w:eastAsia="zh-CN"/>
                    </w:rPr>
                    <w:t>6</w:t>
                  </w:r>
                </w:p>
              </w:tc>
              <w:tc>
                <w:tcPr>
                  <w:tcW w:w="455" w:type="pct"/>
                  <w:tcBorders>
                    <w:top w:val="single" w:color="auto" w:sz="4" w:space="0"/>
                    <w:left w:val="single" w:color="auto" w:sz="4" w:space="0"/>
                    <w:bottom w:val="single" w:color="auto" w:sz="4" w:space="0"/>
                    <w:right w:val="single" w:color="auto" w:sz="4" w:space="0"/>
                  </w:tcBorders>
                  <w:vAlign w:val="center"/>
                </w:tcPr>
                <w:p w14:paraId="75D4FCFE">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74.4</w:t>
                  </w:r>
                </w:p>
              </w:tc>
              <w:tc>
                <w:tcPr>
                  <w:tcW w:w="281" w:type="pct"/>
                  <w:vMerge w:val="restart"/>
                  <w:tcBorders>
                    <w:top w:val="single" w:color="auto" w:sz="4" w:space="0"/>
                    <w:left w:val="single" w:color="auto" w:sz="4" w:space="0"/>
                    <w:right w:val="single" w:color="auto" w:sz="4" w:space="0"/>
                  </w:tcBorders>
                  <w:vAlign w:val="center"/>
                </w:tcPr>
                <w:p w14:paraId="0DD316E2">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val="en-US" w:eastAsia="zh-CN"/>
                    </w:rPr>
                    <w:t>8</w:t>
                  </w:r>
                  <w:r>
                    <w:rPr>
                      <w:rFonts w:hint="default" w:ascii="Times New Roman" w:hAnsi="Times New Roman" w:eastAsia="宋体" w:cs="Times New Roman"/>
                      <w:color w:val="auto"/>
                      <w:sz w:val="18"/>
                      <w:szCs w:val="18"/>
                      <w:highlight w:val="none"/>
                      <w:lang w:eastAsia="zh-CN"/>
                    </w:rPr>
                    <w:t>h</w:t>
                  </w:r>
                </w:p>
              </w:tc>
              <w:tc>
                <w:tcPr>
                  <w:tcW w:w="422" w:type="pct"/>
                  <w:vMerge w:val="restart"/>
                  <w:tcBorders>
                    <w:top w:val="single" w:color="auto" w:sz="4" w:space="0"/>
                    <w:left w:val="single" w:color="auto" w:sz="4" w:space="0"/>
                    <w:right w:val="single" w:color="auto" w:sz="4" w:space="0"/>
                  </w:tcBorders>
                  <w:vAlign w:val="center"/>
                </w:tcPr>
                <w:p w14:paraId="35277A90">
                  <w:pPr>
                    <w:pStyle w:val="41"/>
                    <w:rPr>
                      <w:rFonts w:hint="default" w:ascii="Times New Roman" w:hAnsi="Times New Roman" w:eastAsia="宋体" w:cs="Times New Roman"/>
                      <w:color w:val="FF0000"/>
                      <w:sz w:val="18"/>
                      <w:szCs w:val="18"/>
                      <w:highlight w:val="none"/>
                      <w:lang w:eastAsia="zh-CN"/>
                    </w:rPr>
                  </w:pPr>
                  <w:r>
                    <w:rPr>
                      <w:rFonts w:hint="eastAsia" w:ascii="Times New Roman" w:hAnsi="Times New Roman" w:cs="Times New Roman"/>
                      <w:color w:val="FF0000"/>
                      <w:sz w:val="18"/>
                      <w:szCs w:val="18"/>
                      <w:highlight w:val="none"/>
                      <w:lang w:val="en-US" w:eastAsia="zh-CN"/>
                    </w:rPr>
                    <w:t>15</w:t>
                  </w:r>
                </w:p>
              </w:tc>
              <w:tc>
                <w:tcPr>
                  <w:tcW w:w="453" w:type="pct"/>
                  <w:tcBorders>
                    <w:top w:val="single" w:color="auto" w:sz="4" w:space="0"/>
                    <w:left w:val="single" w:color="auto" w:sz="4" w:space="0"/>
                    <w:right w:val="single" w:color="auto" w:sz="4" w:space="0"/>
                  </w:tcBorders>
                  <w:shd w:val="clear" w:color="auto" w:fill="auto"/>
                  <w:vAlign w:val="center"/>
                </w:tcPr>
                <w:p w14:paraId="6152ABB1">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59.4</w:t>
                  </w:r>
                </w:p>
              </w:tc>
              <w:tc>
                <w:tcPr>
                  <w:tcW w:w="373" w:type="pct"/>
                  <w:vMerge w:val="restart"/>
                  <w:tcBorders>
                    <w:top w:val="single" w:color="auto" w:sz="4" w:space="0"/>
                    <w:left w:val="single" w:color="auto" w:sz="4" w:space="0"/>
                    <w:right w:val="single" w:color="auto" w:sz="4" w:space="0"/>
                  </w:tcBorders>
                  <w:vAlign w:val="center"/>
                </w:tcPr>
                <w:p w14:paraId="4270B53C">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1</w:t>
                  </w:r>
                </w:p>
              </w:tc>
            </w:tr>
            <w:tr w14:paraId="5B4C0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125EF35D">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6469C004">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507EB55A">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6CB2A2E6">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0F803885">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45656F0C">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46D96711">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632CFC29">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南：</w:t>
                  </w:r>
                  <w:r>
                    <w:rPr>
                      <w:rFonts w:hint="eastAsia" w:ascii="Times New Roman" w:hAnsi="Times New Roman" w:eastAsia="宋体" w:cs="Times New Roman"/>
                      <w:color w:val="auto"/>
                      <w:sz w:val="18"/>
                      <w:szCs w:val="18"/>
                      <w:highlight w:val="none"/>
                      <w:lang w:val="en-US" w:eastAsia="zh-CN"/>
                    </w:rPr>
                    <w:t>18</w:t>
                  </w:r>
                </w:p>
              </w:tc>
              <w:tc>
                <w:tcPr>
                  <w:tcW w:w="455" w:type="pct"/>
                  <w:tcBorders>
                    <w:top w:val="single" w:color="auto" w:sz="4" w:space="0"/>
                    <w:left w:val="single" w:color="auto" w:sz="4" w:space="0"/>
                    <w:bottom w:val="single" w:color="auto" w:sz="4" w:space="0"/>
                    <w:right w:val="single" w:color="auto" w:sz="4" w:space="0"/>
                  </w:tcBorders>
                  <w:vAlign w:val="center"/>
                </w:tcPr>
                <w:p w14:paraId="071E3226">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64.8</w:t>
                  </w:r>
                </w:p>
              </w:tc>
              <w:tc>
                <w:tcPr>
                  <w:tcW w:w="281" w:type="pct"/>
                  <w:vMerge w:val="continue"/>
                  <w:tcBorders>
                    <w:left w:val="single" w:color="auto" w:sz="4" w:space="0"/>
                    <w:right w:val="single" w:color="auto" w:sz="4" w:space="0"/>
                  </w:tcBorders>
                  <w:vAlign w:val="center"/>
                </w:tcPr>
                <w:p w14:paraId="3A2C5EAC">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7BE5CA85">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685983E2">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49.8</w:t>
                  </w:r>
                </w:p>
              </w:tc>
              <w:tc>
                <w:tcPr>
                  <w:tcW w:w="373" w:type="pct"/>
                  <w:vMerge w:val="continue"/>
                  <w:tcBorders>
                    <w:left w:val="single" w:color="auto" w:sz="4" w:space="0"/>
                    <w:right w:val="single" w:color="auto" w:sz="4" w:space="0"/>
                  </w:tcBorders>
                  <w:vAlign w:val="center"/>
                </w:tcPr>
                <w:p w14:paraId="5BA2050B">
                  <w:pPr>
                    <w:pStyle w:val="41"/>
                    <w:rPr>
                      <w:rFonts w:hint="default" w:ascii="Times New Roman" w:hAnsi="Times New Roman" w:eastAsia="宋体" w:cs="Times New Roman"/>
                      <w:color w:val="auto"/>
                      <w:sz w:val="18"/>
                      <w:szCs w:val="18"/>
                      <w:highlight w:val="none"/>
                      <w:lang w:eastAsia="zh-CN"/>
                    </w:rPr>
                  </w:pPr>
                </w:p>
              </w:tc>
            </w:tr>
            <w:tr w14:paraId="78A0B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53B8509B">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317C30FA">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7BE0F30B">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2A1D8310">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36E04FE0">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5419D612">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7472321F">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5BF2091D">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西：</w:t>
                  </w:r>
                  <w:r>
                    <w:rPr>
                      <w:rFonts w:hint="eastAsia" w:ascii="Times New Roman" w:hAnsi="Times New Roman" w:eastAsia="宋体" w:cs="Times New Roman"/>
                      <w:color w:val="auto"/>
                      <w:sz w:val="18"/>
                      <w:szCs w:val="18"/>
                      <w:highlight w:val="none"/>
                      <w:lang w:val="en-US" w:eastAsia="zh-CN"/>
                    </w:rPr>
                    <w:t>34</w:t>
                  </w:r>
                </w:p>
              </w:tc>
              <w:tc>
                <w:tcPr>
                  <w:tcW w:w="455" w:type="pct"/>
                  <w:tcBorders>
                    <w:top w:val="single" w:color="auto" w:sz="4" w:space="0"/>
                    <w:left w:val="single" w:color="auto" w:sz="4" w:space="0"/>
                    <w:bottom w:val="single" w:color="auto" w:sz="4" w:space="0"/>
                    <w:right w:val="single" w:color="auto" w:sz="4" w:space="0"/>
                  </w:tcBorders>
                  <w:vAlign w:val="center"/>
                </w:tcPr>
                <w:p w14:paraId="0C71E5E7">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59.4</w:t>
                  </w:r>
                </w:p>
              </w:tc>
              <w:tc>
                <w:tcPr>
                  <w:tcW w:w="281" w:type="pct"/>
                  <w:vMerge w:val="continue"/>
                  <w:tcBorders>
                    <w:left w:val="single" w:color="auto" w:sz="4" w:space="0"/>
                    <w:right w:val="single" w:color="auto" w:sz="4" w:space="0"/>
                  </w:tcBorders>
                  <w:vAlign w:val="center"/>
                </w:tcPr>
                <w:p w14:paraId="6F23C918">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28B9F46F">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6590B851">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44.4</w:t>
                  </w:r>
                </w:p>
              </w:tc>
              <w:tc>
                <w:tcPr>
                  <w:tcW w:w="373" w:type="pct"/>
                  <w:vMerge w:val="continue"/>
                  <w:tcBorders>
                    <w:left w:val="single" w:color="auto" w:sz="4" w:space="0"/>
                    <w:right w:val="single" w:color="auto" w:sz="4" w:space="0"/>
                  </w:tcBorders>
                  <w:vAlign w:val="center"/>
                </w:tcPr>
                <w:p w14:paraId="12766AD5">
                  <w:pPr>
                    <w:pStyle w:val="41"/>
                    <w:rPr>
                      <w:rFonts w:hint="default" w:ascii="Times New Roman" w:hAnsi="Times New Roman" w:eastAsia="宋体" w:cs="Times New Roman"/>
                      <w:color w:val="auto"/>
                      <w:sz w:val="18"/>
                      <w:szCs w:val="18"/>
                      <w:highlight w:val="none"/>
                      <w:lang w:eastAsia="zh-CN"/>
                    </w:rPr>
                  </w:pPr>
                </w:p>
              </w:tc>
            </w:tr>
            <w:tr w14:paraId="144DE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063E8FFF">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bottom w:val="single" w:color="auto" w:sz="4" w:space="0"/>
                    <w:right w:val="single" w:color="auto" w:sz="4" w:space="0"/>
                  </w:tcBorders>
                  <w:tcMar>
                    <w:left w:w="57" w:type="dxa"/>
                    <w:right w:w="57" w:type="dxa"/>
                  </w:tcMar>
                  <w:vAlign w:val="center"/>
                </w:tcPr>
                <w:p w14:paraId="2EB35651">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bottom w:val="single" w:color="auto" w:sz="4" w:space="0"/>
                    <w:right w:val="single" w:color="auto" w:sz="4" w:space="0"/>
                  </w:tcBorders>
                  <w:vAlign w:val="center"/>
                </w:tcPr>
                <w:p w14:paraId="411BF6DF">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4EA14974">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bottom w:val="single" w:color="auto" w:sz="4" w:space="0"/>
                    <w:right w:val="single" w:color="auto" w:sz="4" w:space="0"/>
                  </w:tcBorders>
                  <w:vAlign w:val="center"/>
                </w:tcPr>
                <w:p w14:paraId="43EBCBCB">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bottom w:val="single" w:color="auto" w:sz="4" w:space="0"/>
                    <w:right w:val="single" w:color="auto" w:sz="4" w:space="0"/>
                  </w:tcBorders>
                  <w:vAlign w:val="center"/>
                </w:tcPr>
                <w:p w14:paraId="2F4B5ADA">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bottom w:val="single" w:color="auto" w:sz="4" w:space="0"/>
                    <w:right w:val="single" w:color="auto" w:sz="4" w:space="0"/>
                  </w:tcBorders>
                  <w:vAlign w:val="center"/>
                </w:tcPr>
                <w:p w14:paraId="347921B7">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bottom w:val="single" w:color="auto" w:sz="4" w:space="0"/>
                    <w:right w:val="single" w:color="auto" w:sz="4" w:space="0"/>
                  </w:tcBorders>
                  <w:vAlign w:val="center"/>
                </w:tcPr>
                <w:p w14:paraId="5EA144D6">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北：</w:t>
                  </w:r>
                  <w:r>
                    <w:rPr>
                      <w:rFonts w:hint="eastAsia" w:ascii="Times New Roman" w:hAnsi="Times New Roman" w:eastAsia="宋体" w:cs="Times New Roman"/>
                      <w:color w:val="auto"/>
                      <w:sz w:val="18"/>
                      <w:szCs w:val="18"/>
                      <w:highlight w:val="none"/>
                      <w:lang w:val="en-US" w:eastAsia="zh-CN"/>
                    </w:rPr>
                    <w:t>18</w:t>
                  </w:r>
                </w:p>
              </w:tc>
              <w:tc>
                <w:tcPr>
                  <w:tcW w:w="455" w:type="pct"/>
                  <w:tcBorders>
                    <w:top w:val="single" w:color="auto" w:sz="4" w:space="0"/>
                    <w:left w:val="single" w:color="auto" w:sz="4" w:space="0"/>
                    <w:bottom w:val="single" w:color="auto" w:sz="4" w:space="0"/>
                    <w:right w:val="single" w:color="auto" w:sz="4" w:space="0"/>
                  </w:tcBorders>
                  <w:vAlign w:val="center"/>
                </w:tcPr>
                <w:p w14:paraId="7C0AE399">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64.8</w:t>
                  </w:r>
                </w:p>
              </w:tc>
              <w:tc>
                <w:tcPr>
                  <w:tcW w:w="281" w:type="pct"/>
                  <w:vMerge w:val="continue"/>
                  <w:tcBorders>
                    <w:left w:val="single" w:color="auto" w:sz="4" w:space="0"/>
                    <w:bottom w:val="single" w:color="auto" w:sz="4" w:space="0"/>
                    <w:right w:val="single" w:color="auto" w:sz="4" w:space="0"/>
                  </w:tcBorders>
                  <w:vAlign w:val="center"/>
                </w:tcPr>
                <w:p w14:paraId="0DFD665D">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bottom w:val="single" w:color="auto" w:sz="4" w:space="0"/>
                    <w:right w:val="single" w:color="auto" w:sz="4" w:space="0"/>
                  </w:tcBorders>
                  <w:vAlign w:val="center"/>
                </w:tcPr>
                <w:p w14:paraId="4EA60770">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bottom w:val="single" w:color="auto" w:sz="4" w:space="0"/>
                    <w:right w:val="single" w:color="auto" w:sz="4" w:space="0"/>
                  </w:tcBorders>
                  <w:shd w:val="clear" w:color="auto" w:fill="auto"/>
                  <w:vAlign w:val="center"/>
                </w:tcPr>
                <w:p w14:paraId="66DE0AC4">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49.8</w:t>
                  </w:r>
                </w:p>
              </w:tc>
              <w:tc>
                <w:tcPr>
                  <w:tcW w:w="373" w:type="pct"/>
                  <w:vMerge w:val="continue"/>
                  <w:tcBorders>
                    <w:left w:val="single" w:color="auto" w:sz="4" w:space="0"/>
                    <w:bottom w:val="single" w:color="auto" w:sz="4" w:space="0"/>
                    <w:right w:val="single" w:color="auto" w:sz="4" w:space="0"/>
                  </w:tcBorders>
                  <w:vAlign w:val="center"/>
                </w:tcPr>
                <w:p w14:paraId="5E33C0B7">
                  <w:pPr>
                    <w:pStyle w:val="41"/>
                    <w:rPr>
                      <w:rFonts w:hint="default" w:ascii="Times New Roman" w:hAnsi="Times New Roman" w:eastAsia="宋体" w:cs="Times New Roman"/>
                      <w:color w:val="auto"/>
                      <w:sz w:val="18"/>
                      <w:szCs w:val="18"/>
                      <w:highlight w:val="none"/>
                      <w:lang w:eastAsia="zh-CN"/>
                    </w:rPr>
                  </w:pPr>
                </w:p>
              </w:tc>
            </w:tr>
            <w:tr w14:paraId="7D320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2E2696F7">
                  <w:pPr>
                    <w:pStyle w:val="41"/>
                    <w:rPr>
                      <w:rFonts w:hint="default" w:ascii="Times New Roman" w:hAnsi="Times New Roman" w:eastAsia="宋体" w:cs="Times New Roman"/>
                      <w:color w:val="auto"/>
                      <w:sz w:val="18"/>
                      <w:szCs w:val="18"/>
                      <w:highlight w:val="none"/>
                      <w:lang w:eastAsia="zh-CN"/>
                    </w:rPr>
                  </w:pPr>
                </w:p>
              </w:tc>
              <w:tc>
                <w:tcPr>
                  <w:tcW w:w="376" w:type="pct"/>
                  <w:vMerge w:val="restart"/>
                  <w:tcBorders>
                    <w:top w:val="single" w:color="auto" w:sz="4" w:space="0"/>
                    <w:left w:val="single" w:color="auto" w:sz="4" w:space="0"/>
                    <w:right w:val="single" w:color="auto" w:sz="4" w:space="0"/>
                  </w:tcBorders>
                  <w:tcMar>
                    <w:left w:w="57" w:type="dxa"/>
                    <w:right w:w="57" w:type="dxa"/>
                  </w:tcMar>
                  <w:vAlign w:val="center"/>
                </w:tcPr>
                <w:p w14:paraId="67490B72">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val="en-US" w:eastAsia="zh-CN"/>
                    </w:rPr>
                    <w:t>立铣机</w:t>
                  </w:r>
                </w:p>
              </w:tc>
              <w:tc>
                <w:tcPr>
                  <w:tcW w:w="439" w:type="pct"/>
                  <w:vMerge w:val="restart"/>
                  <w:tcBorders>
                    <w:top w:val="single" w:color="auto" w:sz="4" w:space="0"/>
                    <w:left w:val="single" w:color="auto" w:sz="4" w:space="0"/>
                    <w:right w:val="single" w:color="auto" w:sz="4" w:space="0"/>
                  </w:tcBorders>
                  <w:vAlign w:val="center"/>
                </w:tcPr>
                <w:p w14:paraId="3C677964">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80</w:t>
                  </w:r>
                </w:p>
              </w:tc>
              <w:tc>
                <w:tcPr>
                  <w:tcW w:w="335" w:type="pct"/>
                  <w:vMerge w:val="continue"/>
                  <w:tcBorders>
                    <w:left w:val="single" w:color="auto" w:sz="4" w:space="0"/>
                    <w:right w:val="single" w:color="auto" w:sz="4" w:space="0"/>
                  </w:tcBorders>
                  <w:vAlign w:val="center"/>
                </w:tcPr>
                <w:p w14:paraId="342A00C6">
                  <w:pPr>
                    <w:pStyle w:val="41"/>
                    <w:rPr>
                      <w:rFonts w:hint="default" w:ascii="Times New Roman" w:hAnsi="Times New Roman" w:eastAsia="宋体" w:cs="Times New Roman"/>
                      <w:color w:val="auto"/>
                      <w:sz w:val="18"/>
                      <w:szCs w:val="18"/>
                      <w:highlight w:val="none"/>
                      <w:lang w:val="zh-CN" w:eastAsia="zh-CN"/>
                    </w:rPr>
                  </w:pPr>
                </w:p>
              </w:tc>
              <w:tc>
                <w:tcPr>
                  <w:tcW w:w="348" w:type="pct"/>
                  <w:vMerge w:val="restart"/>
                  <w:tcBorders>
                    <w:top w:val="single" w:color="auto" w:sz="4" w:space="0"/>
                    <w:left w:val="single" w:color="auto" w:sz="4" w:space="0"/>
                    <w:right w:val="single" w:color="auto" w:sz="4" w:space="0"/>
                  </w:tcBorders>
                  <w:vAlign w:val="center"/>
                </w:tcPr>
                <w:p w14:paraId="1BB317C2">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44</w:t>
                  </w:r>
                </w:p>
              </w:tc>
              <w:tc>
                <w:tcPr>
                  <w:tcW w:w="359" w:type="pct"/>
                  <w:vMerge w:val="restart"/>
                  <w:tcBorders>
                    <w:top w:val="single" w:color="auto" w:sz="4" w:space="0"/>
                    <w:left w:val="single" w:color="auto" w:sz="4" w:space="0"/>
                    <w:right w:val="single" w:color="auto" w:sz="4" w:space="0"/>
                  </w:tcBorders>
                  <w:vAlign w:val="center"/>
                </w:tcPr>
                <w:p w14:paraId="5A749D1D">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66</w:t>
                  </w:r>
                </w:p>
              </w:tc>
              <w:tc>
                <w:tcPr>
                  <w:tcW w:w="329" w:type="pct"/>
                  <w:vMerge w:val="restart"/>
                  <w:tcBorders>
                    <w:top w:val="single" w:color="auto" w:sz="4" w:space="0"/>
                    <w:left w:val="single" w:color="auto" w:sz="4" w:space="0"/>
                    <w:right w:val="single" w:color="auto" w:sz="4" w:space="0"/>
                  </w:tcBorders>
                  <w:vAlign w:val="center"/>
                </w:tcPr>
                <w:p w14:paraId="6908A9E0">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1.2</w:t>
                  </w:r>
                </w:p>
              </w:tc>
              <w:tc>
                <w:tcPr>
                  <w:tcW w:w="524" w:type="pct"/>
                  <w:tcBorders>
                    <w:top w:val="single" w:color="auto" w:sz="4" w:space="0"/>
                    <w:left w:val="single" w:color="auto" w:sz="4" w:space="0"/>
                    <w:right w:val="single" w:color="auto" w:sz="4" w:space="0"/>
                  </w:tcBorders>
                  <w:vAlign w:val="center"/>
                </w:tcPr>
                <w:p w14:paraId="6D962347">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东：</w:t>
                  </w:r>
                  <w:r>
                    <w:rPr>
                      <w:rFonts w:hint="eastAsia" w:ascii="Times New Roman" w:hAnsi="Times New Roman" w:eastAsia="宋体" w:cs="Times New Roman"/>
                      <w:color w:val="auto"/>
                      <w:sz w:val="18"/>
                      <w:szCs w:val="18"/>
                      <w:highlight w:val="none"/>
                      <w:lang w:val="en-US" w:eastAsia="zh-CN"/>
                    </w:rPr>
                    <w:t>2</w:t>
                  </w:r>
                </w:p>
              </w:tc>
              <w:tc>
                <w:tcPr>
                  <w:tcW w:w="455" w:type="pct"/>
                  <w:tcBorders>
                    <w:top w:val="single" w:color="auto" w:sz="4" w:space="0"/>
                    <w:left w:val="single" w:color="auto" w:sz="4" w:space="0"/>
                    <w:bottom w:val="single" w:color="auto" w:sz="4" w:space="0"/>
                    <w:right w:val="single" w:color="auto" w:sz="4" w:space="0"/>
                  </w:tcBorders>
                  <w:vAlign w:val="center"/>
                </w:tcPr>
                <w:p w14:paraId="38413210">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73.9</w:t>
                  </w:r>
                </w:p>
              </w:tc>
              <w:tc>
                <w:tcPr>
                  <w:tcW w:w="281" w:type="pct"/>
                  <w:vMerge w:val="restart"/>
                  <w:tcBorders>
                    <w:top w:val="single" w:color="auto" w:sz="4" w:space="0"/>
                    <w:left w:val="single" w:color="auto" w:sz="4" w:space="0"/>
                    <w:right w:val="single" w:color="auto" w:sz="4" w:space="0"/>
                  </w:tcBorders>
                  <w:vAlign w:val="center"/>
                </w:tcPr>
                <w:p w14:paraId="2C7BE97B">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val="en-US" w:eastAsia="zh-CN"/>
                    </w:rPr>
                    <w:t>8</w:t>
                  </w:r>
                  <w:r>
                    <w:rPr>
                      <w:rFonts w:hint="default" w:ascii="Times New Roman" w:hAnsi="Times New Roman" w:eastAsia="宋体" w:cs="Times New Roman"/>
                      <w:color w:val="auto"/>
                      <w:sz w:val="18"/>
                      <w:szCs w:val="18"/>
                      <w:highlight w:val="none"/>
                      <w:lang w:eastAsia="zh-CN"/>
                    </w:rPr>
                    <w:t>h</w:t>
                  </w:r>
                </w:p>
              </w:tc>
              <w:tc>
                <w:tcPr>
                  <w:tcW w:w="422" w:type="pct"/>
                  <w:vMerge w:val="restart"/>
                  <w:tcBorders>
                    <w:top w:val="single" w:color="auto" w:sz="4" w:space="0"/>
                    <w:left w:val="single" w:color="auto" w:sz="4" w:space="0"/>
                    <w:right w:val="single" w:color="auto" w:sz="4" w:space="0"/>
                  </w:tcBorders>
                  <w:vAlign w:val="center"/>
                </w:tcPr>
                <w:p w14:paraId="63C2212A">
                  <w:pPr>
                    <w:pStyle w:val="41"/>
                    <w:rPr>
                      <w:rFonts w:hint="default" w:ascii="Times New Roman" w:hAnsi="Times New Roman" w:eastAsia="宋体" w:cs="Times New Roman"/>
                      <w:color w:val="FF0000"/>
                      <w:sz w:val="18"/>
                      <w:szCs w:val="18"/>
                      <w:highlight w:val="none"/>
                      <w:lang w:eastAsia="zh-CN"/>
                    </w:rPr>
                  </w:pPr>
                  <w:r>
                    <w:rPr>
                      <w:rFonts w:hint="eastAsia" w:ascii="Times New Roman" w:hAnsi="Times New Roman" w:cs="Times New Roman"/>
                      <w:color w:val="FF0000"/>
                      <w:sz w:val="18"/>
                      <w:szCs w:val="18"/>
                      <w:highlight w:val="none"/>
                      <w:lang w:val="en-US" w:eastAsia="zh-CN"/>
                    </w:rPr>
                    <w:t>15</w:t>
                  </w:r>
                </w:p>
              </w:tc>
              <w:tc>
                <w:tcPr>
                  <w:tcW w:w="453" w:type="pct"/>
                  <w:tcBorders>
                    <w:top w:val="single" w:color="auto" w:sz="4" w:space="0"/>
                    <w:left w:val="single" w:color="auto" w:sz="4" w:space="0"/>
                    <w:right w:val="single" w:color="auto" w:sz="4" w:space="0"/>
                  </w:tcBorders>
                  <w:shd w:val="clear" w:color="auto" w:fill="auto"/>
                  <w:vAlign w:val="center"/>
                </w:tcPr>
                <w:p w14:paraId="356862DC">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58.9</w:t>
                  </w:r>
                </w:p>
              </w:tc>
              <w:tc>
                <w:tcPr>
                  <w:tcW w:w="373" w:type="pct"/>
                  <w:vMerge w:val="restart"/>
                  <w:tcBorders>
                    <w:top w:val="single" w:color="auto" w:sz="4" w:space="0"/>
                    <w:left w:val="single" w:color="auto" w:sz="4" w:space="0"/>
                    <w:right w:val="single" w:color="auto" w:sz="4" w:space="0"/>
                  </w:tcBorders>
                  <w:vAlign w:val="center"/>
                </w:tcPr>
                <w:p w14:paraId="14F2E31B">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1</w:t>
                  </w:r>
                </w:p>
              </w:tc>
            </w:tr>
            <w:tr w14:paraId="36E53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5A6FA302">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7D091F33">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479A7C80">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76E75150">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6C580020">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09698E27">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318BA264">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5DA56623">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南：</w:t>
                  </w:r>
                  <w:r>
                    <w:rPr>
                      <w:rFonts w:hint="eastAsia" w:ascii="Times New Roman" w:hAnsi="Times New Roman" w:eastAsia="宋体" w:cs="Times New Roman"/>
                      <w:color w:val="auto"/>
                      <w:sz w:val="18"/>
                      <w:szCs w:val="18"/>
                      <w:highlight w:val="none"/>
                      <w:lang w:val="en-US" w:eastAsia="zh-CN"/>
                    </w:rPr>
                    <w:t>26</w:t>
                  </w:r>
                </w:p>
              </w:tc>
              <w:tc>
                <w:tcPr>
                  <w:tcW w:w="455" w:type="pct"/>
                  <w:tcBorders>
                    <w:top w:val="single" w:color="auto" w:sz="4" w:space="0"/>
                    <w:left w:val="single" w:color="auto" w:sz="4" w:space="0"/>
                    <w:bottom w:val="single" w:color="auto" w:sz="4" w:space="0"/>
                    <w:right w:val="single" w:color="auto" w:sz="4" w:space="0"/>
                  </w:tcBorders>
                  <w:vAlign w:val="center"/>
                </w:tcPr>
                <w:p w14:paraId="0A9C94CF">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51.7</w:t>
                  </w:r>
                </w:p>
              </w:tc>
              <w:tc>
                <w:tcPr>
                  <w:tcW w:w="281" w:type="pct"/>
                  <w:vMerge w:val="continue"/>
                  <w:tcBorders>
                    <w:left w:val="single" w:color="auto" w:sz="4" w:space="0"/>
                    <w:right w:val="single" w:color="auto" w:sz="4" w:space="0"/>
                  </w:tcBorders>
                  <w:vAlign w:val="center"/>
                </w:tcPr>
                <w:p w14:paraId="6F04B611">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0987DED6">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4373DDA7">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36.7</w:t>
                  </w:r>
                </w:p>
              </w:tc>
              <w:tc>
                <w:tcPr>
                  <w:tcW w:w="373" w:type="pct"/>
                  <w:vMerge w:val="continue"/>
                  <w:tcBorders>
                    <w:left w:val="single" w:color="auto" w:sz="4" w:space="0"/>
                    <w:right w:val="single" w:color="auto" w:sz="4" w:space="0"/>
                  </w:tcBorders>
                  <w:vAlign w:val="center"/>
                </w:tcPr>
                <w:p w14:paraId="0836E8EC">
                  <w:pPr>
                    <w:pStyle w:val="41"/>
                    <w:rPr>
                      <w:rFonts w:hint="default" w:ascii="Times New Roman" w:hAnsi="Times New Roman" w:eastAsia="宋体" w:cs="Times New Roman"/>
                      <w:color w:val="auto"/>
                      <w:sz w:val="18"/>
                      <w:szCs w:val="18"/>
                      <w:highlight w:val="none"/>
                      <w:lang w:eastAsia="zh-CN"/>
                    </w:rPr>
                  </w:pPr>
                </w:p>
              </w:tc>
            </w:tr>
            <w:tr w14:paraId="1D0EA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5973F60A">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778821E8">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1C422376">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6B2FA212">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1ADA66F4">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01E4AC54">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3F50A1F8">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51A4F867">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西：</w:t>
                  </w:r>
                  <w:r>
                    <w:rPr>
                      <w:rFonts w:hint="eastAsia" w:ascii="Times New Roman" w:hAnsi="Times New Roman" w:eastAsia="宋体" w:cs="Times New Roman"/>
                      <w:color w:val="auto"/>
                      <w:sz w:val="18"/>
                      <w:szCs w:val="18"/>
                      <w:highlight w:val="none"/>
                      <w:lang w:val="en-US" w:eastAsia="zh-CN"/>
                    </w:rPr>
                    <w:t>38</w:t>
                  </w:r>
                </w:p>
              </w:tc>
              <w:tc>
                <w:tcPr>
                  <w:tcW w:w="455" w:type="pct"/>
                  <w:tcBorders>
                    <w:top w:val="single" w:color="auto" w:sz="4" w:space="0"/>
                    <w:left w:val="single" w:color="auto" w:sz="4" w:space="0"/>
                    <w:bottom w:val="single" w:color="auto" w:sz="4" w:space="0"/>
                    <w:right w:val="single" w:color="auto" w:sz="4" w:space="0"/>
                  </w:tcBorders>
                  <w:vAlign w:val="center"/>
                </w:tcPr>
                <w:p w14:paraId="1645C63B">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48.4</w:t>
                  </w:r>
                </w:p>
              </w:tc>
              <w:tc>
                <w:tcPr>
                  <w:tcW w:w="281" w:type="pct"/>
                  <w:vMerge w:val="continue"/>
                  <w:tcBorders>
                    <w:left w:val="single" w:color="auto" w:sz="4" w:space="0"/>
                    <w:right w:val="single" w:color="auto" w:sz="4" w:space="0"/>
                  </w:tcBorders>
                  <w:vAlign w:val="center"/>
                </w:tcPr>
                <w:p w14:paraId="2C93268C">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1BC5EBD5">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16C8A2BC">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33.4</w:t>
                  </w:r>
                </w:p>
              </w:tc>
              <w:tc>
                <w:tcPr>
                  <w:tcW w:w="373" w:type="pct"/>
                  <w:vMerge w:val="continue"/>
                  <w:tcBorders>
                    <w:left w:val="single" w:color="auto" w:sz="4" w:space="0"/>
                    <w:right w:val="single" w:color="auto" w:sz="4" w:space="0"/>
                  </w:tcBorders>
                  <w:vAlign w:val="center"/>
                </w:tcPr>
                <w:p w14:paraId="26945FE2">
                  <w:pPr>
                    <w:pStyle w:val="41"/>
                    <w:rPr>
                      <w:rFonts w:hint="default" w:ascii="Times New Roman" w:hAnsi="Times New Roman" w:eastAsia="宋体" w:cs="Times New Roman"/>
                      <w:color w:val="auto"/>
                      <w:sz w:val="18"/>
                      <w:szCs w:val="18"/>
                      <w:highlight w:val="none"/>
                      <w:lang w:eastAsia="zh-CN"/>
                    </w:rPr>
                  </w:pPr>
                </w:p>
              </w:tc>
            </w:tr>
            <w:tr w14:paraId="5E190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4FCF5D82">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bottom w:val="single" w:color="auto" w:sz="4" w:space="0"/>
                    <w:right w:val="single" w:color="auto" w:sz="4" w:space="0"/>
                  </w:tcBorders>
                  <w:tcMar>
                    <w:left w:w="57" w:type="dxa"/>
                    <w:right w:w="57" w:type="dxa"/>
                  </w:tcMar>
                  <w:vAlign w:val="center"/>
                </w:tcPr>
                <w:p w14:paraId="050F262D">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bottom w:val="single" w:color="auto" w:sz="4" w:space="0"/>
                    <w:right w:val="single" w:color="auto" w:sz="4" w:space="0"/>
                  </w:tcBorders>
                  <w:vAlign w:val="center"/>
                </w:tcPr>
                <w:p w14:paraId="2E5A045E">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1A06FAF1">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bottom w:val="single" w:color="auto" w:sz="4" w:space="0"/>
                    <w:right w:val="single" w:color="auto" w:sz="4" w:space="0"/>
                  </w:tcBorders>
                  <w:vAlign w:val="center"/>
                </w:tcPr>
                <w:p w14:paraId="3DFA297A">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bottom w:val="single" w:color="auto" w:sz="4" w:space="0"/>
                    <w:right w:val="single" w:color="auto" w:sz="4" w:space="0"/>
                  </w:tcBorders>
                  <w:vAlign w:val="center"/>
                </w:tcPr>
                <w:p w14:paraId="68E900DC">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bottom w:val="single" w:color="auto" w:sz="4" w:space="0"/>
                    <w:right w:val="single" w:color="auto" w:sz="4" w:space="0"/>
                  </w:tcBorders>
                  <w:vAlign w:val="center"/>
                </w:tcPr>
                <w:p w14:paraId="6605899C">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bottom w:val="single" w:color="auto" w:sz="4" w:space="0"/>
                    <w:right w:val="single" w:color="auto" w:sz="4" w:space="0"/>
                  </w:tcBorders>
                  <w:vAlign w:val="center"/>
                </w:tcPr>
                <w:p w14:paraId="3A6D4ADE">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北：</w:t>
                  </w:r>
                  <w:r>
                    <w:rPr>
                      <w:rFonts w:hint="eastAsia" w:ascii="Times New Roman" w:hAnsi="Times New Roman" w:eastAsia="宋体" w:cs="Times New Roman"/>
                      <w:color w:val="auto"/>
                      <w:sz w:val="18"/>
                      <w:szCs w:val="18"/>
                      <w:highlight w:val="none"/>
                      <w:lang w:val="en-US" w:eastAsia="zh-CN"/>
                    </w:rPr>
                    <w:t>10</w:t>
                  </w:r>
                </w:p>
              </w:tc>
              <w:tc>
                <w:tcPr>
                  <w:tcW w:w="455" w:type="pct"/>
                  <w:tcBorders>
                    <w:top w:val="single" w:color="auto" w:sz="4" w:space="0"/>
                    <w:left w:val="single" w:color="auto" w:sz="4" w:space="0"/>
                    <w:bottom w:val="single" w:color="auto" w:sz="4" w:space="0"/>
                    <w:right w:val="single" w:color="auto" w:sz="4" w:space="0"/>
                  </w:tcBorders>
                  <w:vAlign w:val="center"/>
                </w:tcPr>
                <w:p w14:paraId="64C2ABA1">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60</w:t>
                  </w:r>
                </w:p>
              </w:tc>
              <w:tc>
                <w:tcPr>
                  <w:tcW w:w="281" w:type="pct"/>
                  <w:vMerge w:val="continue"/>
                  <w:tcBorders>
                    <w:left w:val="single" w:color="auto" w:sz="4" w:space="0"/>
                    <w:bottom w:val="single" w:color="auto" w:sz="4" w:space="0"/>
                    <w:right w:val="single" w:color="auto" w:sz="4" w:space="0"/>
                  </w:tcBorders>
                  <w:vAlign w:val="center"/>
                </w:tcPr>
                <w:p w14:paraId="28D53139">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bottom w:val="single" w:color="auto" w:sz="4" w:space="0"/>
                    <w:right w:val="single" w:color="auto" w:sz="4" w:space="0"/>
                  </w:tcBorders>
                  <w:vAlign w:val="center"/>
                </w:tcPr>
                <w:p w14:paraId="0EFFCFD8">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bottom w:val="single" w:color="auto" w:sz="4" w:space="0"/>
                    <w:right w:val="single" w:color="auto" w:sz="4" w:space="0"/>
                  </w:tcBorders>
                  <w:shd w:val="clear" w:color="auto" w:fill="auto"/>
                  <w:vAlign w:val="center"/>
                </w:tcPr>
                <w:p w14:paraId="15653B43">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45</w:t>
                  </w:r>
                </w:p>
              </w:tc>
              <w:tc>
                <w:tcPr>
                  <w:tcW w:w="373" w:type="pct"/>
                  <w:vMerge w:val="continue"/>
                  <w:tcBorders>
                    <w:left w:val="single" w:color="auto" w:sz="4" w:space="0"/>
                    <w:bottom w:val="single" w:color="auto" w:sz="4" w:space="0"/>
                    <w:right w:val="single" w:color="auto" w:sz="4" w:space="0"/>
                  </w:tcBorders>
                  <w:vAlign w:val="center"/>
                </w:tcPr>
                <w:p w14:paraId="49C01D88">
                  <w:pPr>
                    <w:pStyle w:val="41"/>
                    <w:rPr>
                      <w:rFonts w:hint="default" w:ascii="Times New Roman" w:hAnsi="Times New Roman" w:eastAsia="宋体" w:cs="Times New Roman"/>
                      <w:color w:val="auto"/>
                      <w:sz w:val="18"/>
                      <w:szCs w:val="18"/>
                      <w:highlight w:val="none"/>
                      <w:lang w:eastAsia="zh-CN"/>
                    </w:rPr>
                  </w:pPr>
                </w:p>
              </w:tc>
            </w:tr>
            <w:tr w14:paraId="53456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3DDE7726">
                  <w:pPr>
                    <w:pStyle w:val="41"/>
                    <w:rPr>
                      <w:rFonts w:hint="default" w:ascii="Times New Roman" w:hAnsi="Times New Roman" w:eastAsia="宋体" w:cs="Times New Roman"/>
                      <w:color w:val="auto"/>
                      <w:sz w:val="18"/>
                      <w:szCs w:val="18"/>
                      <w:highlight w:val="none"/>
                      <w:lang w:eastAsia="zh-CN"/>
                    </w:rPr>
                  </w:pPr>
                </w:p>
              </w:tc>
              <w:tc>
                <w:tcPr>
                  <w:tcW w:w="376" w:type="pct"/>
                  <w:vMerge w:val="restart"/>
                  <w:tcBorders>
                    <w:top w:val="single" w:color="auto" w:sz="4" w:space="0"/>
                    <w:left w:val="single" w:color="auto" w:sz="4" w:space="0"/>
                    <w:right w:val="single" w:color="auto" w:sz="4" w:space="0"/>
                  </w:tcBorders>
                  <w:tcMar>
                    <w:left w:w="57" w:type="dxa"/>
                    <w:right w:w="57" w:type="dxa"/>
                  </w:tcMar>
                  <w:vAlign w:val="center"/>
                </w:tcPr>
                <w:p w14:paraId="4D16365A">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打孔机</w:t>
                  </w:r>
                </w:p>
              </w:tc>
              <w:tc>
                <w:tcPr>
                  <w:tcW w:w="439" w:type="pct"/>
                  <w:vMerge w:val="restart"/>
                  <w:tcBorders>
                    <w:top w:val="single" w:color="auto" w:sz="4" w:space="0"/>
                    <w:left w:val="single" w:color="auto" w:sz="4" w:space="0"/>
                    <w:right w:val="single" w:color="auto" w:sz="4" w:space="0"/>
                  </w:tcBorders>
                  <w:vAlign w:val="center"/>
                </w:tcPr>
                <w:p w14:paraId="0E74C890">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80</w:t>
                  </w:r>
                </w:p>
              </w:tc>
              <w:tc>
                <w:tcPr>
                  <w:tcW w:w="335" w:type="pct"/>
                  <w:vMerge w:val="continue"/>
                  <w:tcBorders>
                    <w:left w:val="single" w:color="auto" w:sz="4" w:space="0"/>
                    <w:right w:val="single" w:color="auto" w:sz="4" w:space="0"/>
                  </w:tcBorders>
                  <w:vAlign w:val="center"/>
                </w:tcPr>
                <w:p w14:paraId="3DF6214B">
                  <w:pPr>
                    <w:pStyle w:val="41"/>
                    <w:rPr>
                      <w:rFonts w:hint="default" w:ascii="Times New Roman" w:hAnsi="Times New Roman" w:eastAsia="宋体" w:cs="Times New Roman"/>
                      <w:color w:val="auto"/>
                      <w:sz w:val="18"/>
                      <w:szCs w:val="18"/>
                      <w:highlight w:val="none"/>
                      <w:lang w:val="zh-CN" w:eastAsia="zh-CN"/>
                    </w:rPr>
                  </w:pPr>
                </w:p>
              </w:tc>
              <w:tc>
                <w:tcPr>
                  <w:tcW w:w="348" w:type="pct"/>
                  <w:vMerge w:val="restart"/>
                  <w:tcBorders>
                    <w:top w:val="single" w:color="auto" w:sz="4" w:space="0"/>
                    <w:left w:val="single" w:color="auto" w:sz="4" w:space="0"/>
                    <w:right w:val="single" w:color="auto" w:sz="4" w:space="0"/>
                  </w:tcBorders>
                  <w:vAlign w:val="center"/>
                </w:tcPr>
                <w:p w14:paraId="12939496">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44</w:t>
                  </w:r>
                </w:p>
              </w:tc>
              <w:tc>
                <w:tcPr>
                  <w:tcW w:w="359" w:type="pct"/>
                  <w:vMerge w:val="restart"/>
                  <w:tcBorders>
                    <w:top w:val="single" w:color="auto" w:sz="4" w:space="0"/>
                    <w:left w:val="single" w:color="auto" w:sz="4" w:space="0"/>
                    <w:right w:val="single" w:color="auto" w:sz="4" w:space="0"/>
                  </w:tcBorders>
                  <w:vAlign w:val="center"/>
                </w:tcPr>
                <w:p w14:paraId="43096228">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70</w:t>
                  </w:r>
                </w:p>
              </w:tc>
              <w:tc>
                <w:tcPr>
                  <w:tcW w:w="329" w:type="pct"/>
                  <w:vMerge w:val="restart"/>
                  <w:tcBorders>
                    <w:top w:val="single" w:color="auto" w:sz="4" w:space="0"/>
                    <w:left w:val="single" w:color="auto" w:sz="4" w:space="0"/>
                    <w:right w:val="single" w:color="auto" w:sz="4" w:space="0"/>
                  </w:tcBorders>
                  <w:vAlign w:val="center"/>
                </w:tcPr>
                <w:p w14:paraId="593863BE">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1.2</w:t>
                  </w:r>
                </w:p>
              </w:tc>
              <w:tc>
                <w:tcPr>
                  <w:tcW w:w="524" w:type="pct"/>
                  <w:tcBorders>
                    <w:top w:val="single" w:color="auto" w:sz="4" w:space="0"/>
                    <w:left w:val="single" w:color="auto" w:sz="4" w:space="0"/>
                    <w:right w:val="single" w:color="auto" w:sz="4" w:space="0"/>
                  </w:tcBorders>
                  <w:vAlign w:val="center"/>
                </w:tcPr>
                <w:p w14:paraId="376CFD8C">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东：</w:t>
                  </w:r>
                  <w:r>
                    <w:rPr>
                      <w:rFonts w:hint="eastAsia" w:ascii="Times New Roman" w:hAnsi="Times New Roman" w:eastAsia="宋体" w:cs="Times New Roman"/>
                      <w:color w:val="auto"/>
                      <w:sz w:val="18"/>
                      <w:szCs w:val="18"/>
                      <w:highlight w:val="none"/>
                      <w:lang w:val="en-US" w:eastAsia="zh-CN"/>
                    </w:rPr>
                    <w:t>2</w:t>
                  </w:r>
                </w:p>
              </w:tc>
              <w:tc>
                <w:tcPr>
                  <w:tcW w:w="455" w:type="pct"/>
                  <w:tcBorders>
                    <w:top w:val="single" w:color="auto" w:sz="4" w:space="0"/>
                    <w:left w:val="single" w:color="auto" w:sz="4" w:space="0"/>
                    <w:bottom w:val="single" w:color="auto" w:sz="4" w:space="0"/>
                    <w:right w:val="single" w:color="auto" w:sz="4" w:space="0"/>
                  </w:tcBorders>
                  <w:vAlign w:val="center"/>
                </w:tcPr>
                <w:p w14:paraId="631CF6A2">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73.9</w:t>
                  </w:r>
                </w:p>
              </w:tc>
              <w:tc>
                <w:tcPr>
                  <w:tcW w:w="281" w:type="pct"/>
                  <w:vMerge w:val="restart"/>
                  <w:tcBorders>
                    <w:top w:val="single" w:color="auto" w:sz="4" w:space="0"/>
                    <w:left w:val="single" w:color="auto" w:sz="4" w:space="0"/>
                    <w:right w:val="single" w:color="auto" w:sz="4" w:space="0"/>
                  </w:tcBorders>
                  <w:shd w:val="clear" w:color="auto" w:fill="auto"/>
                  <w:vAlign w:val="center"/>
                </w:tcPr>
                <w:p w14:paraId="49D35CC7">
                  <w:pPr>
                    <w:pStyle w:val="41"/>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8</w:t>
                  </w:r>
                  <w:r>
                    <w:rPr>
                      <w:rFonts w:hint="default" w:ascii="Times New Roman" w:hAnsi="Times New Roman" w:eastAsia="宋体" w:cs="Times New Roman"/>
                      <w:color w:val="auto"/>
                      <w:sz w:val="18"/>
                      <w:szCs w:val="18"/>
                      <w:highlight w:val="none"/>
                      <w:lang w:eastAsia="zh-CN"/>
                    </w:rPr>
                    <w:t>h</w:t>
                  </w:r>
                </w:p>
              </w:tc>
              <w:tc>
                <w:tcPr>
                  <w:tcW w:w="422" w:type="pct"/>
                  <w:vMerge w:val="restart"/>
                  <w:tcBorders>
                    <w:top w:val="single" w:color="auto" w:sz="4" w:space="0"/>
                    <w:left w:val="single" w:color="auto" w:sz="4" w:space="0"/>
                    <w:right w:val="single" w:color="auto" w:sz="4" w:space="0"/>
                  </w:tcBorders>
                  <w:shd w:val="clear" w:color="auto" w:fill="auto"/>
                  <w:vAlign w:val="center"/>
                </w:tcPr>
                <w:p w14:paraId="2660E1BE">
                  <w:pPr>
                    <w:pStyle w:val="41"/>
                    <w:rPr>
                      <w:rFonts w:hint="default" w:ascii="Times New Roman" w:hAnsi="Times New Roman" w:eastAsia="宋体" w:cs="Times New Roman"/>
                      <w:color w:val="FF0000"/>
                      <w:kern w:val="2"/>
                      <w:sz w:val="18"/>
                      <w:szCs w:val="18"/>
                      <w:highlight w:val="none"/>
                      <w:lang w:val="en-US" w:eastAsia="zh-CN" w:bidi="ar-SA"/>
                    </w:rPr>
                  </w:pPr>
                  <w:r>
                    <w:rPr>
                      <w:rFonts w:hint="eastAsia" w:ascii="Times New Roman" w:hAnsi="Times New Roman" w:cs="Times New Roman"/>
                      <w:color w:val="FF0000"/>
                      <w:sz w:val="18"/>
                      <w:szCs w:val="18"/>
                      <w:highlight w:val="none"/>
                      <w:lang w:val="en-US" w:eastAsia="zh-CN"/>
                    </w:rPr>
                    <w:t>15</w:t>
                  </w:r>
                </w:p>
              </w:tc>
              <w:tc>
                <w:tcPr>
                  <w:tcW w:w="453" w:type="pct"/>
                  <w:tcBorders>
                    <w:top w:val="single" w:color="auto" w:sz="4" w:space="0"/>
                    <w:left w:val="single" w:color="auto" w:sz="4" w:space="0"/>
                    <w:right w:val="single" w:color="auto" w:sz="4" w:space="0"/>
                  </w:tcBorders>
                  <w:shd w:val="clear" w:color="auto" w:fill="auto"/>
                  <w:vAlign w:val="center"/>
                </w:tcPr>
                <w:p w14:paraId="321B0CBB">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58.9</w:t>
                  </w:r>
                </w:p>
              </w:tc>
              <w:tc>
                <w:tcPr>
                  <w:tcW w:w="373" w:type="pct"/>
                  <w:vMerge w:val="restart"/>
                  <w:tcBorders>
                    <w:top w:val="single" w:color="auto" w:sz="4" w:space="0"/>
                    <w:left w:val="single" w:color="auto" w:sz="4" w:space="0"/>
                    <w:right w:val="single" w:color="auto" w:sz="4" w:space="0"/>
                  </w:tcBorders>
                  <w:vAlign w:val="center"/>
                </w:tcPr>
                <w:p w14:paraId="6A6112A7">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1</w:t>
                  </w:r>
                </w:p>
              </w:tc>
            </w:tr>
            <w:tr w14:paraId="447CA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11FF8E1E">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6BE3D0BA">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435A5B36">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58260779">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1688DA3B">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22AE3BBD">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78C92735">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17D399F2">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南：</w:t>
                  </w:r>
                  <w:r>
                    <w:rPr>
                      <w:rFonts w:hint="eastAsia" w:ascii="Times New Roman" w:hAnsi="Times New Roman" w:eastAsia="宋体" w:cs="Times New Roman"/>
                      <w:color w:val="auto"/>
                      <w:sz w:val="18"/>
                      <w:szCs w:val="18"/>
                      <w:highlight w:val="none"/>
                      <w:lang w:val="en-US" w:eastAsia="zh-CN"/>
                    </w:rPr>
                    <w:t>30</w:t>
                  </w:r>
                </w:p>
              </w:tc>
              <w:tc>
                <w:tcPr>
                  <w:tcW w:w="455" w:type="pct"/>
                  <w:tcBorders>
                    <w:top w:val="single" w:color="auto" w:sz="4" w:space="0"/>
                    <w:left w:val="single" w:color="auto" w:sz="4" w:space="0"/>
                    <w:bottom w:val="single" w:color="auto" w:sz="4" w:space="0"/>
                    <w:right w:val="single" w:color="auto" w:sz="4" w:space="0"/>
                  </w:tcBorders>
                  <w:vAlign w:val="center"/>
                </w:tcPr>
                <w:p w14:paraId="1758C524">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50.5</w:t>
                  </w:r>
                </w:p>
              </w:tc>
              <w:tc>
                <w:tcPr>
                  <w:tcW w:w="281" w:type="pct"/>
                  <w:vMerge w:val="continue"/>
                  <w:tcBorders>
                    <w:left w:val="single" w:color="auto" w:sz="4" w:space="0"/>
                    <w:right w:val="single" w:color="auto" w:sz="4" w:space="0"/>
                  </w:tcBorders>
                  <w:vAlign w:val="center"/>
                </w:tcPr>
                <w:p w14:paraId="16E51238">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4DA5BD8C">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4FF69450">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35.5</w:t>
                  </w:r>
                </w:p>
              </w:tc>
              <w:tc>
                <w:tcPr>
                  <w:tcW w:w="373" w:type="pct"/>
                  <w:vMerge w:val="continue"/>
                  <w:tcBorders>
                    <w:left w:val="single" w:color="auto" w:sz="4" w:space="0"/>
                    <w:right w:val="single" w:color="auto" w:sz="4" w:space="0"/>
                  </w:tcBorders>
                  <w:vAlign w:val="center"/>
                </w:tcPr>
                <w:p w14:paraId="5C29FB7C">
                  <w:pPr>
                    <w:pStyle w:val="41"/>
                    <w:rPr>
                      <w:rFonts w:hint="default" w:ascii="Times New Roman" w:hAnsi="Times New Roman" w:eastAsia="宋体" w:cs="Times New Roman"/>
                      <w:color w:val="auto"/>
                      <w:sz w:val="18"/>
                      <w:szCs w:val="18"/>
                      <w:highlight w:val="none"/>
                      <w:lang w:eastAsia="zh-CN"/>
                    </w:rPr>
                  </w:pPr>
                </w:p>
              </w:tc>
            </w:tr>
            <w:tr w14:paraId="780EE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003002C9">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3CD3FDAB">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28207BD6">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669C0513">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4A4E8F7E">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18E6CB31">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42736404">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4EDF5F17">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西：</w:t>
                  </w:r>
                  <w:r>
                    <w:rPr>
                      <w:rFonts w:hint="eastAsia" w:ascii="Times New Roman" w:hAnsi="Times New Roman" w:eastAsia="宋体" w:cs="Times New Roman"/>
                      <w:color w:val="auto"/>
                      <w:sz w:val="18"/>
                      <w:szCs w:val="18"/>
                      <w:highlight w:val="none"/>
                      <w:lang w:val="en-US" w:eastAsia="zh-CN"/>
                    </w:rPr>
                    <w:t>38</w:t>
                  </w:r>
                </w:p>
              </w:tc>
              <w:tc>
                <w:tcPr>
                  <w:tcW w:w="455" w:type="pct"/>
                  <w:tcBorders>
                    <w:top w:val="single" w:color="auto" w:sz="4" w:space="0"/>
                    <w:left w:val="single" w:color="auto" w:sz="4" w:space="0"/>
                    <w:bottom w:val="single" w:color="auto" w:sz="4" w:space="0"/>
                    <w:right w:val="single" w:color="auto" w:sz="4" w:space="0"/>
                  </w:tcBorders>
                  <w:vAlign w:val="center"/>
                </w:tcPr>
                <w:p w14:paraId="4B12DC33">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48.4</w:t>
                  </w:r>
                </w:p>
              </w:tc>
              <w:tc>
                <w:tcPr>
                  <w:tcW w:w="281" w:type="pct"/>
                  <w:vMerge w:val="continue"/>
                  <w:tcBorders>
                    <w:left w:val="single" w:color="auto" w:sz="4" w:space="0"/>
                    <w:right w:val="single" w:color="auto" w:sz="4" w:space="0"/>
                  </w:tcBorders>
                  <w:vAlign w:val="center"/>
                </w:tcPr>
                <w:p w14:paraId="26213FC8">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17CFBBA6">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6ED28050">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33.4</w:t>
                  </w:r>
                </w:p>
              </w:tc>
              <w:tc>
                <w:tcPr>
                  <w:tcW w:w="373" w:type="pct"/>
                  <w:vMerge w:val="continue"/>
                  <w:tcBorders>
                    <w:left w:val="single" w:color="auto" w:sz="4" w:space="0"/>
                    <w:right w:val="single" w:color="auto" w:sz="4" w:space="0"/>
                  </w:tcBorders>
                  <w:vAlign w:val="center"/>
                </w:tcPr>
                <w:p w14:paraId="204DD146">
                  <w:pPr>
                    <w:pStyle w:val="41"/>
                    <w:rPr>
                      <w:rFonts w:hint="default" w:ascii="Times New Roman" w:hAnsi="Times New Roman" w:eastAsia="宋体" w:cs="Times New Roman"/>
                      <w:color w:val="auto"/>
                      <w:sz w:val="18"/>
                      <w:szCs w:val="18"/>
                      <w:highlight w:val="none"/>
                      <w:lang w:eastAsia="zh-CN"/>
                    </w:rPr>
                  </w:pPr>
                </w:p>
              </w:tc>
            </w:tr>
            <w:tr w14:paraId="0A3E9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3EE05040">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bottom w:val="single" w:color="auto" w:sz="4" w:space="0"/>
                    <w:right w:val="single" w:color="auto" w:sz="4" w:space="0"/>
                  </w:tcBorders>
                  <w:tcMar>
                    <w:left w:w="57" w:type="dxa"/>
                    <w:right w:w="57" w:type="dxa"/>
                  </w:tcMar>
                  <w:vAlign w:val="center"/>
                </w:tcPr>
                <w:p w14:paraId="5A291A9A">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bottom w:val="single" w:color="auto" w:sz="4" w:space="0"/>
                    <w:right w:val="single" w:color="auto" w:sz="4" w:space="0"/>
                  </w:tcBorders>
                  <w:vAlign w:val="center"/>
                </w:tcPr>
                <w:p w14:paraId="3C1284E8">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17F79F25">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bottom w:val="single" w:color="auto" w:sz="4" w:space="0"/>
                    <w:right w:val="single" w:color="auto" w:sz="4" w:space="0"/>
                  </w:tcBorders>
                  <w:vAlign w:val="center"/>
                </w:tcPr>
                <w:p w14:paraId="4F21AF7B">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bottom w:val="single" w:color="auto" w:sz="4" w:space="0"/>
                    <w:right w:val="single" w:color="auto" w:sz="4" w:space="0"/>
                  </w:tcBorders>
                  <w:vAlign w:val="center"/>
                </w:tcPr>
                <w:p w14:paraId="149AC41A">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bottom w:val="single" w:color="auto" w:sz="4" w:space="0"/>
                    <w:right w:val="single" w:color="auto" w:sz="4" w:space="0"/>
                  </w:tcBorders>
                  <w:vAlign w:val="center"/>
                </w:tcPr>
                <w:p w14:paraId="7DD73A1F">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bottom w:val="single" w:color="auto" w:sz="4" w:space="0"/>
                    <w:right w:val="single" w:color="auto" w:sz="4" w:space="0"/>
                  </w:tcBorders>
                  <w:vAlign w:val="center"/>
                </w:tcPr>
                <w:p w14:paraId="241C3AD5">
                  <w:pPr>
                    <w:pStyle w:val="41"/>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北：</w:t>
                  </w:r>
                  <w:r>
                    <w:rPr>
                      <w:rFonts w:hint="eastAsia" w:ascii="Times New Roman" w:hAnsi="Times New Roman" w:eastAsia="宋体" w:cs="Times New Roman"/>
                      <w:color w:val="auto"/>
                      <w:sz w:val="18"/>
                      <w:szCs w:val="18"/>
                      <w:highlight w:val="none"/>
                      <w:lang w:val="en-US" w:eastAsia="zh-CN"/>
                    </w:rPr>
                    <w:t>6</w:t>
                  </w:r>
                </w:p>
              </w:tc>
              <w:tc>
                <w:tcPr>
                  <w:tcW w:w="455" w:type="pct"/>
                  <w:tcBorders>
                    <w:top w:val="single" w:color="auto" w:sz="4" w:space="0"/>
                    <w:left w:val="single" w:color="auto" w:sz="4" w:space="0"/>
                    <w:bottom w:val="single" w:color="auto" w:sz="4" w:space="0"/>
                    <w:right w:val="single" w:color="auto" w:sz="4" w:space="0"/>
                  </w:tcBorders>
                  <w:vAlign w:val="center"/>
                </w:tcPr>
                <w:p w14:paraId="3B6E35B0">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64.4</w:t>
                  </w:r>
                </w:p>
              </w:tc>
              <w:tc>
                <w:tcPr>
                  <w:tcW w:w="281" w:type="pct"/>
                  <w:vMerge w:val="continue"/>
                  <w:tcBorders>
                    <w:left w:val="single" w:color="auto" w:sz="4" w:space="0"/>
                    <w:bottom w:val="single" w:color="auto" w:sz="4" w:space="0"/>
                    <w:right w:val="single" w:color="auto" w:sz="4" w:space="0"/>
                  </w:tcBorders>
                  <w:vAlign w:val="center"/>
                </w:tcPr>
                <w:p w14:paraId="6ECA1024">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bottom w:val="single" w:color="auto" w:sz="4" w:space="0"/>
                    <w:right w:val="single" w:color="auto" w:sz="4" w:space="0"/>
                  </w:tcBorders>
                  <w:vAlign w:val="center"/>
                </w:tcPr>
                <w:p w14:paraId="1EA776A2">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bottom w:val="single" w:color="auto" w:sz="4" w:space="0"/>
                    <w:right w:val="single" w:color="auto" w:sz="4" w:space="0"/>
                  </w:tcBorders>
                  <w:shd w:val="clear" w:color="auto" w:fill="auto"/>
                  <w:vAlign w:val="center"/>
                </w:tcPr>
                <w:p w14:paraId="7F20C3F3">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49.4</w:t>
                  </w:r>
                </w:p>
              </w:tc>
              <w:tc>
                <w:tcPr>
                  <w:tcW w:w="373" w:type="pct"/>
                  <w:vMerge w:val="continue"/>
                  <w:tcBorders>
                    <w:left w:val="single" w:color="auto" w:sz="4" w:space="0"/>
                    <w:bottom w:val="single" w:color="auto" w:sz="4" w:space="0"/>
                    <w:right w:val="single" w:color="auto" w:sz="4" w:space="0"/>
                  </w:tcBorders>
                  <w:vAlign w:val="center"/>
                </w:tcPr>
                <w:p w14:paraId="46095075">
                  <w:pPr>
                    <w:pStyle w:val="41"/>
                    <w:rPr>
                      <w:rFonts w:hint="default" w:ascii="Times New Roman" w:hAnsi="Times New Roman" w:eastAsia="宋体" w:cs="Times New Roman"/>
                      <w:color w:val="auto"/>
                      <w:sz w:val="18"/>
                      <w:szCs w:val="18"/>
                      <w:highlight w:val="none"/>
                      <w:lang w:eastAsia="zh-CN"/>
                    </w:rPr>
                  </w:pPr>
                </w:p>
              </w:tc>
            </w:tr>
            <w:tr w14:paraId="369F7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727B4500">
                  <w:pPr>
                    <w:pStyle w:val="41"/>
                    <w:rPr>
                      <w:rFonts w:hint="default" w:ascii="Times New Roman" w:hAnsi="Times New Roman" w:eastAsia="宋体" w:cs="Times New Roman"/>
                      <w:color w:val="auto"/>
                      <w:sz w:val="18"/>
                      <w:szCs w:val="18"/>
                      <w:highlight w:val="none"/>
                      <w:lang w:eastAsia="zh-CN"/>
                    </w:rPr>
                  </w:pPr>
                </w:p>
              </w:tc>
              <w:tc>
                <w:tcPr>
                  <w:tcW w:w="376" w:type="pct"/>
                  <w:vMerge w:val="restart"/>
                  <w:tcBorders>
                    <w:top w:val="single" w:color="auto" w:sz="4" w:space="0"/>
                    <w:left w:val="single" w:color="auto" w:sz="4" w:space="0"/>
                    <w:right w:val="single" w:color="auto" w:sz="4" w:space="0"/>
                  </w:tcBorders>
                  <w:tcMar>
                    <w:left w:w="57" w:type="dxa"/>
                    <w:right w:w="57" w:type="dxa"/>
                  </w:tcMar>
                  <w:vAlign w:val="center"/>
                </w:tcPr>
                <w:p w14:paraId="22F71F34">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切割机</w:t>
                  </w:r>
                </w:p>
              </w:tc>
              <w:tc>
                <w:tcPr>
                  <w:tcW w:w="439" w:type="pct"/>
                  <w:vMerge w:val="restart"/>
                  <w:tcBorders>
                    <w:top w:val="single" w:color="auto" w:sz="4" w:space="0"/>
                    <w:left w:val="single" w:color="auto" w:sz="4" w:space="0"/>
                    <w:right w:val="single" w:color="auto" w:sz="4" w:space="0"/>
                  </w:tcBorders>
                  <w:vAlign w:val="center"/>
                </w:tcPr>
                <w:p w14:paraId="667B89A6">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90</w:t>
                  </w:r>
                </w:p>
              </w:tc>
              <w:tc>
                <w:tcPr>
                  <w:tcW w:w="335" w:type="pct"/>
                  <w:vMerge w:val="continue"/>
                  <w:tcBorders>
                    <w:left w:val="single" w:color="auto" w:sz="4" w:space="0"/>
                    <w:right w:val="single" w:color="auto" w:sz="4" w:space="0"/>
                  </w:tcBorders>
                  <w:vAlign w:val="center"/>
                </w:tcPr>
                <w:p w14:paraId="38BBBCF6">
                  <w:pPr>
                    <w:pStyle w:val="41"/>
                    <w:rPr>
                      <w:rFonts w:hint="default" w:ascii="Times New Roman" w:hAnsi="Times New Roman" w:eastAsia="宋体" w:cs="Times New Roman"/>
                      <w:color w:val="auto"/>
                      <w:sz w:val="18"/>
                      <w:szCs w:val="18"/>
                      <w:highlight w:val="none"/>
                      <w:lang w:val="zh-CN" w:eastAsia="zh-CN"/>
                    </w:rPr>
                  </w:pPr>
                </w:p>
              </w:tc>
              <w:tc>
                <w:tcPr>
                  <w:tcW w:w="348" w:type="pct"/>
                  <w:vMerge w:val="restart"/>
                  <w:tcBorders>
                    <w:top w:val="single" w:color="auto" w:sz="4" w:space="0"/>
                    <w:left w:val="single" w:color="auto" w:sz="4" w:space="0"/>
                    <w:right w:val="single" w:color="auto" w:sz="4" w:space="0"/>
                  </w:tcBorders>
                  <w:vAlign w:val="center"/>
                </w:tcPr>
                <w:p w14:paraId="26C4E595">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36</w:t>
                  </w:r>
                </w:p>
              </w:tc>
              <w:tc>
                <w:tcPr>
                  <w:tcW w:w="359" w:type="pct"/>
                  <w:vMerge w:val="restart"/>
                  <w:tcBorders>
                    <w:top w:val="single" w:color="auto" w:sz="4" w:space="0"/>
                    <w:left w:val="single" w:color="auto" w:sz="4" w:space="0"/>
                    <w:right w:val="single" w:color="auto" w:sz="4" w:space="0"/>
                  </w:tcBorders>
                  <w:vAlign w:val="center"/>
                </w:tcPr>
                <w:p w14:paraId="15D93989">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60</w:t>
                  </w:r>
                </w:p>
              </w:tc>
              <w:tc>
                <w:tcPr>
                  <w:tcW w:w="329" w:type="pct"/>
                  <w:vMerge w:val="restart"/>
                  <w:tcBorders>
                    <w:top w:val="single" w:color="auto" w:sz="4" w:space="0"/>
                    <w:left w:val="single" w:color="auto" w:sz="4" w:space="0"/>
                    <w:right w:val="single" w:color="auto" w:sz="4" w:space="0"/>
                  </w:tcBorders>
                  <w:vAlign w:val="center"/>
                </w:tcPr>
                <w:p w14:paraId="69031E7B">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1.2</w:t>
                  </w:r>
                </w:p>
              </w:tc>
              <w:tc>
                <w:tcPr>
                  <w:tcW w:w="524" w:type="pct"/>
                  <w:tcBorders>
                    <w:top w:val="single" w:color="auto" w:sz="4" w:space="0"/>
                    <w:left w:val="single" w:color="auto" w:sz="4" w:space="0"/>
                    <w:right w:val="single" w:color="auto" w:sz="4" w:space="0"/>
                  </w:tcBorders>
                  <w:vAlign w:val="center"/>
                </w:tcPr>
                <w:p w14:paraId="3A89F82C">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东：</w:t>
                  </w:r>
                  <w:r>
                    <w:rPr>
                      <w:rFonts w:hint="eastAsia" w:ascii="Times New Roman" w:hAnsi="Times New Roman" w:eastAsia="宋体" w:cs="Times New Roman"/>
                      <w:color w:val="auto"/>
                      <w:sz w:val="18"/>
                      <w:szCs w:val="18"/>
                      <w:highlight w:val="none"/>
                      <w:lang w:val="en-US" w:eastAsia="zh-CN"/>
                    </w:rPr>
                    <w:t>10</w:t>
                  </w:r>
                </w:p>
              </w:tc>
              <w:tc>
                <w:tcPr>
                  <w:tcW w:w="455" w:type="pct"/>
                  <w:tcBorders>
                    <w:top w:val="single" w:color="auto" w:sz="4" w:space="0"/>
                    <w:left w:val="single" w:color="auto" w:sz="4" w:space="0"/>
                    <w:bottom w:val="single" w:color="auto" w:sz="4" w:space="0"/>
                    <w:right w:val="single" w:color="auto" w:sz="4" w:space="0"/>
                  </w:tcBorders>
                  <w:vAlign w:val="center"/>
                </w:tcPr>
                <w:p w14:paraId="4444C968">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70</w:t>
                  </w:r>
                </w:p>
              </w:tc>
              <w:tc>
                <w:tcPr>
                  <w:tcW w:w="281" w:type="pct"/>
                  <w:vMerge w:val="restart"/>
                  <w:tcBorders>
                    <w:top w:val="single" w:color="auto" w:sz="4" w:space="0"/>
                    <w:left w:val="single" w:color="auto" w:sz="4" w:space="0"/>
                    <w:right w:val="single" w:color="auto" w:sz="4" w:space="0"/>
                  </w:tcBorders>
                  <w:shd w:val="clear" w:color="auto" w:fill="auto"/>
                  <w:vAlign w:val="center"/>
                </w:tcPr>
                <w:p w14:paraId="09297ABC">
                  <w:pPr>
                    <w:pStyle w:val="41"/>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8</w:t>
                  </w:r>
                  <w:r>
                    <w:rPr>
                      <w:rFonts w:hint="default" w:ascii="Times New Roman" w:hAnsi="Times New Roman" w:eastAsia="宋体" w:cs="Times New Roman"/>
                      <w:color w:val="auto"/>
                      <w:sz w:val="18"/>
                      <w:szCs w:val="18"/>
                      <w:highlight w:val="none"/>
                      <w:lang w:eastAsia="zh-CN"/>
                    </w:rPr>
                    <w:t>h</w:t>
                  </w:r>
                </w:p>
              </w:tc>
              <w:tc>
                <w:tcPr>
                  <w:tcW w:w="422" w:type="pct"/>
                  <w:vMerge w:val="restart"/>
                  <w:tcBorders>
                    <w:top w:val="single" w:color="auto" w:sz="4" w:space="0"/>
                    <w:left w:val="single" w:color="auto" w:sz="4" w:space="0"/>
                    <w:right w:val="single" w:color="auto" w:sz="4" w:space="0"/>
                  </w:tcBorders>
                  <w:shd w:val="clear" w:color="auto" w:fill="auto"/>
                  <w:vAlign w:val="center"/>
                </w:tcPr>
                <w:p w14:paraId="32146D8D">
                  <w:pPr>
                    <w:pStyle w:val="41"/>
                    <w:rPr>
                      <w:rFonts w:hint="default" w:ascii="Times New Roman" w:hAnsi="Times New Roman" w:eastAsia="宋体" w:cs="Times New Roman"/>
                      <w:color w:val="FF0000"/>
                      <w:kern w:val="2"/>
                      <w:sz w:val="18"/>
                      <w:szCs w:val="18"/>
                      <w:highlight w:val="none"/>
                      <w:lang w:val="en-US" w:eastAsia="zh-CN" w:bidi="ar-SA"/>
                    </w:rPr>
                  </w:pPr>
                  <w:r>
                    <w:rPr>
                      <w:rFonts w:hint="eastAsia" w:ascii="Times New Roman" w:hAnsi="Times New Roman" w:cs="Times New Roman"/>
                      <w:color w:val="FF0000"/>
                      <w:sz w:val="18"/>
                      <w:szCs w:val="18"/>
                      <w:highlight w:val="none"/>
                      <w:lang w:val="en-US" w:eastAsia="zh-CN"/>
                    </w:rPr>
                    <w:t>15</w:t>
                  </w:r>
                </w:p>
              </w:tc>
              <w:tc>
                <w:tcPr>
                  <w:tcW w:w="453" w:type="pct"/>
                  <w:tcBorders>
                    <w:top w:val="single" w:color="auto" w:sz="4" w:space="0"/>
                    <w:left w:val="single" w:color="auto" w:sz="4" w:space="0"/>
                    <w:right w:val="single" w:color="auto" w:sz="4" w:space="0"/>
                  </w:tcBorders>
                  <w:shd w:val="clear" w:color="auto" w:fill="auto"/>
                  <w:vAlign w:val="center"/>
                </w:tcPr>
                <w:p w14:paraId="385AB401">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55</w:t>
                  </w:r>
                </w:p>
              </w:tc>
              <w:tc>
                <w:tcPr>
                  <w:tcW w:w="373" w:type="pct"/>
                  <w:vMerge w:val="restart"/>
                  <w:tcBorders>
                    <w:top w:val="single" w:color="auto" w:sz="4" w:space="0"/>
                    <w:left w:val="single" w:color="auto" w:sz="4" w:space="0"/>
                    <w:right w:val="single" w:color="auto" w:sz="4" w:space="0"/>
                  </w:tcBorders>
                  <w:vAlign w:val="center"/>
                </w:tcPr>
                <w:p w14:paraId="6512F63B">
                  <w:pPr>
                    <w:pStyle w:val="41"/>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1</w:t>
                  </w:r>
                </w:p>
              </w:tc>
            </w:tr>
            <w:tr w14:paraId="36A23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5AD63B3C">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137C56C6">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7436171E">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55C46F15">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6627F9F7">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34612006">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6086660F">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2A8694DA">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南：</w:t>
                  </w:r>
                  <w:r>
                    <w:rPr>
                      <w:rFonts w:hint="eastAsia" w:ascii="Times New Roman" w:hAnsi="Times New Roman" w:eastAsia="宋体" w:cs="Times New Roman"/>
                      <w:color w:val="auto"/>
                      <w:sz w:val="18"/>
                      <w:szCs w:val="18"/>
                      <w:highlight w:val="none"/>
                      <w:lang w:val="en-US" w:eastAsia="zh-CN"/>
                    </w:rPr>
                    <w:t>20</w:t>
                  </w:r>
                </w:p>
              </w:tc>
              <w:tc>
                <w:tcPr>
                  <w:tcW w:w="455" w:type="pct"/>
                  <w:tcBorders>
                    <w:top w:val="single" w:color="auto" w:sz="4" w:space="0"/>
                    <w:left w:val="single" w:color="auto" w:sz="4" w:space="0"/>
                    <w:bottom w:val="single" w:color="auto" w:sz="4" w:space="0"/>
                    <w:right w:val="single" w:color="auto" w:sz="4" w:space="0"/>
                  </w:tcBorders>
                  <w:vAlign w:val="center"/>
                </w:tcPr>
                <w:p w14:paraId="2DFA41BD">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63.7</w:t>
                  </w:r>
                </w:p>
              </w:tc>
              <w:tc>
                <w:tcPr>
                  <w:tcW w:w="281" w:type="pct"/>
                  <w:vMerge w:val="continue"/>
                  <w:tcBorders>
                    <w:left w:val="single" w:color="auto" w:sz="4" w:space="0"/>
                    <w:right w:val="single" w:color="auto" w:sz="4" w:space="0"/>
                  </w:tcBorders>
                  <w:vAlign w:val="center"/>
                </w:tcPr>
                <w:p w14:paraId="05F3184C">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38C60548">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412BFF8A">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48.7</w:t>
                  </w:r>
                </w:p>
              </w:tc>
              <w:tc>
                <w:tcPr>
                  <w:tcW w:w="373" w:type="pct"/>
                  <w:vMerge w:val="continue"/>
                  <w:tcBorders>
                    <w:left w:val="single" w:color="auto" w:sz="4" w:space="0"/>
                    <w:right w:val="single" w:color="auto" w:sz="4" w:space="0"/>
                  </w:tcBorders>
                  <w:vAlign w:val="center"/>
                </w:tcPr>
                <w:p w14:paraId="603CAC6E">
                  <w:pPr>
                    <w:pStyle w:val="41"/>
                    <w:rPr>
                      <w:rFonts w:hint="default" w:ascii="Times New Roman" w:hAnsi="Times New Roman" w:eastAsia="宋体" w:cs="Times New Roman"/>
                      <w:color w:val="auto"/>
                      <w:sz w:val="18"/>
                      <w:szCs w:val="18"/>
                      <w:highlight w:val="none"/>
                      <w:lang w:eastAsia="zh-CN"/>
                    </w:rPr>
                  </w:pPr>
                </w:p>
              </w:tc>
            </w:tr>
            <w:tr w14:paraId="4023D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5297C0A5">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2960FE86">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507E4CE1">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22B60368">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2A614060">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13CF5EEA">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1E43BEE9">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6D0198D5">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西：</w:t>
                  </w:r>
                  <w:r>
                    <w:rPr>
                      <w:rFonts w:hint="eastAsia" w:ascii="Times New Roman" w:hAnsi="Times New Roman" w:eastAsia="宋体" w:cs="Times New Roman"/>
                      <w:color w:val="auto"/>
                      <w:sz w:val="18"/>
                      <w:szCs w:val="18"/>
                      <w:highlight w:val="none"/>
                      <w:lang w:val="en-US" w:eastAsia="zh-CN"/>
                    </w:rPr>
                    <w:t>30</w:t>
                  </w:r>
                </w:p>
              </w:tc>
              <w:tc>
                <w:tcPr>
                  <w:tcW w:w="455" w:type="pct"/>
                  <w:tcBorders>
                    <w:top w:val="single" w:color="auto" w:sz="4" w:space="0"/>
                    <w:left w:val="single" w:color="auto" w:sz="4" w:space="0"/>
                    <w:bottom w:val="single" w:color="auto" w:sz="4" w:space="0"/>
                    <w:right w:val="single" w:color="auto" w:sz="4" w:space="0"/>
                  </w:tcBorders>
                  <w:vAlign w:val="center"/>
                </w:tcPr>
                <w:p w14:paraId="26C54070">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60.4</w:t>
                  </w:r>
                </w:p>
              </w:tc>
              <w:tc>
                <w:tcPr>
                  <w:tcW w:w="281" w:type="pct"/>
                  <w:vMerge w:val="continue"/>
                  <w:tcBorders>
                    <w:left w:val="single" w:color="auto" w:sz="4" w:space="0"/>
                    <w:right w:val="single" w:color="auto" w:sz="4" w:space="0"/>
                  </w:tcBorders>
                  <w:vAlign w:val="center"/>
                </w:tcPr>
                <w:p w14:paraId="7DA74CE0">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134AF7AF">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6FA83CF7">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45.4</w:t>
                  </w:r>
                </w:p>
              </w:tc>
              <w:tc>
                <w:tcPr>
                  <w:tcW w:w="373" w:type="pct"/>
                  <w:vMerge w:val="continue"/>
                  <w:tcBorders>
                    <w:left w:val="single" w:color="auto" w:sz="4" w:space="0"/>
                    <w:right w:val="single" w:color="auto" w:sz="4" w:space="0"/>
                  </w:tcBorders>
                  <w:vAlign w:val="center"/>
                </w:tcPr>
                <w:p w14:paraId="0E70E3F2">
                  <w:pPr>
                    <w:pStyle w:val="41"/>
                    <w:rPr>
                      <w:rFonts w:hint="default" w:ascii="Times New Roman" w:hAnsi="Times New Roman" w:eastAsia="宋体" w:cs="Times New Roman"/>
                      <w:color w:val="auto"/>
                      <w:sz w:val="18"/>
                      <w:szCs w:val="18"/>
                      <w:highlight w:val="none"/>
                      <w:lang w:eastAsia="zh-CN"/>
                    </w:rPr>
                  </w:pPr>
                </w:p>
              </w:tc>
            </w:tr>
            <w:tr w14:paraId="48EBB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7" w:type="pct"/>
                  <w:vMerge w:val="continue"/>
                  <w:tcBorders>
                    <w:left w:val="single" w:color="auto" w:sz="4" w:space="0"/>
                    <w:right w:val="single" w:color="auto" w:sz="4" w:space="0"/>
                  </w:tcBorders>
                  <w:tcMar>
                    <w:left w:w="57" w:type="dxa"/>
                    <w:right w:w="57" w:type="dxa"/>
                  </w:tcMar>
                  <w:vAlign w:val="center"/>
                </w:tcPr>
                <w:p w14:paraId="0D4B22DE">
                  <w:pPr>
                    <w:pStyle w:val="41"/>
                    <w:rPr>
                      <w:rFonts w:hint="default" w:ascii="Times New Roman" w:hAnsi="Times New Roman" w:eastAsia="宋体" w:cs="Times New Roman"/>
                      <w:color w:val="auto"/>
                      <w:sz w:val="18"/>
                      <w:szCs w:val="18"/>
                      <w:highlight w:val="none"/>
                      <w:lang w:eastAsia="zh-CN"/>
                    </w:rPr>
                  </w:pPr>
                </w:p>
              </w:tc>
              <w:tc>
                <w:tcPr>
                  <w:tcW w:w="376" w:type="pct"/>
                  <w:vMerge w:val="continue"/>
                  <w:tcBorders>
                    <w:left w:val="single" w:color="auto" w:sz="4" w:space="0"/>
                    <w:right w:val="single" w:color="auto" w:sz="4" w:space="0"/>
                  </w:tcBorders>
                  <w:tcMar>
                    <w:left w:w="57" w:type="dxa"/>
                    <w:right w:w="57" w:type="dxa"/>
                  </w:tcMar>
                  <w:vAlign w:val="center"/>
                </w:tcPr>
                <w:p w14:paraId="3910FFD4">
                  <w:pPr>
                    <w:pStyle w:val="41"/>
                    <w:rPr>
                      <w:rFonts w:hint="default" w:ascii="Times New Roman" w:hAnsi="Times New Roman" w:eastAsia="宋体" w:cs="Times New Roman"/>
                      <w:color w:val="auto"/>
                      <w:sz w:val="18"/>
                      <w:szCs w:val="18"/>
                      <w:highlight w:val="none"/>
                      <w:lang w:eastAsia="zh-CN"/>
                    </w:rPr>
                  </w:pPr>
                </w:p>
              </w:tc>
              <w:tc>
                <w:tcPr>
                  <w:tcW w:w="439" w:type="pct"/>
                  <w:vMerge w:val="continue"/>
                  <w:tcBorders>
                    <w:left w:val="single" w:color="auto" w:sz="4" w:space="0"/>
                    <w:right w:val="single" w:color="auto" w:sz="4" w:space="0"/>
                  </w:tcBorders>
                  <w:vAlign w:val="center"/>
                </w:tcPr>
                <w:p w14:paraId="5C0A31CC">
                  <w:pPr>
                    <w:pStyle w:val="41"/>
                    <w:rPr>
                      <w:rFonts w:hint="default" w:ascii="Times New Roman" w:hAnsi="Times New Roman" w:eastAsia="宋体" w:cs="Times New Roman"/>
                      <w:color w:val="auto"/>
                      <w:sz w:val="18"/>
                      <w:szCs w:val="18"/>
                      <w:highlight w:val="none"/>
                      <w:lang w:val="zh-CN" w:eastAsia="zh-CN"/>
                    </w:rPr>
                  </w:pPr>
                </w:p>
              </w:tc>
              <w:tc>
                <w:tcPr>
                  <w:tcW w:w="335" w:type="pct"/>
                  <w:vMerge w:val="continue"/>
                  <w:tcBorders>
                    <w:left w:val="single" w:color="auto" w:sz="4" w:space="0"/>
                    <w:right w:val="single" w:color="auto" w:sz="4" w:space="0"/>
                  </w:tcBorders>
                  <w:vAlign w:val="center"/>
                </w:tcPr>
                <w:p w14:paraId="6650924A">
                  <w:pPr>
                    <w:pStyle w:val="41"/>
                    <w:rPr>
                      <w:rFonts w:hint="default" w:ascii="Times New Roman" w:hAnsi="Times New Roman" w:eastAsia="宋体" w:cs="Times New Roman"/>
                      <w:color w:val="auto"/>
                      <w:sz w:val="18"/>
                      <w:szCs w:val="18"/>
                      <w:highlight w:val="none"/>
                      <w:lang w:val="zh-CN" w:eastAsia="zh-CN"/>
                    </w:rPr>
                  </w:pPr>
                </w:p>
              </w:tc>
              <w:tc>
                <w:tcPr>
                  <w:tcW w:w="348" w:type="pct"/>
                  <w:vMerge w:val="continue"/>
                  <w:tcBorders>
                    <w:left w:val="single" w:color="auto" w:sz="4" w:space="0"/>
                    <w:right w:val="single" w:color="auto" w:sz="4" w:space="0"/>
                  </w:tcBorders>
                  <w:vAlign w:val="center"/>
                </w:tcPr>
                <w:p w14:paraId="32F3B1F6">
                  <w:pPr>
                    <w:pStyle w:val="41"/>
                    <w:rPr>
                      <w:rFonts w:hint="default" w:ascii="Times New Roman" w:hAnsi="Times New Roman" w:eastAsia="宋体" w:cs="Times New Roman"/>
                      <w:color w:val="auto"/>
                      <w:sz w:val="18"/>
                      <w:szCs w:val="18"/>
                      <w:highlight w:val="none"/>
                      <w:lang w:eastAsia="zh-CN"/>
                    </w:rPr>
                  </w:pPr>
                </w:p>
              </w:tc>
              <w:tc>
                <w:tcPr>
                  <w:tcW w:w="359" w:type="pct"/>
                  <w:vMerge w:val="continue"/>
                  <w:tcBorders>
                    <w:left w:val="single" w:color="auto" w:sz="4" w:space="0"/>
                    <w:right w:val="single" w:color="auto" w:sz="4" w:space="0"/>
                  </w:tcBorders>
                  <w:vAlign w:val="center"/>
                </w:tcPr>
                <w:p w14:paraId="27968090">
                  <w:pPr>
                    <w:pStyle w:val="41"/>
                    <w:rPr>
                      <w:rFonts w:hint="default" w:ascii="Times New Roman" w:hAnsi="Times New Roman" w:eastAsia="宋体" w:cs="Times New Roman"/>
                      <w:color w:val="auto"/>
                      <w:sz w:val="18"/>
                      <w:szCs w:val="18"/>
                      <w:highlight w:val="none"/>
                      <w:lang w:eastAsia="zh-CN"/>
                    </w:rPr>
                  </w:pPr>
                </w:p>
              </w:tc>
              <w:tc>
                <w:tcPr>
                  <w:tcW w:w="329" w:type="pct"/>
                  <w:vMerge w:val="continue"/>
                  <w:tcBorders>
                    <w:left w:val="single" w:color="auto" w:sz="4" w:space="0"/>
                    <w:right w:val="single" w:color="auto" w:sz="4" w:space="0"/>
                  </w:tcBorders>
                  <w:vAlign w:val="center"/>
                </w:tcPr>
                <w:p w14:paraId="3B591DDA">
                  <w:pPr>
                    <w:pStyle w:val="41"/>
                    <w:rPr>
                      <w:rFonts w:hint="default" w:ascii="Times New Roman" w:hAnsi="Times New Roman" w:eastAsia="宋体" w:cs="Times New Roman"/>
                      <w:color w:val="auto"/>
                      <w:sz w:val="18"/>
                      <w:szCs w:val="18"/>
                      <w:highlight w:val="none"/>
                      <w:lang w:eastAsia="zh-CN"/>
                    </w:rPr>
                  </w:pPr>
                </w:p>
              </w:tc>
              <w:tc>
                <w:tcPr>
                  <w:tcW w:w="524" w:type="pct"/>
                  <w:tcBorders>
                    <w:left w:val="single" w:color="auto" w:sz="4" w:space="0"/>
                    <w:right w:val="single" w:color="auto" w:sz="4" w:space="0"/>
                  </w:tcBorders>
                  <w:vAlign w:val="center"/>
                </w:tcPr>
                <w:p w14:paraId="4F686963">
                  <w:pPr>
                    <w:pStyle w:val="41"/>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北：</w:t>
                  </w:r>
                  <w:r>
                    <w:rPr>
                      <w:rFonts w:hint="eastAsia" w:ascii="Times New Roman" w:hAnsi="Times New Roman" w:eastAsia="宋体" w:cs="Times New Roman"/>
                      <w:color w:val="auto"/>
                      <w:sz w:val="18"/>
                      <w:szCs w:val="18"/>
                      <w:highlight w:val="none"/>
                      <w:lang w:val="en-US" w:eastAsia="zh-CN"/>
                    </w:rPr>
                    <w:t>16</w:t>
                  </w:r>
                </w:p>
              </w:tc>
              <w:tc>
                <w:tcPr>
                  <w:tcW w:w="455" w:type="pct"/>
                  <w:tcBorders>
                    <w:top w:val="single" w:color="auto" w:sz="4" w:space="0"/>
                    <w:left w:val="single" w:color="auto" w:sz="4" w:space="0"/>
                    <w:bottom w:val="single" w:color="auto" w:sz="4" w:space="0"/>
                    <w:right w:val="single" w:color="auto" w:sz="4" w:space="0"/>
                  </w:tcBorders>
                  <w:vAlign w:val="center"/>
                </w:tcPr>
                <w:p w14:paraId="05B3F22E">
                  <w:pPr>
                    <w:pStyle w:val="4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65.9</w:t>
                  </w:r>
                </w:p>
              </w:tc>
              <w:tc>
                <w:tcPr>
                  <w:tcW w:w="281" w:type="pct"/>
                  <w:vMerge w:val="continue"/>
                  <w:tcBorders>
                    <w:left w:val="single" w:color="auto" w:sz="4" w:space="0"/>
                    <w:right w:val="single" w:color="auto" w:sz="4" w:space="0"/>
                  </w:tcBorders>
                  <w:vAlign w:val="center"/>
                </w:tcPr>
                <w:p w14:paraId="1A83ADC3">
                  <w:pPr>
                    <w:pStyle w:val="41"/>
                    <w:rPr>
                      <w:rFonts w:hint="default" w:ascii="Times New Roman" w:hAnsi="Times New Roman" w:eastAsia="宋体" w:cs="Times New Roman"/>
                      <w:color w:val="auto"/>
                      <w:sz w:val="18"/>
                      <w:szCs w:val="18"/>
                      <w:highlight w:val="none"/>
                      <w:lang w:eastAsia="zh-CN"/>
                    </w:rPr>
                  </w:pPr>
                </w:p>
              </w:tc>
              <w:tc>
                <w:tcPr>
                  <w:tcW w:w="422" w:type="pct"/>
                  <w:vMerge w:val="continue"/>
                  <w:tcBorders>
                    <w:left w:val="single" w:color="auto" w:sz="4" w:space="0"/>
                    <w:right w:val="single" w:color="auto" w:sz="4" w:space="0"/>
                  </w:tcBorders>
                  <w:vAlign w:val="center"/>
                </w:tcPr>
                <w:p w14:paraId="6CDCD609">
                  <w:pPr>
                    <w:pStyle w:val="41"/>
                    <w:rPr>
                      <w:rFonts w:hint="default" w:ascii="Times New Roman" w:hAnsi="Times New Roman" w:eastAsia="宋体" w:cs="Times New Roman"/>
                      <w:color w:val="FF0000"/>
                      <w:sz w:val="18"/>
                      <w:szCs w:val="18"/>
                      <w:highlight w:val="none"/>
                      <w:lang w:eastAsia="zh-CN"/>
                    </w:rPr>
                  </w:pPr>
                </w:p>
              </w:tc>
              <w:tc>
                <w:tcPr>
                  <w:tcW w:w="453" w:type="pct"/>
                  <w:tcBorders>
                    <w:left w:val="single" w:color="auto" w:sz="4" w:space="0"/>
                    <w:right w:val="single" w:color="auto" w:sz="4" w:space="0"/>
                  </w:tcBorders>
                  <w:shd w:val="clear" w:color="auto" w:fill="auto"/>
                  <w:vAlign w:val="center"/>
                </w:tcPr>
                <w:p w14:paraId="2B29B741">
                  <w:pPr>
                    <w:pStyle w:val="41"/>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50.9</w:t>
                  </w:r>
                </w:p>
              </w:tc>
              <w:tc>
                <w:tcPr>
                  <w:tcW w:w="373" w:type="pct"/>
                  <w:vMerge w:val="continue"/>
                  <w:tcBorders>
                    <w:left w:val="single" w:color="auto" w:sz="4" w:space="0"/>
                    <w:right w:val="single" w:color="auto" w:sz="4" w:space="0"/>
                  </w:tcBorders>
                  <w:vAlign w:val="center"/>
                </w:tcPr>
                <w:p w14:paraId="74CB5261">
                  <w:pPr>
                    <w:pStyle w:val="41"/>
                    <w:rPr>
                      <w:rFonts w:hint="default" w:ascii="Times New Roman" w:hAnsi="Times New Roman" w:eastAsia="宋体" w:cs="Times New Roman"/>
                      <w:color w:val="auto"/>
                      <w:sz w:val="18"/>
                      <w:szCs w:val="18"/>
                      <w:highlight w:val="none"/>
                      <w:lang w:eastAsia="zh-CN"/>
                    </w:rPr>
                  </w:pPr>
                </w:p>
              </w:tc>
            </w:tr>
            <w:tr w14:paraId="61881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00" w:type="pct"/>
                  <w:gridSpan w:val="13"/>
                  <w:tcBorders>
                    <w:left w:val="single" w:color="auto" w:sz="4" w:space="0"/>
                    <w:right w:val="single" w:color="auto" w:sz="4" w:space="0"/>
                  </w:tcBorders>
                  <w:tcMar>
                    <w:left w:w="57" w:type="dxa"/>
                    <w:right w:w="57" w:type="dxa"/>
                  </w:tcMar>
                  <w:vAlign w:val="center"/>
                </w:tcPr>
                <w:p w14:paraId="1372C468">
                  <w:pPr>
                    <w:pStyle w:val="41"/>
                    <w:jc w:val="both"/>
                    <w:rPr>
                      <w:rFonts w:hint="default" w:ascii="Times New Roman" w:hAnsi="Times New Roman" w:eastAsia="宋体" w:cs="Times New Roman"/>
                      <w:color w:val="auto"/>
                      <w:sz w:val="18"/>
                      <w:szCs w:val="18"/>
                      <w:highlight w:val="none"/>
                      <w:lang w:eastAsia="zh-CN"/>
                    </w:rPr>
                  </w:pPr>
                  <w:r>
                    <w:rPr>
                      <w:rFonts w:hint="eastAsia" w:asciiTheme="minorEastAsia" w:hAnsiTheme="minorEastAsia" w:eastAsiaTheme="minorEastAsia"/>
                      <w:color w:val="auto"/>
                      <w:sz w:val="20"/>
                      <w:szCs w:val="20"/>
                      <w:highlight w:val="none"/>
                    </w:rPr>
                    <w:t>备</w:t>
                  </w:r>
                  <w:r>
                    <w:rPr>
                      <w:rFonts w:hint="eastAsia" w:ascii="Times New Roman" w:hAnsi="Times New Roman" w:eastAsia="宋体" w:cs="Times New Roman"/>
                      <w:color w:val="auto"/>
                      <w:sz w:val="18"/>
                      <w:szCs w:val="18"/>
                      <w:highlight w:val="none"/>
                      <w:lang w:eastAsia="zh-CN"/>
                    </w:rPr>
                    <w:t>注：①表中坐标以厂区南侧正门中心为坐标原点，正东向为X轴正方向，正北向为Y轴正方向。</w:t>
                  </w:r>
                </w:p>
              </w:tc>
            </w:tr>
          </w:tbl>
          <w:p w14:paraId="7B4914A2">
            <w:pPr>
              <w:pStyle w:val="3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w:t>
            </w:r>
            <w:r>
              <w:rPr>
                <w:rFonts w:hint="eastAsia" w:ascii="Times New Roman" w:hAnsi="Times New Roman" w:cs="Times New Roman"/>
                <w:color w:val="auto"/>
                <w:highlight w:val="none"/>
                <w:lang w:val="en-US" w:eastAsia="zh-CN"/>
              </w:rPr>
              <w:t>29</w:t>
            </w:r>
            <w:r>
              <w:rPr>
                <w:rFonts w:hint="default" w:ascii="Times New Roman" w:hAnsi="Times New Roman" w:cs="Times New Roman"/>
                <w:color w:val="auto"/>
                <w:highlight w:val="none"/>
                <w:lang w:val="en-US" w:eastAsia="zh-CN"/>
              </w:rPr>
              <w:t xml:space="preserve"> 项目主要噪声源距离一览表</w:t>
            </w:r>
          </w:p>
          <w:tbl>
            <w:tblPr>
              <w:tblStyle w:val="29"/>
              <w:tblW w:w="84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5"/>
              <w:gridCol w:w="2641"/>
              <w:gridCol w:w="1195"/>
              <w:gridCol w:w="1288"/>
              <w:gridCol w:w="1288"/>
              <w:gridCol w:w="1278"/>
            </w:tblGrid>
            <w:tr w14:paraId="0ADB2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5" w:type="dxa"/>
                  <w:vMerge w:val="restart"/>
                  <w:vAlign w:val="center"/>
                </w:tcPr>
                <w:p w14:paraId="7B2C694D">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序号</w:t>
                  </w:r>
                </w:p>
              </w:tc>
              <w:tc>
                <w:tcPr>
                  <w:tcW w:w="2641" w:type="dxa"/>
                  <w:vMerge w:val="restart"/>
                  <w:vAlign w:val="center"/>
                </w:tcPr>
                <w:p w14:paraId="71D0AC40">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排放源</w:t>
                  </w:r>
                </w:p>
              </w:tc>
              <w:tc>
                <w:tcPr>
                  <w:tcW w:w="5049" w:type="dxa"/>
                  <w:gridSpan w:val="4"/>
                  <w:vAlign w:val="center"/>
                </w:tcPr>
                <w:p w14:paraId="6D6D0810">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距最近厂界直线距离（m）</w:t>
                  </w:r>
                </w:p>
              </w:tc>
            </w:tr>
            <w:tr w14:paraId="6660B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5" w:type="dxa"/>
                  <w:vMerge w:val="continue"/>
                  <w:vAlign w:val="center"/>
                </w:tcPr>
                <w:p w14:paraId="15957785">
                  <w:pPr>
                    <w:pStyle w:val="41"/>
                    <w:rPr>
                      <w:rFonts w:hint="eastAsia" w:ascii="Times New Roman" w:hAnsi="Times New Roman" w:eastAsia="宋体" w:cs="Times New Roman"/>
                      <w:color w:val="FF0000"/>
                      <w:sz w:val="20"/>
                      <w:szCs w:val="20"/>
                      <w:highlight w:val="none"/>
                      <w:lang w:val="en-US" w:eastAsia="zh-CN"/>
                    </w:rPr>
                  </w:pPr>
                </w:p>
              </w:tc>
              <w:tc>
                <w:tcPr>
                  <w:tcW w:w="2641" w:type="dxa"/>
                  <w:vMerge w:val="continue"/>
                  <w:vAlign w:val="center"/>
                </w:tcPr>
                <w:p w14:paraId="2216E7CF">
                  <w:pPr>
                    <w:pStyle w:val="41"/>
                    <w:rPr>
                      <w:rFonts w:hint="eastAsia" w:ascii="Times New Roman" w:hAnsi="Times New Roman" w:eastAsia="宋体" w:cs="Times New Roman"/>
                      <w:color w:val="FF0000"/>
                      <w:sz w:val="20"/>
                      <w:szCs w:val="20"/>
                      <w:highlight w:val="none"/>
                      <w:lang w:val="en-US" w:eastAsia="zh-CN"/>
                    </w:rPr>
                  </w:pPr>
                </w:p>
              </w:tc>
              <w:tc>
                <w:tcPr>
                  <w:tcW w:w="1195" w:type="dxa"/>
                  <w:vAlign w:val="center"/>
                </w:tcPr>
                <w:p w14:paraId="63C7B668">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东</w:t>
                  </w:r>
                </w:p>
              </w:tc>
              <w:tc>
                <w:tcPr>
                  <w:tcW w:w="1288" w:type="dxa"/>
                  <w:vAlign w:val="center"/>
                </w:tcPr>
                <w:p w14:paraId="7FAD952F">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南</w:t>
                  </w:r>
                </w:p>
              </w:tc>
              <w:tc>
                <w:tcPr>
                  <w:tcW w:w="1288" w:type="dxa"/>
                  <w:vAlign w:val="center"/>
                </w:tcPr>
                <w:p w14:paraId="4141315F">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西</w:t>
                  </w:r>
                </w:p>
              </w:tc>
              <w:tc>
                <w:tcPr>
                  <w:tcW w:w="1278" w:type="dxa"/>
                  <w:vAlign w:val="center"/>
                </w:tcPr>
                <w:p w14:paraId="7D0FE8BE">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北</w:t>
                  </w:r>
                </w:p>
              </w:tc>
            </w:tr>
            <w:tr w14:paraId="3D70D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5" w:type="dxa"/>
                  <w:vAlign w:val="center"/>
                </w:tcPr>
                <w:p w14:paraId="281B48D1">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1</w:t>
                  </w:r>
                </w:p>
              </w:tc>
              <w:tc>
                <w:tcPr>
                  <w:tcW w:w="2641" w:type="dxa"/>
                  <w:vAlign w:val="center"/>
                </w:tcPr>
                <w:p w14:paraId="39C54AB3">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生产车间</w:t>
                  </w:r>
                </w:p>
              </w:tc>
              <w:tc>
                <w:tcPr>
                  <w:tcW w:w="1195" w:type="dxa"/>
                  <w:vAlign w:val="center"/>
                </w:tcPr>
                <w:p w14:paraId="60CF8786">
                  <w:pPr>
                    <w:pStyle w:val="41"/>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w:t>
                  </w:r>
                </w:p>
              </w:tc>
              <w:tc>
                <w:tcPr>
                  <w:tcW w:w="1288" w:type="dxa"/>
                  <w:vAlign w:val="center"/>
                </w:tcPr>
                <w:p w14:paraId="148EF8FF">
                  <w:pPr>
                    <w:pStyle w:val="41"/>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45</w:t>
                  </w:r>
                </w:p>
              </w:tc>
              <w:tc>
                <w:tcPr>
                  <w:tcW w:w="1288" w:type="dxa"/>
                  <w:vAlign w:val="center"/>
                </w:tcPr>
                <w:p w14:paraId="4BF315E5">
                  <w:pPr>
                    <w:pStyle w:val="41"/>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w:t>
                  </w:r>
                </w:p>
              </w:tc>
              <w:tc>
                <w:tcPr>
                  <w:tcW w:w="1278" w:type="dxa"/>
                  <w:vAlign w:val="center"/>
                </w:tcPr>
                <w:p w14:paraId="479BC211">
                  <w:pPr>
                    <w:pStyle w:val="41"/>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190</w:t>
                  </w:r>
                </w:p>
              </w:tc>
            </w:tr>
            <w:tr w14:paraId="13559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5" w:type="dxa"/>
                  <w:gridSpan w:val="6"/>
                  <w:vAlign w:val="center"/>
                </w:tcPr>
                <w:p w14:paraId="617C715E">
                  <w:pPr>
                    <w:pStyle w:val="41"/>
                    <w:jc w:val="both"/>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备注：本项目位于现有企业车间内，所在企业厂区东、西紧邻其他企业建筑。</w:t>
                  </w:r>
                </w:p>
              </w:tc>
            </w:tr>
          </w:tbl>
          <w:p w14:paraId="622D826A">
            <w:pPr>
              <w:pStyle w:val="38"/>
              <w:bidi w:val="0"/>
              <w:rPr>
                <w:color w:val="auto"/>
                <w:highlight w:val="none"/>
              </w:rPr>
            </w:pPr>
            <w:r>
              <w:rPr>
                <w:rFonts w:hint="eastAsia"/>
                <w:b/>
                <w:bCs/>
                <w:color w:val="auto"/>
                <w:highlight w:val="none"/>
              </w:rPr>
              <w:t>1、</w:t>
            </w:r>
            <w:r>
              <w:rPr>
                <w:b/>
                <w:bCs/>
                <w:color w:val="auto"/>
                <w:highlight w:val="none"/>
              </w:rPr>
              <w:t>噪声影响预测分析</w:t>
            </w:r>
          </w:p>
          <w:p w14:paraId="51A510B6">
            <w:pPr>
              <w:pStyle w:val="38"/>
              <w:bidi w:val="0"/>
              <w:rPr>
                <w:color w:val="auto"/>
                <w:highlight w:val="none"/>
              </w:rPr>
            </w:pPr>
            <w:r>
              <w:rPr>
                <w:rFonts w:hint="eastAsia"/>
                <w:color w:val="auto"/>
                <w:highlight w:val="none"/>
              </w:rPr>
              <w:t>按照《环境影响评价技术导则声环境》（HJ2.4-2021）中推荐的模式进行预测，用A声级计算，预测模式如下：</w:t>
            </w:r>
          </w:p>
          <w:p w14:paraId="4A5E3640">
            <w:pPr>
              <w:pStyle w:val="38"/>
              <w:bidi w:val="0"/>
              <w:rPr>
                <w:color w:val="auto"/>
                <w:highlight w:val="none"/>
              </w:rPr>
            </w:pPr>
            <w:r>
              <w:rPr>
                <w:rFonts w:hint="eastAsia"/>
                <w:color w:val="auto"/>
                <w:highlight w:val="none"/>
              </w:rPr>
              <w:t>①室外声源在预测点的声压级计算：</w:t>
            </w:r>
          </w:p>
          <w:p w14:paraId="57108520">
            <w:pPr>
              <w:pStyle w:val="38"/>
              <w:bidi w:val="0"/>
              <w:rPr>
                <w:color w:val="auto"/>
                <w:highlight w:val="none"/>
              </w:rPr>
            </w:pPr>
            <w:r>
              <w:rPr>
                <w:color w:val="auto"/>
                <w:highlight w:val="none"/>
              </w:rPr>
              <w:drawing>
                <wp:anchor distT="0" distB="0" distL="0" distR="0" simplePos="0" relativeHeight="251678720" behindDoc="1" locked="0" layoutInCell="1" allowOverlap="1">
                  <wp:simplePos x="0" y="0"/>
                  <wp:positionH relativeFrom="column">
                    <wp:posOffset>266700</wp:posOffset>
                  </wp:positionH>
                  <wp:positionV relativeFrom="paragraph">
                    <wp:posOffset>19050</wp:posOffset>
                  </wp:positionV>
                  <wp:extent cx="3449955" cy="361315"/>
                  <wp:effectExtent l="0" t="0" r="17145" b="63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37">
                            <a:extLst>
                              <a:ext uri="{28A0092B-C50C-407E-A947-70E740481C1C}">
                                <a14:useLocalDpi xmlns:a14="http://schemas.microsoft.com/office/drawing/2010/main" val="0"/>
                              </a:ext>
                            </a:extLst>
                          </a:blip>
                          <a:srcRect r="19369"/>
                          <a:stretch>
                            <a:fillRect/>
                          </a:stretch>
                        </pic:blipFill>
                        <pic:spPr>
                          <a:xfrm>
                            <a:off x="0" y="0"/>
                            <a:ext cx="3464412" cy="362939"/>
                          </a:xfrm>
                          <a:prstGeom prst="rect">
                            <a:avLst/>
                          </a:prstGeom>
                          <a:noFill/>
                          <a:ln>
                            <a:noFill/>
                          </a:ln>
                        </pic:spPr>
                      </pic:pic>
                    </a:graphicData>
                  </a:graphic>
                </wp:anchor>
              </w:drawing>
            </w:r>
          </w:p>
          <w:p w14:paraId="4E465FAD">
            <w:pPr>
              <w:pStyle w:val="38"/>
              <w:bidi w:val="0"/>
              <w:rPr>
                <w:rFonts w:hint="eastAsia"/>
                <w:color w:val="auto"/>
                <w:highlight w:val="none"/>
              </w:rPr>
            </w:pPr>
          </w:p>
          <w:p w14:paraId="43A05883">
            <w:pPr>
              <w:pStyle w:val="38"/>
              <w:bidi w:val="0"/>
              <w:rPr>
                <w:color w:val="auto"/>
                <w:highlight w:val="none"/>
              </w:rPr>
            </w:pPr>
            <w:r>
              <w:rPr>
                <w:rFonts w:hint="eastAsia"/>
                <w:color w:val="auto"/>
                <w:highlight w:val="none"/>
              </w:rPr>
              <w:t>式中：L</w:t>
            </w:r>
            <w:r>
              <w:rPr>
                <w:rFonts w:hint="eastAsia"/>
                <w:color w:val="auto"/>
                <w:highlight w:val="none"/>
                <w:vertAlign w:val="subscript"/>
              </w:rPr>
              <w:t>p</w:t>
            </w:r>
            <w:r>
              <w:rPr>
                <w:rFonts w:hint="eastAsia"/>
                <w:color w:val="auto"/>
                <w:highlight w:val="none"/>
              </w:rPr>
              <w:t>（r）——预测点处的声压级，dB；</w:t>
            </w:r>
          </w:p>
          <w:p w14:paraId="6740A286">
            <w:pPr>
              <w:pStyle w:val="38"/>
              <w:bidi w:val="0"/>
              <w:rPr>
                <w:color w:val="auto"/>
                <w:highlight w:val="none"/>
              </w:rPr>
            </w:pPr>
            <w:r>
              <w:rPr>
                <w:rFonts w:hint="eastAsia"/>
                <w:color w:val="auto"/>
                <w:highlight w:val="none"/>
              </w:rPr>
              <w:t>L</w:t>
            </w:r>
            <w:r>
              <w:rPr>
                <w:rFonts w:hint="eastAsia"/>
                <w:color w:val="auto"/>
                <w:highlight w:val="none"/>
                <w:vertAlign w:val="subscript"/>
              </w:rPr>
              <w:t>p（r0）</w:t>
            </w:r>
            <w:r>
              <w:rPr>
                <w:rFonts w:hint="eastAsia"/>
                <w:color w:val="auto"/>
                <w:highlight w:val="none"/>
              </w:rPr>
              <w:t>——参考位置ro处声压级，dB；</w:t>
            </w:r>
          </w:p>
          <w:p w14:paraId="00E1FAF9">
            <w:pPr>
              <w:pStyle w:val="38"/>
              <w:bidi w:val="0"/>
              <w:rPr>
                <w:color w:val="auto"/>
                <w:highlight w:val="none"/>
              </w:rPr>
            </w:pPr>
            <w:r>
              <w:rPr>
                <w:rFonts w:hint="eastAsia"/>
                <w:color w:val="auto"/>
                <w:highlight w:val="none"/>
              </w:rPr>
              <w:t>A</w:t>
            </w:r>
            <w:r>
              <w:rPr>
                <w:rFonts w:hint="eastAsia"/>
                <w:color w:val="auto"/>
                <w:highlight w:val="none"/>
                <w:vertAlign w:val="subscript"/>
              </w:rPr>
              <w:t>div</w:t>
            </w:r>
            <w:r>
              <w:rPr>
                <w:rFonts w:hint="eastAsia"/>
                <w:color w:val="auto"/>
                <w:highlight w:val="none"/>
              </w:rPr>
              <w:t>——几何发散引起的衰减，dB；</w:t>
            </w:r>
          </w:p>
          <w:p w14:paraId="109CA1BE">
            <w:pPr>
              <w:pStyle w:val="38"/>
              <w:bidi w:val="0"/>
              <w:rPr>
                <w:color w:val="auto"/>
                <w:highlight w:val="none"/>
              </w:rPr>
            </w:pPr>
            <w:r>
              <w:rPr>
                <w:rFonts w:hint="eastAsia"/>
                <w:color w:val="auto"/>
                <w:highlight w:val="none"/>
              </w:rPr>
              <w:t>A</w:t>
            </w:r>
            <w:r>
              <w:rPr>
                <w:rFonts w:hint="eastAsia"/>
                <w:color w:val="auto"/>
                <w:highlight w:val="none"/>
                <w:vertAlign w:val="subscript"/>
              </w:rPr>
              <w:t>bar</w:t>
            </w:r>
            <w:r>
              <w:rPr>
                <w:rFonts w:hint="eastAsia"/>
                <w:color w:val="auto"/>
                <w:highlight w:val="none"/>
              </w:rPr>
              <w:t>——障碍物屏蔽引起的衰减，dB；</w:t>
            </w:r>
          </w:p>
          <w:p w14:paraId="29E7F1BF">
            <w:pPr>
              <w:pStyle w:val="38"/>
              <w:bidi w:val="0"/>
              <w:rPr>
                <w:color w:val="auto"/>
                <w:highlight w:val="none"/>
              </w:rPr>
            </w:pPr>
            <w:r>
              <w:rPr>
                <w:rFonts w:hint="eastAsia"/>
                <w:color w:val="auto"/>
                <w:highlight w:val="none"/>
              </w:rPr>
              <w:t>A</w:t>
            </w:r>
            <w:r>
              <w:rPr>
                <w:rFonts w:hint="eastAsia"/>
                <w:color w:val="auto"/>
                <w:highlight w:val="none"/>
                <w:vertAlign w:val="subscript"/>
              </w:rPr>
              <w:t>atm</w:t>
            </w:r>
            <w:r>
              <w:rPr>
                <w:rFonts w:hint="eastAsia"/>
                <w:color w:val="auto"/>
                <w:highlight w:val="none"/>
              </w:rPr>
              <w:t>——大气吸收引起的衰减，dB；</w:t>
            </w:r>
          </w:p>
          <w:p w14:paraId="4AA0ADD3">
            <w:pPr>
              <w:pStyle w:val="38"/>
              <w:bidi w:val="0"/>
              <w:rPr>
                <w:color w:val="auto"/>
                <w:highlight w:val="none"/>
              </w:rPr>
            </w:pPr>
            <w:r>
              <w:rPr>
                <w:rFonts w:hint="eastAsia"/>
                <w:color w:val="auto"/>
                <w:highlight w:val="none"/>
              </w:rPr>
              <w:t>A</w:t>
            </w:r>
            <w:r>
              <w:rPr>
                <w:rFonts w:hint="eastAsia"/>
                <w:color w:val="auto"/>
                <w:highlight w:val="none"/>
                <w:vertAlign w:val="subscript"/>
              </w:rPr>
              <w:t>gr</w:t>
            </w:r>
            <w:r>
              <w:rPr>
                <w:rFonts w:hint="eastAsia"/>
                <w:color w:val="auto"/>
                <w:highlight w:val="none"/>
              </w:rPr>
              <w:t>——地面效应引起的衰减，dB；</w:t>
            </w:r>
          </w:p>
          <w:p w14:paraId="1EE6A82E">
            <w:pPr>
              <w:pStyle w:val="38"/>
              <w:bidi w:val="0"/>
              <w:rPr>
                <w:color w:val="auto"/>
                <w:highlight w:val="none"/>
              </w:rPr>
            </w:pPr>
            <w:r>
              <w:rPr>
                <w:rFonts w:hint="eastAsia"/>
                <w:color w:val="auto"/>
                <w:highlight w:val="none"/>
              </w:rPr>
              <w:t>A</w:t>
            </w:r>
            <w:r>
              <w:rPr>
                <w:rFonts w:hint="eastAsia"/>
                <w:color w:val="auto"/>
                <w:highlight w:val="none"/>
                <w:vertAlign w:val="subscript"/>
              </w:rPr>
              <w:t>misc</w:t>
            </w:r>
            <w:r>
              <w:rPr>
                <w:rFonts w:hint="eastAsia"/>
                <w:color w:val="auto"/>
                <w:highlight w:val="none"/>
              </w:rPr>
              <w:t>——其他多方面效应引起的衰减，dB。</w:t>
            </w:r>
          </w:p>
          <w:p w14:paraId="40AA7D41">
            <w:pPr>
              <w:pStyle w:val="38"/>
              <w:bidi w:val="0"/>
              <w:rPr>
                <w:color w:val="auto"/>
                <w:highlight w:val="none"/>
              </w:rPr>
            </w:pPr>
            <w:r>
              <w:rPr>
                <w:rFonts w:hint="eastAsia"/>
                <w:color w:val="auto"/>
                <w:highlight w:val="none"/>
              </w:rPr>
              <w:t>②室内声源在预测点的声压级计算：</w:t>
            </w:r>
          </w:p>
          <w:p w14:paraId="13B4A7D1">
            <w:pPr>
              <w:pStyle w:val="38"/>
              <w:bidi w:val="0"/>
              <w:rPr>
                <w:color w:val="auto"/>
                <w:highlight w:val="none"/>
              </w:rPr>
            </w:pPr>
            <w:r>
              <w:rPr>
                <w:color w:val="auto"/>
                <w:highlight w:val="none"/>
              </w:rPr>
              <w:drawing>
                <wp:anchor distT="0" distB="0" distL="0" distR="0" simplePos="0" relativeHeight="251678720" behindDoc="1" locked="0" layoutInCell="1" allowOverlap="1">
                  <wp:simplePos x="0" y="0"/>
                  <wp:positionH relativeFrom="column">
                    <wp:posOffset>596265</wp:posOffset>
                  </wp:positionH>
                  <wp:positionV relativeFrom="paragraph">
                    <wp:posOffset>226060</wp:posOffset>
                  </wp:positionV>
                  <wp:extent cx="1673860" cy="499745"/>
                  <wp:effectExtent l="0" t="0" r="2540" b="14605"/>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38">
                            <a:extLst>
                              <a:ext uri="{28A0092B-C50C-407E-A947-70E740481C1C}">
                                <a14:useLocalDpi xmlns:a14="http://schemas.microsoft.com/office/drawing/2010/main" val="0"/>
                              </a:ext>
                            </a:extLst>
                          </a:blip>
                          <a:srcRect r="30075"/>
                          <a:stretch>
                            <a:fillRect/>
                          </a:stretch>
                        </pic:blipFill>
                        <pic:spPr>
                          <a:xfrm>
                            <a:off x="0" y="0"/>
                            <a:ext cx="1674662" cy="500397"/>
                          </a:xfrm>
                          <a:prstGeom prst="rect">
                            <a:avLst/>
                          </a:prstGeom>
                          <a:noFill/>
                          <a:ln>
                            <a:noFill/>
                          </a:ln>
                        </pic:spPr>
                      </pic:pic>
                    </a:graphicData>
                  </a:graphic>
                </wp:anchor>
              </w:drawing>
            </w:r>
            <w:r>
              <w:rPr>
                <w:rFonts w:hint="eastAsia"/>
                <w:color w:val="auto"/>
                <w:highlight w:val="none"/>
              </w:rPr>
              <w:t>a、首先计算某个室内声源在靠近围护结构处的声压级：</w:t>
            </w:r>
          </w:p>
          <w:p w14:paraId="2BAC748B">
            <w:pPr>
              <w:pStyle w:val="38"/>
              <w:bidi w:val="0"/>
              <w:rPr>
                <w:color w:val="auto"/>
                <w:highlight w:val="none"/>
              </w:rPr>
            </w:pPr>
          </w:p>
          <w:p w14:paraId="7E94FF41">
            <w:pPr>
              <w:pStyle w:val="38"/>
              <w:bidi w:val="0"/>
              <w:rPr>
                <w:rFonts w:hint="eastAsia"/>
                <w:color w:val="auto"/>
                <w:highlight w:val="none"/>
              </w:rPr>
            </w:pPr>
          </w:p>
          <w:p w14:paraId="46C98801">
            <w:pPr>
              <w:pStyle w:val="38"/>
              <w:bidi w:val="0"/>
              <w:rPr>
                <w:color w:val="auto"/>
                <w:highlight w:val="none"/>
              </w:rPr>
            </w:pPr>
            <w:r>
              <w:rPr>
                <w:rFonts w:hint="eastAsia"/>
                <w:color w:val="auto"/>
                <w:highlight w:val="none"/>
              </w:rPr>
              <w:t>式中：L</w:t>
            </w:r>
            <w:r>
              <w:rPr>
                <w:rFonts w:hint="eastAsia"/>
                <w:color w:val="auto"/>
                <w:highlight w:val="none"/>
                <w:vertAlign w:val="subscript"/>
              </w:rPr>
              <w:t>p1</w:t>
            </w:r>
            <w:r>
              <w:rPr>
                <w:rFonts w:hint="eastAsia"/>
                <w:color w:val="auto"/>
                <w:highlight w:val="none"/>
              </w:rPr>
              <w:t>——靠近开口处（或窗户）室内某倍频带的声压级或A声级；</w:t>
            </w:r>
          </w:p>
          <w:p w14:paraId="67FD8BAF">
            <w:pPr>
              <w:pStyle w:val="38"/>
              <w:bidi w:val="0"/>
              <w:rPr>
                <w:color w:val="auto"/>
                <w:highlight w:val="none"/>
              </w:rPr>
            </w:pPr>
            <w:r>
              <w:rPr>
                <w:rFonts w:hint="eastAsia"/>
                <w:color w:val="auto"/>
                <w:highlight w:val="none"/>
              </w:rPr>
              <w:t>L</w:t>
            </w:r>
            <w:r>
              <w:rPr>
                <w:rFonts w:hint="eastAsia"/>
                <w:color w:val="auto"/>
                <w:highlight w:val="none"/>
                <w:vertAlign w:val="subscript"/>
              </w:rPr>
              <w:t>w</w:t>
            </w:r>
            <w:r>
              <w:rPr>
                <w:rFonts w:hint="eastAsia"/>
                <w:color w:val="auto"/>
                <w:highlight w:val="none"/>
              </w:rPr>
              <w:t>——点声源声功率级（A计权或倍频带），dB；</w:t>
            </w:r>
          </w:p>
          <w:p w14:paraId="10446F07">
            <w:pPr>
              <w:pStyle w:val="38"/>
              <w:bidi w:val="0"/>
              <w:rPr>
                <w:color w:val="auto"/>
                <w:highlight w:val="none"/>
              </w:rPr>
            </w:pPr>
            <w:r>
              <w:rPr>
                <w:rFonts w:hint="eastAsia"/>
                <w:color w:val="auto"/>
                <w:highlight w:val="none"/>
              </w:rPr>
              <w:t>r——声源与靠近围护结构某点处的距离，m；</w:t>
            </w:r>
          </w:p>
          <w:p w14:paraId="73314966">
            <w:pPr>
              <w:pStyle w:val="38"/>
              <w:bidi w:val="0"/>
              <w:rPr>
                <w:color w:val="auto"/>
                <w:highlight w:val="none"/>
              </w:rPr>
            </w:pPr>
            <w:r>
              <w:rPr>
                <w:rFonts w:hint="eastAsia"/>
                <w:color w:val="auto"/>
                <w:highlight w:val="none"/>
              </w:rPr>
              <w:t>R——房间常数；R=Sa/（1-a），S为房间内表面积，m</w:t>
            </w:r>
            <w:r>
              <w:rPr>
                <w:rFonts w:hint="eastAsia"/>
                <w:color w:val="auto"/>
                <w:highlight w:val="none"/>
                <w:vertAlign w:val="superscript"/>
              </w:rPr>
              <w:t>2</w:t>
            </w:r>
            <w:r>
              <w:rPr>
                <w:rFonts w:hint="eastAsia"/>
                <w:color w:val="auto"/>
                <w:highlight w:val="none"/>
              </w:rPr>
              <w:t>，a为平均吸声系数；</w:t>
            </w:r>
          </w:p>
          <w:p w14:paraId="5A58280E">
            <w:pPr>
              <w:pStyle w:val="38"/>
              <w:bidi w:val="0"/>
              <w:rPr>
                <w:color w:val="auto"/>
                <w:highlight w:val="none"/>
              </w:rPr>
            </w:pPr>
            <w:r>
              <w:rPr>
                <w:rFonts w:hint="eastAsia"/>
                <w:color w:val="auto"/>
                <w:highlight w:val="none"/>
              </w:rPr>
              <w:t>Q——指向性因数；通常对无指向性声源，当声源放在房间中心时，Q=1，；当放在一面墙的中心时，Q=2；当放在两面墙夹角处时，Q=4；当放在三面墙夹角处时，Q=8。</w:t>
            </w:r>
          </w:p>
          <w:p w14:paraId="41215413">
            <w:pPr>
              <w:pStyle w:val="38"/>
              <w:bidi w:val="0"/>
              <w:rPr>
                <w:color w:val="auto"/>
                <w:highlight w:val="none"/>
              </w:rPr>
            </w:pPr>
            <w:r>
              <w:rPr>
                <w:rFonts w:hint="eastAsia"/>
                <w:color w:val="auto"/>
                <w:highlight w:val="none"/>
              </w:rPr>
              <w:t>b、计算所有室内声源在围护结构处产生的i倍频带叠加声压级：</w:t>
            </w:r>
          </w:p>
          <w:p w14:paraId="7F946748">
            <w:pPr>
              <w:pStyle w:val="38"/>
              <w:bidi w:val="0"/>
              <w:rPr>
                <w:color w:val="auto"/>
                <w:highlight w:val="none"/>
              </w:rPr>
            </w:pPr>
            <w:r>
              <w:rPr>
                <w:rFonts w:hint="eastAsia"/>
                <w:color w:val="auto"/>
                <w:highlight w:val="none"/>
              </w:rPr>
              <w:drawing>
                <wp:anchor distT="0" distB="0" distL="0" distR="0" simplePos="0" relativeHeight="251678720" behindDoc="1" locked="0" layoutInCell="1" allowOverlap="1">
                  <wp:simplePos x="0" y="0"/>
                  <wp:positionH relativeFrom="column">
                    <wp:posOffset>383540</wp:posOffset>
                  </wp:positionH>
                  <wp:positionV relativeFrom="paragraph">
                    <wp:posOffset>30480</wp:posOffset>
                  </wp:positionV>
                  <wp:extent cx="1466215" cy="422910"/>
                  <wp:effectExtent l="0" t="0" r="635" b="1524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1466548" cy="423031"/>
                          </a:xfrm>
                          <a:prstGeom prst="rect">
                            <a:avLst/>
                          </a:prstGeom>
                          <a:noFill/>
                          <a:ln>
                            <a:noFill/>
                          </a:ln>
                        </pic:spPr>
                      </pic:pic>
                    </a:graphicData>
                  </a:graphic>
                </wp:anchor>
              </w:drawing>
            </w:r>
          </w:p>
          <w:p w14:paraId="013E6AAB">
            <w:pPr>
              <w:pStyle w:val="38"/>
              <w:bidi w:val="0"/>
              <w:rPr>
                <w:rFonts w:hint="eastAsia"/>
                <w:color w:val="auto"/>
                <w:highlight w:val="none"/>
              </w:rPr>
            </w:pPr>
          </w:p>
          <w:p w14:paraId="5B642DC9">
            <w:pPr>
              <w:pStyle w:val="38"/>
              <w:bidi w:val="0"/>
              <w:rPr>
                <w:color w:val="auto"/>
                <w:highlight w:val="none"/>
              </w:rPr>
            </w:pPr>
            <w:r>
              <w:rPr>
                <w:rFonts w:hint="eastAsia"/>
                <w:color w:val="auto"/>
                <w:highlight w:val="none"/>
              </w:rPr>
              <w:t>式中：L</w:t>
            </w:r>
            <w:r>
              <w:rPr>
                <w:rFonts w:hint="eastAsia"/>
                <w:color w:val="auto"/>
                <w:highlight w:val="none"/>
                <w:vertAlign w:val="subscript"/>
              </w:rPr>
              <w:t>pli</w:t>
            </w:r>
            <w:r>
              <w:rPr>
                <w:rFonts w:hint="eastAsia"/>
                <w:color w:val="auto"/>
                <w:highlight w:val="none"/>
              </w:rPr>
              <w:t>（T）——靠近围护结构处室外N个声源i倍频带的叠加声压级，dB；</w:t>
            </w:r>
          </w:p>
          <w:p w14:paraId="43F7C825">
            <w:pPr>
              <w:pStyle w:val="38"/>
              <w:bidi w:val="0"/>
              <w:rPr>
                <w:color w:val="auto"/>
                <w:highlight w:val="none"/>
              </w:rPr>
            </w:pPr>
            <w:r>
              <w:rPr>
                <w:rFonts w:hint="eastAsia"/>
                <w:color w:val="auto"/>
                <w:highlight w:val="none"/>
              </w:rPr>
              <w:t>L</w:t>
            </w:r>
            <w:r>
              <w:rPr>
                <w:rFonts w:hint="eastAsia"/>
                <w:color w:val="auto"/>
                <w:highlight w:val="none"/>
                <w:vertAlign w:val="subscript"/>
              </w:rPr>
              <w:t>p1ij</w:t>
            </w:r>
            <w:r>
              <w:rPr>
                <w:rFonts w:hint="eastAsia"/>
                <w:color w:val="auto"/>
                <w:highlight w:val="none"/>
              </w:rPr>
              <w:t>——室内j声源i倍频带的声压级，dB；</w:t>
            </w:r>
          </w:p>
          <w:p w14:paraId="603E9EAD">
            <w:pPr>
              <w:pStyle w:val="38"/>
              <w:bidi w:val="0"/>
              <w:rPr>
                <w:color w:val="auto"/>
                <w:highlight w:val="none"/>
              </w:rPr>
            </w:pPr>
            <w:r>
              <w:rPr>
                <w:rFonts w:hint="eastAsia"/>
                <w:color w:val="auto"/>
                <w:highlight w:val="none"/>
              </w:rPr>
              <w:t>N——室内声源总数。</w:t>
            </w:r>
          </w:p>
          <w:p w14:paraId="1BEDBEDE">
            <w:pPr>
              <w:pStyle w:val="38"/>
              <w:bidi w:val="0"/>
              <w:rPr>
                <w:color w:val="auto"/>
                <w:highlight w:val="none"/>
              </w:rPr>
            </w:pPr>
            <w:r>
              <w:rPr>
                <w:rFonts w:hint="eastAsia"/>
                <w:color w:val="auto"/>
                <w:highlight w:val="none"/>
              </w:rPr>
              <w:t>c、将室外声源的声压级和透过面积换算成等效的室外声源，计算出中心位置位于透声面积（S）处的等效声源的倍频带声功率级。</w:t>
            </w:r>
          </w:p>
          <w:p w14:paraId="3B00EA1D">
            <w:pPr>
              <w:pStyle w:val="38"/>
              <w:bidi w:val="0"/>
              <w:rPr>
                <w:color w:val="auto"/>
                <w:highlight w:val="none"/>
              </w:rPr>
            </w:pPr>
            <w:r>
              <w:rPr>
                <w:rFonts w:hint="eastAsia"/>
                <w:color w:val="auto"/>
                <w:highlight w:val="none"/>
              </w:rPr>
              <w:t>L</w:t>
            </w:r>
            <w:r>
              <w:rPr>
                <w:rFonts w:hint="eastAsia"/>
                <w:color w:val="auto"/>
                <w:highlight w:val="none"/>
                <w:vertAlign w:val="subscript"/>
              </w:rPr>
              <w:t>w</w:t>
            </w:r>
            <w:r>
              <w:rPr>
                <w:rFonts w:hint="eastAsia"/>
                <w:color w:val="auto"/>
                <w:highlight w:val="none"/>
              </w:rPr>
              <w:t>＝L</w:t>
            </w:r>
            <w:r>
              <w:rPr>
                <w:rFonts w:hint="eastAsia"/>
                <w:color w:val="auto"/>
                <w:highlight w:val="none"/>
                <w:vertAlign w:val="subscript"/>
              </w:rPr>
              <w:t>p2</w:t>
            </w:r>
            <w:r>
              <w:rPr>
                <w:rFonts w:hint="eastAsia"/>
                <w:color w:val="auto"/>
                <w:highlight w:val="none"/>
              </w:rPr>
              <w:t>（T）+10lgS</w:t>
            </w:r>
          </w:p>
          <w:p w14:paraId="02B660A9">
            <w:pPr>
              <w:pStyle w:val="38"/>
              <w:bidi w:val="0"/>
              <w:rPr>
                <w:color w:val="auto"/>
                <w:highlight w:val="none"/>
              </w:rPr>
            </w:pPr>
            <w:r>
              <w:rPr>
                <w:rFonts w:hint="eastAsia"/>
                <w:color w:val="auto"/>
                <w:highlight w:val="none"/>
              </w:rPr>
              <w:t>式中：L</w:t>
            </w:r>
            <w:r>
              <w:rPr>
                <w:rFonts w:hint="eastAsia"/>
                <w:color w:val="auto"/>
                <w:highlight w:val="none"/>
                <w:vertAlign w:val="subscript"/>
              </w:rPr>
              <w:t>w</w:t>
            </w:r>
            <w:r>
              <w:rPr>
                <w:rFonts w:hint="eastAsia"/>
                <w:color w:val="auto"/>
                <w:highlight w:val="none"/>
              </w:rPr>
              <w:t>——中心位置位于透声面积（S）处的等效声源的倍频带声功率级，dB；</w:t>
            </w:r>
          </w:p>
          <w:p w14:paraId="4B263A2D">
            <w:pPr>
              <w:pStyle w:val="38"/>
              <w:bidi w:val="0"/>
              <w:rPr>
                <w:color w:val="auto"/>
                <w:highlight w:val="none"/>
              </w:rPr>
            </w:pPr>
            <w:r>
              <w:rPr>
                <w:rFonts w:hint="eastAsia"/>
                <w:color w:val="auto"/>
                <w:highlight w:val="none"/>
              </w:rPr>
              <w:t>L</w:t>
            </w:r>
            <w:r>
              <w:rPr>
                <w:rFonts w:hint="eastAsia"/>
                <w:color w:val="auto"/>
                <w:highlight w:val="none"/>
                <w:vertAlign w:val="subscript"/>
              </w:rPr>
              <w:t>p2</w:t>
            </w:r>
            <w:r>
              <w:rPr>
                <w:rFonts w:hint="eastAsia"/>
                <w:color w:val="auto"/>
                <w:highlight w:val="none"/>
              </w:rPr>
              <w:t>（T）——靠近围护结构处室外声源的声压级，dB；</w:t>
            </w:r>
          </w:p>
          <w:p w14:paraId="6BF37D20">
            <w:pPr>
              <w:pStyle w:val="38"/>
              <w:bidi w:val="0"/>
              <w:rPr>
                <w:color w:val="auto"/>
                <w:highlight w:val="none"/>
              </w:rPr>
            </w:pPr>
            <w:r>
              <w:rPr>
                <w:rFonts w:hint="eastAsia"/>
                <w:color w:val="auto"/>
                <w:highlight w:val="none"/>
              </w:rPr>
              <w:t>S—透声面积，m</w:t>
            </w:r>
            <w:r>
              <w:rPr>
                <w:rFonts w:hint="eastAsia"/>
                <w:color w:val="auto"/>
                <w:highlight w:val="none"/>
                <w:vertAlign w:val="superscript"/>
              </w:rPr>
              <w:t>2</w:t>
            </w:r>
            <w:r>
              <w:rPr>
                <w:rFonts w:hint="eastAsia"/>
                <w:color w:val="auto"/>
                <w:highlight w:val="none"/>
              </w:rPr>
              <w:t>；</w:t>
            </w:r>
          </w:p>
          <w:p w14:paraId="24A7F21B">
            <w:pPr>
              <w:pStyle w:val="38"/>
              <w:bidi w:val="0"/>
              <w:rPr>
                <w:color w:val="auto"/>
                <w:highlight w:val="none"/>
              </w:rPr>
            </w:pPr>
            <w:r>
              <w:rPr>
                <w:rFonts w:hint="eastAsia"/>
                <w:color w:val="auto"/>
                <w:highlight w:val="none"/>
              </w:rPr>
              <w:t>③总声级的计算</w:t>
            </w:r>
          </w:p>
          <w:p w14:paraId="4A17BDE4">
            <w:pPr>
              <w:pStyle w:val="38"/>
              <w:bidi w:val="0"/>
              <w:rPr>
                <w:color w:val="auto"/>
                <w:highlight w:val="none"/>
              </w:rPr>
            </w:pPr>
            <w:r>
              <w:rPr>
                <w:rFonts w:hint="eastAsia"/>
                <w:color w:val="auto"/>
                <w:highlight w:val="none"/>
              </w:rPr>
              <w:t>设第i个室外声源在预测点产生的A声级为L</w:t>
            </w:r>
            <w:r>
              <w:rPr>
                <w:rFonts w:hint="eastAsia"/>
                <w:color w:val="auto"/>
                <w:highlight w:val="none"/>
                <w:vertAlign w:val="subscript"/>
              </w:rPr>
              <w:t>Ai</w:t>
            </w:r>
            <w:r>
              <w:rPr>
                <w:rFonts w:hint="eastAsia"/>
                <w:color w:val="auto"/>
                <w:highlight w:val="none"/>
              </w:rPr>
              <w:t>，在T时间内该声源工作时间为ti；第j个等效室外声源在预测点产生的A声级为L</w:t>
            </w:r>
            <w:r>
              <w:rPr>
                <w:rFonts w:hint="eastAsia"/>
                <w:color w:val="auto"/>
                <w:highlight w:val="none"/>
                <w:vertAlign w:val="subscript"/>
              </w:rPr>
              <w:t>Aj</w:t>
            </w:r>
            <w:r>
              <w:rPr>
                <w:rFonts w:hint="eastAsia"/>
                <w:color w:val="auto"/>
                <w:highlight w:val="none"/>
              </w:rPr>
              <w:t>，在T时间内该声源工作时间为tj，则预测点的总有效声级为：</w:t>
            </w:r>
          </w:p>
          <w:p w14:paraId="2B2A9358">
            <w:pPr>
              <w:pStyle w:val="38"/>
              <w:bidi w:val="0"/>
              <w:rPr>
                <w:color w:val="auto"/>
                <w:highlight w:val="none"/>
              </w:rPr>
            </w:pPr>
            <w:r>
              <w:rPr>
                <w:color w:val="auto"/>
                <w:highlight w:val="none"/>
              </w:rPr>
              <w:drawing>
                <wp:anchor distT="0" distB="0" distL="0" distR="0" simplePos="0" relativeHeight="251678720" behindDoc="1" locked="0" layoutInCell="1" allowOverlap="1">
                  <wp:simplePos x="0" y="0"/>
                  <wp:positionH relativeFrom="column">
                    <wp:posOffset>325120</wp:posOffset>
                  </wp:positionH>
                  <wp:positionV relativeFrom="paragraph">
                    <wp:posOffset>10160</wp:posOffset>
                  </wp:positionV>
                  <wp:extent cx="2287905" cy="491490"/>
                  <wp:effectExtent l="0" t="0" r="17145" b="381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40">
                            <a:extLst>
                              <a:ext uri="{28A0092B-C50C-407E-A947-70E740481C1C}">
                                <a14:useLocalDpi xmlns:a14="http://schemas.microsoft.com/office/drawing/2010/main" val="0"/>
                              </a:ext>
                            </a:extLst>
                          </a:blip>
                          <a:srcRect r="23233"/>
                          <a:stretch>
                            <a:fillRect/>
                          </a:stretch>
                        </pic:blipFill>
                        <pic:spPr>
                          <a:xfrm>
                            <a:off x="0" y="0"/>
                            <a:ext cx="2289131" cy="491880"/>
                          </a:xfrm>
                          <a:prstGeom prst="rect">
                            <a:avLst/>
                          </a:prstGeom>
                          <a:noFill/>
                          <a:ln>
                            <a:noFill/>
                          </a:ln>
                        </pic:spPr>
                      </pic:pic>
                    </a:graphicData>
                  </a:graphic>
                </wp:anchor>
              </w:drawing>
            </w:r>
          </w:p>
          <w:p w14:paraId="686B5B5A">
            <w:pPr>
              <w:pStyle w:val="38"/>
              <w:bidi w:val="0"/>
              <w:rPr>
                <w:rFonts w:hint="eastAsia"/>
                <w:color w:val="auto"/>
                <w:highlight w:val="none"/>
              </w:rPr>
            </w:pPr>
          </w:p>
          <w:p w14:paraId="657FAB68">
            <w:pPr>
              <w:pStyle w:val="38"/>
              <w:bidi w:val="0"/>
              <w:rPr>
                <w:color w:val="auto"/>
                <w:highlight w:val="none"/>
              </w:rPr>
            </w:pPr>
            <w:r>
              <w:rPr>
                <w:rFonts w:hint="eastAsia"/>
                <w:color w:val="auto"/>
                <w:highlight w:val="none"/>
              </w:rPr>
              <w:t>式中：t</w:t>
            </w:r>
            <w:r>
              <w:rPr>
                <w:rFonts w:hint="eastAsia"/>
                <w:color w:val="auto"/>
                <w:highlight w:val="none"/>
                <w:vertAlign w:val="subscript"/>
              </w:rPr>
              <w:t>j</w:t>
            </w:r>
            <w:r>
              <w:rPr>
                <w:rFonts w:hint="eastAsia"/>
                <w:color w:val="auto"/>
                <w:highlight w:val="none"/>
              </w:rPr>
              <w:t>——在T时间内j声源工作时间，s；</w:t>
            </w:r>
          </w:p>
          <w:p w14:paraId="044E583E">
            <w:pPr>
              <w:pStyle w:val="38"/>
              <w:bidi w:val="0"/>
              <w:rPr>
                <w:color w:val="auto"/>
                <w:highlight w:val="none"/>
              </w:rPr>
            </w:pPr>
            <w:r>
              <w:rPr>
                <w:rFonts w:hint="eastAsia"/>
                <w:color w:val="auto"/>
                <w:highlight w:val="none"/>
              </w:rPr>
              <w:t>t</w:t>
            </w:r>
            <w:r>
              <w:rPr>
                <w:rFonts w:hint="eastAsia"/>
                <w:color w:val="auto"/>
                <w:highlight w:val="none"/>
                <w:vertAlign w:val="subscript"/>
              </w:rPr>
              <w:t>i</w:t>
            </w:r>
            <w:r>
              <w:rPr>
                <w:rFonts w:hint="eastAsia"/>
                <w:color w:val="auto"/>
                <w:highlight w:val="none"/>
              </w:rPr>
              <w:t>——在T时间内i声源工作时间，s；</w:t>
            </w:r>
          </w:p>
          <w:p w14:paraId="220B8B9F">
            <w:pPr>
              <w:pStyle w:val="38"/>
              <w:bidi w:val="0"/>
              <w:rPr>
                <w:color w:val="auto"/>
                <w:highlight w:val="none"/>
              </w:rPr>
            </w:pPr>
            <w:r>
              <w:rPr>
                <w:rFonts w:hint="eastAsia"/>
                <w:color w:val="auto"/>
                <w:highlight w:val="none"/>
              </w:rPr>
              <w:t>T——用于计算等效声级的时间，s；</w:t>
            </w:r>
          </w:p>
          <w:p w14:paraId="65A6D46F">
            <w:pPr>
              <w:pStyle w:val="38"/>
              <w:bidi w:val="0"/>
              <w:rPr>
                <w:color w:val="auto"/>
                <w:highlight w:val="none"/>
              </w:rPr>
            </w:pPr>
            <w:r>
              <w:rPr>
                <w:rFonts w:hint="eastAsia"/>
                <w:color w:val="auto"/>
                <w:highlight w:val="none"/>
              </w:rPr>
              <w:t>N——室外声源个数；</w:t>
            </w:r>
          </w:p>
          <w:p w14:paraId="4FFBA0CB">
            <w:pPr>
              <w:pStyle w:val="38"/>
              <w:bidi w:val="0"/>
              <w:rPr>
                <w:color w:val="auto"/>
                <w:highlight w:val="none"/>
              </w:rPr>
            </w:pPr>
            <w:r>
              <w:rPr>
                <w:rFonts w:hint="eastAsia"/>
                <w:color w:val="auto"/>
                <w:highlight w:val="none"/>
              </w:rPr>
              <w:t>M——等效室外声源个数。</w:t>
            </w:r>
          </w:p>
          <w:p w14:paraId="2C4FBAD7">
            <w:pPr>
              <w:pStyle w:val="38"/>
              <w:bidi w:val="0"/>
              <w:rPr>
                <w:color w:val="auto"/>
                <w:highlight w:val="none"/>
              </w:rPr>
            </w:pPr>
            <w:r>
              <w:rPr>
                <w:rFonts w:hint="eastAsia"/>
                <w:color w:val="auto"/>
                <w:highlight w:val="none"/>
              </w:rPr>
              <w:t>（2）参数的确定</w:t>
            </w:r>
          </w:p>
          <w:p w14:paraId="12606DD2">
            <w:pPr>
              <w:pStyle w:val="38"/>
              <w:bidi w:val="0"/>
              <w:rPr>
                <w:color w:val="auto"/>
                <w:highlight w:val="none"/>
              </w:rPr>
            </w:pPr>
            <w:r>
              <w:rPr>
                <w:rFonts w:hint="eastAsia"/>
                <w:color w:val="auto"/>
                <w:highlight w:val="none"/>
              </w:rPr>
              <w:t>①声波几何发散引起的A声级衰减量（A</w:t>
            </w:r>
            <w:r>
              <w:rPr>
                <w:rFonts w:hint="eastAsia"/>
                <w:color w:val="auto"/>
                <w:highlight w:val="none"/>
                <w:vertAlign w:val="subscript"/>
              </w:rPr>
              <w:t>div</w:t>
            </w:r>
            <w:r>
              <w:rPr>
                <w:rFonts w:hint="eastAsia"/>
                <w:color w:val="auto"/>
                <w:highlight w:val="none"/>
              </w:rPr>
              <w:t>）</w:t>
            </w:r>
          </w:p>
          <w:p w14:paraId="387D74F9">
            <w:pPr>
              <w:pStyle w:val="38"/>
              <w:bidi w:val="0"/>
              <w:rPr>
                <w:color w:val="auto"/>
                <w:highlight w:val="none"/>
              </w:rPr>
            </w:pPr>
            <w:r>
              <w:rPr>
                <w:rFonts w:hint="eastAsia"/>
                <w:color w:val="auto"/>
                <w:highlight w:val="none"/>
              </w:rPr>
              <w:t>a、点声源：A</w:t>
            </w:r>
            <w:r>
              <w:rPr>
                <w:rFonts w:hint="eastAsia"/>
                <w:color w:val="auto"/>
                <w:highlight w:val="none"/>
                <w:vertAlign w:val="subscript"/>
              </w:rPr>
              <w:t>div</w:t>
            </w:r>
            <w:r>
              <w:rPr>
                <w:rFonts w:hint="eastAsia"/>
                <w:color w:val="auto"/>
                <w:highlight w:val="none"/>
              </w:rPr>
              <w:t>=20lg（r/r</w:t>
            </w:r>
            <w:r>
              <w:rPr>
                <w:rFonts w:hint="eastAsia"/>
                <w:color w:val="auto"/>
                <w:highlight w:val="none"/>
                <w:vertAlign w:val="subscript"/>
              </w:rPr>
              <w:t>0</w:t>
            </w:r>
            <w:r>
              <w:rPr>
                <w:rFonts w:hint="eastAsia"/>
                <w:color w:val="auto"/>
                <w:highlight w:val="none"/>
              </w:rPr>
              <w:t>）</w:t>
            </w:r>
          </w:p>
          <w:p w14:paraId="37F16A2F">
            <w:pPr>
              <w:pStyle w:val="38"/>
              <w:bidi w:val="0"/>
              <w:rPr>
                <w:color w:val="auto"/>
                <w:highlight w:val="none"/>
              </w:rPr>
            </w:pPr>
            <w:r>
              <w:rPr>
                <w:rFonts w:hint="eastAsia"/>
                <w:color w:val="auto"/>
                <w:highlight w:val="none"/>
              </w:rPr>
              <w:t>式中：r—预测点到噪声源距离，m；</w:t>
            </w:r>
          </w:p>
          <w:p w14:paraId="0CB493A8">
            <w:pPr>
              <w:pStyle w:val="38"/>
              <w:bidi w:val="0"/>
              <w:rPr>
                <w:color w:val="auto"/>
                <w:highlight w:val="none"/>
              </w:rPr>
            </w:pPr>
            <w:r>
              <w:rPr>
                <w:color w:val="auto"/>
                <w:highlight w:val="none"/>
              </w:rPr>
              <w:t>r</w:t>
            </w:r>
            <w:r>
              <w:rPr>
                <w:rFonts w:hint="eastAsia"/>
                <w:color w:val="auto"/>
                <w:highlight w:val="none"/>
                <w:vertAlign w:val="subscript"/>
              </w:rPr>
              <w:t>0</w:t>
            </w:r>
            <w:r>
              <w:rPr>
                <w:rFonts w:hint="eastAsia"/>
                <w:color w:val="auto"/>
                <w:highlight w:val="none"/>
              </w:rPr>
              <w:t>—参考点到噪声源距离，m。</w:t>
            </w:r>
          </w:p>
          <w:p w14:paraId="3E9E1AD1">
            <w:pPr>
              <w:pStyle w:val="38"/>
              <w:bidi w:val="0"/>
              <w:rPr>
                <w:color w:val="auto"/>
                <w:highlight w:val="none"/>
              </w:rPr>
            </w:pPr>
            <w:r>
              <w:rPr>
                <w:rFonts w:hint="eastAsia"/>
                <w:color w:val="auto"/>
                <w:highlight w:val="none"/>
              </w:rPr>
              <w:t xml:space="preserve">b、有限长线声源（设线声源长为L0） </w:t>
            </w:r>
          </w:p>
          <w:p w14:paraId="27C86066">
            <w:pPr>
              <w:pStyle w:val="38"/>
              <w:bidi w:val="0"/>
              <w:rPr>
                <w:color w:val="auto"/>
                <w:highlight w:val="none"/>
              </w:rPr>
            </w:pPr>
            <w:r>
              <w:rPr>
                <w:rFonts w:hint="eastAsia"/>
                <w:color w:val="auto"/>
                <w:highlight w:val="none"/>
              </w:rPr>
              <w:t>当 r&gt;L</w:t>
            </w:r>
            <w:r>
              <w:rPr>
                <w:rFonts w:hint="eastAsia"/>
                <w:color w:val="auto"/>
                <w:highlight w:val="none"/>
                <w:vertAlign w:val="subscript"/>
              </w:rPr>
              <w:t>0</w:t>
            </w:r>
            <w:r>
              <w:rPr>
                <w:rFonts w:hint="eastAsia"/>
                <w:color w:val="auto"/>
                <w:highlight w:val="none"/>
              </w:rPr>
              <w:t xml:space="preserve">，且 </w:t>
            </w:r>
            <w:r>
              <w:rPr>
                <w:color w:val="auto"/>
                <w:highlight w:val="none"/>
              </w:rPr>
              <w:t>r</w:t>
            </w:r>
            <w:r>
              <w:rPr>
                <w:rFonts w:hint="eastAsia"/>
                <w:color w:val="auto"/>
                <w:highlight w:val="none"/>
                <w:vertAlign w:val="subscript"/>
              </w:rPr>
              <w:t>0</w:t>
            </w:r>
            <w:r>
              <w:rPr>
                <w:rFonts w:hint="eastAsia"/>
                <w:color w:val="auto"/>
                <w:highlight w:val="none"/>
              </w:rPr>
              <w:t>&gt;L</w:t>
            </w:r>
            <w:r>
              <w:rPr>
                <w:rFonts w:hint="eastAsia"/>
                <w:color w:val="auto"/>
                <w:highlight w:val="none"/>
                <w:vertAlign w:val="subscript"/>
              </w:rPr>
              <w:t>o</w:t>
            </w:r>
            <w:r>
              <w:rPr>
                <w:rFonts w:hint="eastAsia"/>
                <w:color w:val="auto"/>
                <w:highlight w:val="none"/>
              </w:rPr>
              <w:t xml:space="preserve"> 时：A</w:t>
            </w:r>
            <w:r>
              <w:rPr>
                <w:rFonts w:hint="eastAsia"/>
                <w:color w:val="auto"/>
                <w:highlight w:val="none"/>
                <w:vertAlign w:val="subscript"/>
              </w:rPr>
              <w:t>div</w:t>
            </w:r>
            <w:r>
              <w:rPr>
                <w:rFonts w:hint="eastAsia"/>
                <w:color w:val="auto"/>
                <w:highlight w:val="none"/>
              </w:rPr>
              <w:t>=20lg（r/</w:t>
            </w:r>
            <w:r>
              <w:rPr>
                <w:color w:val="auto"/>
                <w:highlight w:val="none"/>
              </w:rPr>
              <w:t>r</w:t>
            </w:r>
            <w:r>
              <w:rPr>
                <w:rFonts w:hint="eastAsia"/>
                <w:color w:val="auto"/>
                <w:highlight w:val="none"/>
                <w:vertAlign w:val="subscript"/>
              </w:rPr>
              <w:t>0</w:t>
            </w:r>
            <w:r>
              <w:rPr>
                <w:rFonts w:hint="eastAsia"/>
                <w:color w:val="auto"/>
                <w:highlight w:val="none"/>
              </w:rPr>
              <w:t>）</w:t>
            </w:r>
          </w:p>
          <w:p w14:paraId="011288F4">
            <w:pPr>
              <w:pStyle w:val="38"/>
              <w:bidi w:val="0"/>
              <w:rPr>
                <w:color w:val="auto"/>
                <w:highlight w:val="none"/>
              </w:rPr>
            </w:pPr>
            <w:r>
              <w:rPr>
                <w:rFonts w:hint="eastAsia"/>
                <w:color w:val="auto"/>
                <w:highlight w:val="none"/>
              </w:rPr>
              <w:t>当 r&lt;L</w:t>
            </w:r>
            <w:r>
              <w:rPr>
                <w:rFonts w:hint="eastAsia"/>
                <w:color w:val="auto"/>
                <w:highlight w:val="none"/>
                <w:vertAlign w:val="subscript"/>
              </w:rPr>
              <w:t>0</w:t>
            </w:r>
            <w:r>
              <w:rPr>
                <w:rFonts w:hint="eastAsia"/>
                <w:color w:val="auto"/>
                <w:highlight w:val="none"/>
              </w:rPr>
              <w:t xml:space="preserve">/3，且 </w:t>
            </w:r>
            <w:r>
              <w:rPr>
                <w:color w:val="auto"/>
                <w:highlight w:val="none"/>
              </w:rPr>
              <w:t>r</w:t>
            </w:r>
            <w:r>
              <w:rPr>
                <w:rFonts w:hint="eastAsia"/>
                <w:color w:val="auto"/>
                <w:highlight w:val="none"/>
                <w:vertAlign w:val="subscript"/>
              </w:rPr>
              <w:t>0</w:t>
            </w:r>
            <w:r>
              <w:rPr>
                <w:rFonts w:hint="eastAsia"/>
                <w:color w:val="auto"/>
                <w:highlight w:val="none"/>
              </w:rPr>
              <w:t>&lt;L</w:t>
            </w:r>
            <w:r>
              <w:rPr>
                <w:rFonts w:hint="eastAsia"/>
                <w:color w:val="auto"/>
                <w:highlight w:val="none"/>
                <w:vertAlign w:val="subscript"/>
              </w:rPr>
              <w:t>0</w:t>
            </w:r>
            <w:r>
              <w:rPr>
                <w:rFonts w:hint="eastAsia"/>
                <w:color w:val="auto"/>
                <w:highlight w:val="none"/>
              </w:rPr>
              <w:t>/3 时：A</w:t>
            </w:r>
            <w:r>
              <w:rPr>
                <w:rFonts w:hint="eastAsia"/>
                <w:color w:val="auto"/>
                <w:highlight w:val="none"/>
                <w:vertAlign w:val="subscript"/>
              </w:rPr>
              <w:t>div</w:t>
            </w:r>
            <w:r>
              <w:rPr>
                <w:rFonts w:hint="eastAsia"/>
                <w:color w:val="auto"/>
                <w:highlight w:val="none"/>
              </w:rPr>
              <w:t>=10lg（r/</w:t>
            </w:r>
            <w:r>
              <w:rPr>
                <w:color w:val="auto"/>
                <w:highlight w:val="none"/>
              </w:rPr>
              <w:t>r</w:t>
            </w:r>
            <w:r>
              <w:rPr>
                <w:rFonts w:hint="eastAsia"/>
                <w:color w:val="auto"/>
                <w:highlight w:val="none"/>
                <w:vertAlign w:val="subscript"/>
              </w:rPr>
              <w:t>0</w:t>
            </w:r>
            <w:r>
              <w:rPr>
                <w:rFonts w:hint="eastAsia"/>
                <w:color w:val="auto"/>
                <w:highlight w:val="none"/>
              </w:rPr>
              <w:t>）</w:t>
            </w:r>
          </w:p>
          <w:p w14:paraId="6AD6DA6E">
            <w:pPr>
              <w:pStyle w:val="38"/>
              <w:bidi w:val="0"/>
              <w:rPr>
                <w:color w:val="auto"/>
                <w:highlight w:val="none"/>
              </w:rPr>
            </w:pPr>
            <w:r>
              <w:rPr>
                <w:rFonts w:hint="eastAsia"/>
                <w:color w:val="auto"/>
                <w:highlight w:val="none"/>
              </w:rPr>
              <w:t>当 L</w:t>
            </w:r>
            <w:r>
              <w:rPr>
                <w:rFonts w:hint="eastAsia"/>
                <w:color w:val="auto"/>
                <w:highlight w:val="none"/>
                <w:vertAlign w:val="subscript"/>
              </w:rPr>
              <w:t>0</w:t>
            </w:r>
            <w:r>
              <w:rPr>
                <w:rFonts w:hint="eastAsia"/>
                <w:color w:val="auto"/>
                <w:highlight w:val="none"/>
              </w:rPr>
              <w:t>/3&lt;r&lt;L</w:t>
            </w:r>
            <w:r>
              <w:rPr>
                <w:rFonts w:hint="eastAsia"/>
                <w:color w:val="auto"/>
                <w:highlight w:val="none"/>
                <w:vertAlign w:val="subscript"/>
              </w:rPr>
              <w:t>0</w:t>
            </w:r>
            <w:r>
              <w:rPr>
                <w:rFonts w:hint="eastAsia"/>
                <w:color w:val="auto"/>
                <w:highlight w:val="none"/>
              </w:rPr>
              <w:t>，且L</w:t>
            </w:r>
            <w:r>
              <w:rPr>
                <w:rFonts w:hint="eastAsia"/>
                <w:color w:val="auto"/>
                <w:highlight w:val="none"/>
                <w:vertAlign w:val="subscript"/>
              </w:rPr>
              <w:t>0</w:t>
            </w:r>
            <w:r>
              <w:rPr>
                <w:rFonts w:hint="eastAsia"/>
                <w:color w:val="auto"/>
                <w:highlight w:val="none"/>
              </w:rPr>
              <w:t>/3&lt;</w:t>
            </w:r>
            <w:r>
              <w:rPr>
                <w:color w:val="auto"/>
                <w:highlight w:val="none"/>
              </w:rPr>
              <w:t>r</w:t>
            </w:r>
            <w:r>
              <w:rPr>
                <w:rFonts w:hint="eastAsia"/>
                <w:color w:val="auto"/>
                <w:highlight w:val="none"/>
                <w:vertAlign w:val="subscript"/>
              </w:rPr>
              <w:t>0</w:t>
            </w:r>
            <w:r>
              <w:rPr>
                <w:rFonts w:hint="eastAsia"/>
                <w:color w:val="auto"/>
                <w:highlight w:val="none"/>
              </w:rPr>
              <w:t>&lt;L</w:t>
            </w:r>
            <w:r>
              <w:rPr>
                <w:rFonts w:hint="eastAsia"/>
                <w:color w:val="auto"/>
                <w:highlight w:val="none"/>
                <w:vertAlign w:val="subscript"/>
              </w:rPr>
              <w:t>0</w:t>
            </w:r>
            <w:r>
              <w:rPr>
                <w:rFonts w:hint="eastAsia"/>
                <w:color w:val="auto"/>
                <w:highlight w:val="none"/>
              </w:rPr>
              <w:t>时：A</w:t>
            </w:r>
            <w:r>
              <w:rPr>
                <w:rFonts w:hint="eastAsia"/>
                <w:color w:val="auto"/>
                <w:highlight w:val="none"/>
                <w:vertAlign w:val="subscript"/>
              </w:rPr>
              <w:t>div</w:t>
            </w:r>
            <w:r>
              <w:rPr>
                <w:rFonts w:hint="eastAsia"/>
                <w:color w:val="auto"/>
                <w:highlight w:val="none"/>
              </w:rPr>
              <w:t>=15lg（r/</w:t>
            </w:r>
            <w:r>
              <w:rPr>
                <w:color w:val="auto"/>
                <w:highlight w:val="none"/>
              </w:rPr>
              <w:t>r</w:t>
            </w:r>
            <w:r>
              <w:rPr>
                <w:rFonts w:hint="eastAsia"/>
                <w:color w:val="auto"/>
                <w:highlight w:val="none"/>
                <w:vertAlign w:val="subscript"/>
              </w:rPr>
              <w:t>0</w:t>
            </w:r>
            <w:r>
              <w:rPr>
                <w:rFonts w:hint="eastAsia"/>
                <w:color w:val="auto"/>
                <w:highlight w:val="none"/>
              </w:rPr>
              <w:t>）</w:t>
            </w:r>
          </w:p>
          <w:p w14:paraId="6DF28682">
            <w:pPr>
              <w:pStyle w:val="38"/>
              <w:bidi w:val="0"/>
              <w:rPr>
                <w:color w:val="auto"/>
                <w:highlight w:val="none"/>
              </w:rPr>
            </w:pPr>
            <w:r>
              <w:rPr>
                <w:rFonts w:hint="eastAsia"/>
                <w:color w:val="auto"/>
                <w:highlight w:val="none"/>
              </w:rPr>
              <w:t>c、面声源（设面声源高度为a，长度为b，且a＜b）</w:t>
            </w:r>
          </w:p>
          <w:p w14:paraId="4E0DDFB6">
            <w:pPr>
              <w:pStyle w:val="38"/>
              <w:bidi w:val="0"/>
              <w:rPr>
                <w:color w:val="auto"/>
                <w:highlight w:val="none"/>
              </w:rPr>
            </w:pPr>
            <w:r>
              <w:rPr>
                <w:rFonts w:hint="eastAsia"/>
                <w:color w:val="auto"/>
                <w:highlight w:val="none"/>
              </w:rPr>
              <w:t>当 r&lt;a/3时，且</w:t>
            </w:r>
            <w:r>
              <w:rPr>
                <w:color w:val="auto"/>
                <w:highlight w:val="none"/>
              </w:rPr>
              <w:t>r</w:t>
            </w:r>
            <w:r>
              <w:rPr>
                <w:rFonts w:hint="eastAsia"/>
                <w:color w:val="auto"/>
                <w:highlight w:val="none"/>
                <w:vertAlign w:val="subscript"/>
              </w:rPr>
              <w:t>0</w:t>
            </w:r>
            <w:r>
              <w:rPr>
                <w:rFonts w:hint="eastAsia"/>
                <w:color w:val="auto"/>
                <w:highlight w:val="none"/>
              </w:rPr>
              <w:t>&lt;a/3时：A</w:t>
            </w:r>
            <w:r>
              <w:rPr>
                <w:rFonts w:hint="eastAsia"/>
                <w:color w:val="auto"/>
                <w:highlight w:val="none"/>
                <w:vertAlign w:val="subscript"/>
              </w:rPr>
              <w:t>div</w:t>
            </w:r>
            <w:r>
              <w:rPr>
                <w:rFonts w:hint="eastAsia"/>
                <w:color w:val="auto"/>
                <w:highlight w:val="none"/>
              </w:rPr>
              <w:t>=0</w:t>
            </w:r>
          </w:p>
          <w:p w14:paraId="507B622D">
            <w:pPr>
              <w:pStyle w:val="38"/>
              <w:bidi w:val="0"/>
              <w:rPr>
                <w:color w:val="auto"/>
                <w:highlight w:val="none"/>
              </w:rPr>
            </w:pPr>
            <w:r>
              <w:rPr>
                <w:rFonts w:hint="eastAsia"/>
                <w:color w:val="auto"/>
                <w:highlight w:val="none"/>
              </w:rPr>
              <w:t>当 a/3&lt;r&lt;b/3，且 a/3&lt;</w:t>
            </w:r>
            <w:r>
              <w:rPr>
                <w:color w:val="auto"/>
                <w:highlight w:val="none"/>
              </w:rPr>
              <w:t>r</w:t>
            </w:r>
            <w:r>
              <w:rPr>
                <w:rFonts w:hint="eastAsia"/>
                <w:color w:val="auto"/>
                <w:highlight w:val="none"/>
                <w:vertAlign w:val="subscript"/>
              </w:rPr>
              <w:t>0</w:t>
            </w:r>
            <w:r>
              <w:rPr>
                <w:rFonts w:hint="eastAsia"/>
                <w:color w:val="auto"/>
                <w:highlight w:val="none"/>
              </w:rPr>
              <w:t>&lt;b/3 时：A</w:t>
            </w:r>
            <w:r>
              <w:rPr>
                <w:rFonts w:hint="eastAsia"/>
                <w:color w:val="auto"/>
                <w:highlight w:val="none"/>
                <w:vertAlign w:val="subscript"/>
              </w:rPr>
              <w:t>div</w:t>
            </w:r>
            <w:r>
              <w:rPr>
                <w:rFonts w:hint="eastAsia"/>
                <w:color w:val="auto"/>
                <w:highlight w:val="none"/>
              </w:rPr>
              <w:t>=10lg（r/</w:t>
            </w:r>
            <w:r>
              <w:rPr>
                <w:color w:val="auto"/>
                <w:highlight w:val="none"/>
              </w:rPr>
              <w:t>r</w:t>
            </w:r>
            <w:r>
              <w:rPr>
                <w:rFonts w:hint="eastAsia"/>
                <w:color w:val="auto"/>
                <w:highlight w:val="none"/>
                <w:vertAlign w:val="subscript"/>
              </w:rPr>
              <w:t>0</w:t>
            </w:r>
            <w:r>
              <w:rPr>
                <w:rFonts w:hint="eastAsia"/>
                <w:color w:val="auto"/>
                <w:highlight w:val="none"/>
              </w:rPr>
              <w:t xml:space="preserve">） </w:t>
            </w:r>
          </w:p>
          <w:p w14:paraId="6335F7BB">
            <w:pPr>
              <w:pStyle w:val="38"/>
              <w:bidi w:val="0"/>
              <w:rPr>
                <w:color w:val="auto"/>
                <w:highlight w:val="none"/>
              </w:rPr>
            </w:pPr>
            <w:r>
              <w:rPr>
                <w:rFonts w:hint="eastAsia"/>
                <w:color w:val="auto"/>
                <w:highlight w:val="none"/>
              </w:rPr>
              <w:t>当 b/3&lt;r&lt;b，且 b/3&lt;</w:t>
            </w:r>
            <w:r>
              <w:rPr>
                <w:color w:val="auto"/>
                <w:highlight w:val="none"/>
              </w:rPr>
              <w:t>r</w:t>
            </w:r>
            <w:r>
              <w:rPr>
                <w:rFonts w:hint="eastAsia"/>
                <w:color w:val="auto"/>
                <w:highlight w:val="none"/>
                <w:vertAlign w:val="subscript"/>
              </w:rPr>
              <w:t>0</w:t>
            </w:r>
            <w:r>
              <w:rPr>
                <w:rFonts w:hint="eastAsia"/>
                <w:color w:val="auto"/>
                <w:highlight w:val="none"/>
              </w:rPr>
              <w:t>&lt;b 时：A</w:t>
            </w:r>
            <w:r>
              <w:rPr>
                <w:rFonts w:hint="eastAsia"/>
                <w:color w:val="auto"/>
                <w:highlight w:val="none"/>
                <w:vertAlign w:val="subscript"/>
              </w:rPr>
              <w:t>div</w:t>
            </w:r>
            <w:r>
              <w:rPr>
                <w:rFonts w:hint="eastAsia"/>
                <w:color w:val="auto"/>
                <w:highlight w:val="none"/>
              </w:rPr>
              <w:t>=15lg（r/</w:t>
            </w:r>
            <w:r>
              <w:rPr>
                <w:color w:val="auto"/>
                <w:highlight w:val="none"/>
              </w:rPr>
              <w:t>r</w:t>
            </w:r>
            <w:r>
              <w:rPr>
                <w:rFonts w:hint="eastAsia"/>
                <w:color w:val="auto"/>
                <w:highlight w:val="none"/>
                <w:vertAlign w:val="subscript"/>
              </w:rPr>
              <w:t>0</w:t>
            </w:r>
            <w:r>
              <w:rPr>
                <w:rFonts w:hint="eastAsia"/>
                <w:color w:val="auto"/>
                <w:highlight w:val="none"/>
              </w:rPr>
              <w:t>）</w:t>
            </w:r>
          </w:p>
          <w:p w14:paraId="21111282">
            <w:pPr>
              <w:pStyle w:val="38"/>
              <w:bidi w:val="0"/>
              <w:rPr>
                <w:color w:val="auto"/>
                <w:highlight w:val="none"/>
              </w:rPr>
            </w:pPr>
            <w:r>
              <w:rPr>
                <w:rFonts w:hint="eastAsia"/>
                <w:color w:val="auto"/>
                <w:highlight w:val="none"/>
              </w:rPr>
              <w:t>当 b&lt;r时，且 b&lt;</w:t>
            </w:r>
            <w:r>
              <w:rPr>
                <w:color w:val="auto"/>
                <w:highlight w:val="none"/>
              </w:rPr>
              <w:t>r</w:t>
            </w:r>
            <w:r>
              <w:rPr>
                <w:rFonts w:hint="eastAsia"/>
                <w:color w:val="auto"/>
                <w:highlight w:val="none"/>
                <w:vertAlign w:val="subscript"/>
              </w:rPr>
              <w:t>0</w:t>
            </w:r>
            <w:r>
              <w:rPr>
                <w:rFonts w:hint="eastAsia"/>
                <w:color w:val="auto"/>
                <w:highlight w:val="none"/>
              </w:rPr>
              <w:t>时：A</w:t>
            </w:r>
            <w:r>
              <w:rPr>
                <w:rFonts w:hint="eastAsia"/>
                <w:color w:val="auto"/>
                <w:highlight w:val="none"/>
                <w:vertAlign w:val="subscript"/>
              </w:rPr>
              <w:t>div</w:t>
            </w:r>
            <w:r>
              <w:rPr>
                <w:rFonts w:hint="eastAsia"/>
                <w:color w:val="auto"/>
                <w:highlight w:val="none"/>
              </w:rPr>
              <w:t>=20lg（r/</w:t>
            </w:r>
            <w:r>
              <w:rPr>
                <w:color w:val="auto"/>
                <w:highlight w:val="none"/>
              </w:rPr>
              <w:t>r</w:t>
            </w:r>
            <w:r>
              <w:rPr>
                <w:rFonts w:hint="eastAsia"/>
                <w:color w:val="auto"/>
                <w:highlight w:val="none"/>
                <w:vertAlign w:val="subscript"/>
              </w:rPr>
              <w:t>0</w:t>
            </w:r>
            <w:r>
              <w:rPr>
                <w:rFonts w:hint="eastAsia"/>
                <w:color w:val="auto"/>
                <w:highlight w:val="none"/>
              </w:rPr>
              <w:t>）</w:t>
            </w:r>
          </w:p>
          <w:p w14:paraId="073AD676">
            <w:pPr>
              <w:pStyle w:val="38"/>
              <w:bidi w:val="0"/>
              <w:rPr>
                <w:color w:val="auto"/>
                <w:highlight w:val="none"/>
              </w:rPr>
            </w:pPr>
            <w:r>
              <w:rPr>
                <w:rFonts w:hint="eastAsia"/>
                <w:color w:val="auto"/>
                <w:highlight w:val="none"/>
              </w:rPr>
              <w:t>②空气吸收衰减量A</w:t>
            </w:r>
            <w:r>
              <w:rPr>
                <w:rFonts w:hint="eastAsia"/>
                <w:color w:val="auto"/>
                <w:highlight w:val="none"/>
                <w:vertAlign w:val="subscript"/>
              </w:rPr>
              <w:t>atm</w:t>
            </w:r>
          </w:p>
          <w:p w14:paraId="0B04BA55">
            <w:pPr>
              <w:pStyle w:val="38"/>
              <w:bidi w:val="0"/>
              <w:rPr>
                <w:color w:val="auto"/>
                <w:highlight w:val="none"/>
              </w:rPr>
            </w:pPr>
            <w:r>
              <w:rPr>
                <w:rFonts w:hint="eastAsia"/>
                <w:color w:val="auto"/>
                <w:highlight w:val="none"/>
              </w:rPr>
              <w:t>空气吸收引起的A声级衰减量按下式计算：</w:t>
            </w:r>
          </w:p>
          <w:p w14:paraId="07C32004">
            <w:pPr>
              <w:pStyle w:val="38"/>
              <w:bidi w:val="0"/>
              <w:rPr>
                <w:color w:val="auto"/>
                <w:highlight w:val="none"/>
              </w:rPr>
            </w:pPr>
            <w:r>
              <w:rPr>
                <w:rFonts w:hint="eastAsia"/>
                <w:color w:val="auto"/>
                <w:highlight w:val="none"/>
              </w:rPr>
              <w:t>A</w:t>
            </w:r>
            <w:r>
              <w:rPr>
                <w:rFonts w:hint="eastAsia"/>
                <w:color w:val="auto"/>
                <w:highlight w:val="none"/>
                <w:vertAlign w:val="subscript"/>
              </w:rPr>
              <w:t>atm</w:t>
            </w:r>
            <w:r>
              <w:rPr>
                <w:rFonts w:hint="eastAsia"/>
                <w:color w:val="auto"/>
                <w:highlight w:val="none"/>
              </w:rPr>
              <w:t>＝a（r－</w:t>
            </w:r>
            <w:r>
              <w:rPr>
                <w:color w:val="auto"/>
                <w:highlight w:val="none"/>
              </w:rPr>
              <w:t>r</w:t>
            </w:r>
            <w:r>
              <w:rPr>
                <w:rFonts w:hint="eastAsia"/>
                <w:color w:val="auto"/>
                <w:highlight w:val="none"/>
                <w:vertAlign w:val="subscript"/>
              </w:rPr>
              <w:t>0</w:t>
            </w:r>
            <w:r>
              <w:rPr>
                <w:rFonts w:hint="eastAsia"/>
                <w:color w:val="auto"/>
                <w:highlight w:val="none"/>
              </w:rPr>
              <w:t>）/100</w:t>
            </w:r>
          </w:p>
          <w:p w14:paraId="45A75B8A">
            <w:pPr>
              <w:pStyle w:val="38"/>
              <w:bidi w:val="0"/>
              <w:rPr>
                <w:color w:val="auto"/>
                <w:highlight w:val="none"/>
              </w:rPr>
            </w:pPr>
            <w:r>
              <w:rPr>
                <w:rFonts w:hint="eastAsia"/>
                <w:color w:val="auto"/>
                <w:highlight w:val="none"/>
              </w:rPr>
              <w:t>式中：a为每100m空气吸收系数，是温度、湿度和声波频率的函数。</w:t>
            </w:r>
          </w:p>
          <w:p w14:paraId="2ED885DB">
            <w:pPr>
              <w:pStyle w:val="38"/>
              <w:bidi w:val="0"/>
              <w:rPr>
                <w:color w:val="auto"/>
                <w:highlight w:val="none"/>
              </w:rPr>
            </w:pPr>
            <w:r>
              <w:rPr>
                <w:rFonts w:hint="eastAsia"/>
                <w:color w:val="auto"/>
                <w:highlight w:val="none"/>
              </w:rPr>
              <w:t>本评价由于计算距离较近，A</w:t>
            </w:r>
            <w:r>
              <w:rPr>
                <w:rFonts w:hint="eastAsia"/>
                <w:color w:val="auto"/>
                <w:highlight w:val="none"/>
                <w:vertAlign w:val="subscript"/>
              </w:rPr>
              <w:t>atm</w:t>
            </w:r>
            <w:r>
              <w:rPr>
                <w:rFonts w:hint="eastAsia"/>
                <w:color w:val="auto"/>
                <w:highlight w:val="none"/>
              </w:rPr>
              <w:t>计算值较小，故在计算时忽略此项。</w:t>
            </w:r>
          </w:p>
          <w:p w14:paraId="2293F90F">
            <w:pPr>
              <w:pStyle w:val="38"/>
              <w:bidi w:val="0"/>
              <w:rPr>
                <w:color w:val="auto"/>
                <w:highlight w:val="none"/>
              </w:rPr>
            </w:pPr>
            <w:r>
              <w:rPr>
                <w:rFonts w:hint="eastAsia"/>
                <w:color w:val="auto"/>
                <w:highlight w:val="none"/>
              </w:rPr>
              <w:t>③遮挡物引起的衰减量A</w:t>
            </w:r>
            <w:r>
              <w:rPr>
                <w:rFonts w:hint="eastAsia"/>
                <w:color w:val="auto"/>
                <w:highlight w:val="none"/>
                <w:vertAlign w:val="subscript"/>
              </w:rPr>
              <w:t>bar</w:t>
            </w:r>
          </w:p>
          <w:p w14:paraId="31D1CF0A">
            <w:pPr>
              <w:pStyle w:val="38"/>
              <w:bidi w:val="0"/>
              <w:rPr>
                <w:color w:val="auto"/>
                <w:highlight w:val="none"/>
              </w:rPr>
            </w:pPr>
            <w:r>
              <w:rPr>
                <w:rFonts w:hint="eastAsia"/>
                <w:color w:val="auto"/>
                <w:highlight w:val="none"/>
              </w:rPr>
              <w:t>位于声源和预测点之间的实体障碍物，如围墙、建筑物、土坡、地堑或绿化林带都能起声屏 障作用，从而引起声能量的衰减，具体衰减根据不同声级的传播途径而定，一般取20～25dB（A）。</w:t>
            </w:r>
          </w:p>
          <w:p w14:paraId="0344D301">
            <w:pPr>
              <w:pStyle w:val="38"/>
              <w:bidi w:val="0"/>
              <w:rPr>
                <w:color w:val="auto"/>
                <w:highlight w:val="none"/>
              </w:rPr>
            </w:pPr>
            <w:r>
              <w:rPr>
                <w:rFonts w:hint="eastAsia"/>
                <w:color w:val="auto"/>
                <w:highlight w:val="none"/>
              </w:rPr>
              <w:t>④附加衰减量A</w:t>
            </w:r>
            <w:r>
              <w:rPr>
                <w:rFonts w:hint="eastAsia"/>
                <w:color w:val="auto"/>
                <w:highlight w:val="none"/>
                <w:vertAlign w:val="subscript"/>
              </w:rPr>
              <w:t>exc</w:t>
            </w:r>
          </w:p>
          <w:p w14:paraId="11F0DD71">
            <w:pPr>
              <w:pStyle w:val="38"/>
              <w:bidi w:val="0"/>
              <w:rPr>
                <w:color w:val="auto"/>
                <w:highlight w:val="none"/>
              </w:rPr>
            </w:pPr>
            <w:r>
              <w:rPr>
                <w:rFonts w:hint="eastAsia"/>
                <w:color w:val="auto"/>
                <w:highlight w:val="none"/>
              </w:rPr>
              <w:t>根据导则规定，满足下列条件需考虑地面效应引起的附加衰减：①预测点距声源50m以上；②声源距地面高度和预测点距地面高度的平均值小于3m；③声源与预测点之间的地面被草地、灌木等覆盖（软地面）。此时，地面效应引起附加衰减量按下式计算：</w:t>
            </w:r>
          </w:p>
          <w:p w14:paraId="2CB89FFC">
            <w:pPr>
              <w:pStyle w:val="38"/>
              <w:bidi w:val="0"/>
              <w:rPr>
                <w:color w:val="auto"/>
                <w:highlight w:val="none"/>
              </w:rPr>
            </w:pPr>
            <w:r>
              <w:rPr>
                <w:rFonts w:hint="eastAsia"/>
                <w:color w:val="auto"/>
                <w:highlight w:val="none"/>
              </w:rPr>
              <w:t>A</w:t>
            </w:r>
            <w:r>
              <w:rPr>
                <w:rFonts w:hint="eastAsia"/>
                <w:color w:val="auto"/>
                <w:highlight w:val="none"/>
                <w:vertAlign w:val="subscript"/>
              </w:rPr>
              <w:t>exc</w:t>
            </w:r>
            <w:r>
              <w:rPr>
                <w:rFonts w:hint="eastAsia"/>
                <w:color w:val="auto"/>
                <w:highlight w:val="none"/>
              </w:rPr>
              <w:t>=5lg（r/</w:t>
            </w:r>
            <w:r>
              <w:rPr>
                <w:color w:val="auto"/>
                <w:highlight w:val="none"/>
              </w:rPr>
              <w:t>r</w:t>
            </w:r>
            <w:r>
              <w:rPr>
                <w:rFonts w:hint="eastAsia"/>
                <w:color w:val="auto"/>
                <w:highlight w:val="none"/>
                <w:vertAlign w:val="subscript"/>
              </w:rPr>
              <w:t>0</w:t>
            </w:r>
            <w:r>
              <w:rPr>
                <w:rFonts w:hint="eastAsia"/>
                <w:color w:val="auto"/>
                <w:highlight w:val="none"/>
              </w:rPr>
              <w:t>）</w:t>
            </w:r>
          </w:p>
          <w:p w14:paraId="1A077A97">
            <w:pPr>
              <w:pStyle w:val="38"/>
              <w:bidi w:val="0"/>
              <w:rPr>
                <w:color w:val="auto"/>
                <w:highlight w:val="none"/>
              </w:rPr>
            </w:pPr>
            <w:r>
              <w:rPr>
                <w:rFonts w:hint="eastAsia"/>
                <w:color w:val="auto"/>
                <w:highlight w:val="none"/>
              </w:rPr>
              <w:t>不管传播距离多远，地面效应引起附加衰减量的上限为10dB（A）。根据厂区布置和噪声源强及外环境状况，本环评忽略不计。</w:t>
            </w:r>
          </w:p>
          <w:p w14:paraId="57CE36DA">
            <w:pPr>
              <w:pStyle w:val="38"/>
              <w:bidi w:val="0"/>
              <w:rPr>
                <w:color w:val="auto"/>
                <w:highlight w:val="none"/>
              </w:rPr>
            </w:pPr>
            <w:r>
              <w:rPr>
                <w:rFonts w:hint="eastAsia"/>
                <w:b/>
                <w:bCs/>
                <w:color w:val="auto"/>
                <w:highlight w:val="none"/>
              </w:rPr>
              <w:t>2、</w:t>
            </w:r>
            <w:r>
              <w:rPr>
                <w:b/>
                <w:bCs/>
                <w:color w:val="auto"/>
                <w:highlight w:val="none"/>
              </w:rPr>
              <w:t>预测结果和分析</w:t>
            </w:r>
          </w:p>
          <w:p w14:paraId="1D1B237D">
            <w:pPr>
              <w:pStyle w:val="38"/>
              <w:bidi w:val="0"/>
              <w:rPr>
                <w:color w:val="auto"/>
                <w:highlight w:val="none"/>
              </w:rPr>
            </w:pPr>
            <w:r>
              <w:rPr>
                <w:rFonts w:hint="eastAsia"/>
                <w:color w:val="auto"/>
                <w:highlight w:val="none"/>
              </w:rPr>
              <w:t>根据拟建项目主要设备的噪声源的情况，利用以上预测模式和参数计算得各测点的噪声预测值，预测结果</w:t>
            </w:r>
            <w:r>
              <w:rPr>
                <w:color w:val="auto"/>
                <w:highlight w:val="none"/>
              </w:rPr>
              <w:t>见下表。</w:t>
            </w:r>
          </w:p>
          <w:p w14:paraId="352D212B">
            <w:pPr>
              <w:spacing w:line="360" w:lineRule="auto"/>
              <w:ind w:firstLine="420"/>
              <w:jc w:val="center"/>
              <w:rPr>
                <w:rFonts w:hint="default" w:ascii="Times New Roman" w:hAnsi="Times New Roman" w:eastAsia="黑体" w:cs="Times New Roman"/>
                <w:color w:val="auto"/>
                <w:kern w:val="2"/>
                <w:sz w:val="21"/>
                <w:szCs w:val="24"/>
                <w:highlight w:val="none"/>
                <w:lang w:val="en-US" w:eastAsia="zh-CN" w:bidi="ar-SA"/>
              </w:rPr>
            </w:pPr>
            <w:r>
              <w:rPr>
                <w:rFonts w:hint="default" w:ascii="Times New Roman" w:hAnsi="Times New Roman" w:eastAsia="黑体" w:cs="Times New Roman"/>
                <w:color w:val="auto"/>
                <w:kern w:val="2"/>
                <w:sz w:val="21"/>
                <w:szCs w:val="24"/>
                <w:highlight w:val="none"/>
                <w:lang w:val="en-US" w:eastAsia="zh-CN" w:bidi="ar-SA"/>
              </w:rPr>
              <w:t>表</w:t>
            </w:r>
            <w:r>
              <w:rPr>
                <w:rFonts w:hint="eastAsia" w:eastAsia="黑体" w:cs="Times New Roman"/>
                <w:color w:val="auto"/>
                <w:kern w:val="2"/>
                <w:sz w:val="21"/>
                <w:szCs w:val="24"/>
                <w:highlight w:val="none"/>
                <w:lang w:val="en-US" w:eastAsia="zh-CN" w:bidi="ar-SA"/>
              </w:rPr>
              <w:t>30</w:t>
            </w:r>
            <w:r>
              <w:rPr>
                <w:rFonts w:hint="default" w:ascii="Times New Roman" w:hAnsi="Times New Roman" w:eastAsia="黑体" w:cs="Times New Roman"/>
                <w:color w:val="auto"/>
                <w:kern w:val="2"/>
                <w:sz w:val="21"/>
                <w:szCs w:val="24"/>
                <w:highlight w:val="none"/>
                <w:lang w:val="en-US" w:eastAsia="zh-CN" w:bidi="ar-SA"/>
              </w:rPr>
              <w:t xml:space="preserve"> 主要噪声源对厂界声级贡献情况表</w:t>
            </w:r>
          </w:p>
          <w:tbl>
            <w:tblPr>
              <w:tblStyle w:val="2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67"/>
              <w:gridCol w:w="2267"/>
              <w:gridCol w:w="2270"/>
              <w:gridCol w:w="2141"/>
            </w:tblGrid>
            <w:tr w14:paraId="57151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pct"/>
                  <w:vMerge w:val="restart"/>
                  <w:vAlign w:val="center"/>
                </w:tcPr>
                <w:p w14:paraId="03C3D9F4">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预测点</w:t>
                  </w:r>
                </w:p>
              </w:tc>
              <w:tc>
                <w:tcPr>
                  <w:tcW w:w="2594" w:type="pct"/>
                  <w:gridSpan w:val="2"/>
                  <w:vAlign w:val="center"/>
                </w:tcPr>
                <w:p w14:paraId="0B8D0D48">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昼间</w:t>
                  </w:r>
                </w:p>
              </w:tc>
              <w:tc>
                <w:tcPr>
                  <w:tcW w:w="1222" w:type="pct"/>
                  <w:vMerge w:val="restart"/>
                  <w:vAlign w:val="center"/>
                </w:tcPr>
                <w:p w14:paraId="3D433A01">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达标情况</w:t>
                  </w:r>
                </w:p>
              </w:tc>
            </w:tr>
            <w:tr w14:paraId="6096C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pct"/>
                  <w:vMerge w:val="continue"/>
                  <w:vAlign w:val="center"/>
                </w:tcPr>
                <w:p w14:paraId="5E2EA926">
                  <w:pPr>
                    <w:pStyle w:val="41"/>
                    <w:rPr>
                      <w:rFonts w:hint="eastAsia" w:ascii="Times New Roman" w:hAnsi="Times New Roman" w:eastAsia="宋体" w:cs="Times New Roman"/>
                      <w:color w:val="FF0000"/>
                      <w:sz w:val="20"/>
                      <w:szCs w:val="20"/>
                      <w:highlight w:val="none"/>
                      <w:lang w:val="en-US" w:eastAsia="zh-CN"/>
                    </w:rPr>
                  </w:pPr>
                </w:p>
              </w:tc>
              <w:tc>
                <w:tcPr>
                  <w:tcW w:w="1296" w:type="pct"/>
                  <w:vAlign w:val="center"/>
                </w:tcPr>
                <w:p w14:paraId="3F1BF5E4">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贡献值</w:t>
                  </w:r>
                </w:p>
              </w:tc>
              <w:tc>
                <w:tcPr>
                  <w:tcW w:w="1298" w:type="pct"/>
                  <w:vAlign w:val="center"/>
                </w:tcPr>
                <w:p w14:paraId="2EB4F290">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标准值</w:t>
                  </w:r>
                </w:p>
              </w:tc>
              <w:tc>
                <w:tcPr>
                  <w:tcW w:w="1222" w:type="pct"/>
                  <w:vMerge w:val="continue"/>
                  <w:vAlign w:val="center"/>
                </w:tcPr>
                <w:p w14:paraId="6ECA43C5">
                  <w:pPr>
                    <w:pStyle w:val="41"/>
                    <w:rPr>
                      <w:rFonts w:hint="eastAsia" w:ascii="Times New Roman" w:hAnsi="Times New Roman" w:eastAsia="宋体" w:cs="Times New Roman"/>
                      <w:color w:val="FF0000"/>
                      <w:sz w:val="20"/>
                      <w:szCs w:val="20"/>
                      <w:highlight w:val="none"/>
                      <w:lang w:val="en-US" w:eastAsia="zh-CN"/>
                    </w:rPr>
                  </w:pPr>
                </w:p>
              </w:tc>
            </w:tr>
            <w:tr w14:paraId="32A2F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pct"/>
                  <w:vAlign w:val="center"/>
                </w:tcPr>
                <w:p w14:paraId="51490E2B">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南厂界</w:t>
                  </w:r>
                </w:p>
              </w:tc>
              <w:tc>
                <w:tcPr>
                  <w:tcW w:w="1296" w:type="pct"/>
                  <w:vAlign w:val="center"/>
                </w:tcPr>
                <w:p w14:paraId="7AB1619B">
                  <w:pPr>
                    <w:pStyle w:val="41"/>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cs="Times New Roman"/>
                      <w:color w:val="FF0000"/>
                      <w:sz w:val="20"/>
                      <w:szCs w:val="20"/>
                      <w:highlight w:val="none"/>
                      <w:lang w:val="en-US" w:eastAsia="zh-CN"/>
                    </w:rPr>
                    <w:t>27</w:t>
                  </w:r>
                  <w:r>
                    <w:rPr>
                      <w:rFonts w:hint="eastAsia" w:ascii="Times New Roman" w:hAnsi="Times New Roman" w:eastAsia="宋体" w:cs="Times New Roman"/>
                      <w:color w:val="FF0000"/>
                      <w:sz w:val="20"/>
                      <w:szCs w:val="20"/>
                      <w:highlight w:val="none"/>
                      <w:lang w:val="en-US" w:eastAsia="zh-CN"/>
                    </w:rPr>
                    <w:t>.6</w:t>
                  </w:r>
                </w:p>
              </w:tc>
              <w:tc>
                <w:tcPr>
                  <w:tcW w:w="1298" w:type="pct"/>
                  <w:vAlign w:val="center"/>
                </w:tcPr>
                <w:p w14:paraId="01FA7D49">
                  <w:pPr>
                    <w:pStyle w:val="41"/>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65</w:t>
                  </w:r>
                </w:p>
              </w:tc>
              <w:tc>
                <w:tcPr>
                  <w:tcW w:w="1222" w:type="pct"/>
                  <w:vAlign w:val="center"/>
                </w:tcPr>
                <w:p w14:paraId="01A5044F">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达标</w:t>
                  </w:r>
                </w:p>
              </w:tc>
            </w:tr>
            <w:tr w14:paraId="48F3F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pct"/>
                  <w:vAlign w:val="center"/>
                </w:tcPr>
                <w:p w14:paraId="7384216E">
                  <w:pPr>
                    <w:pStyle w:val="41"/>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北厂界</w:t>
                  </w:r>
                </w:p>
              </w:tc>
              <w:tc>
                <w:tcPr>
                  <w:tcW w:w="1296" w:type="pct"/>
                  <w:vAlign w:val="center"/>
                </w:tcPr>
                <w:p w14:paraId="542D0E47">
                  <w:pPr>
                    <w:pStyle w:val="41"/>
                    <w:rPr>
                      <w:rFonts w:hint="default" w:ascii="Times New Roman" w:hAnsi="Times New Roman" w:eastAsia="宋体" w:cs="Times New Roman"/>
                      <w:color w:val="FF0000"/>
                      <w:sz w:val="20"/>
                      <w:szCs w:val="20"/>
                      <w:highlight w:val="none"/>
                      <w:lang w:val="en-US" w:eastAsia="zh-CN"/>
                    </w:rPr>
                  </w:pPr>
                  <w:r>
                    <w:rPr>
                      <w:rFonts w:hint="eastAsia" w:ascii="Times New Roman" w:hAnsi="Times New Roman" w:cs="Times New Roman"/>
                      <w:color w:val="FF0000"/>
                      <w:sz w:val="20"/>
                      <w:szCs w:val="20"/>
                      <w:highlight w:val="none"/>
                      <w:lang w:val="en-US" w:eastAsia="zh-CN"/>
                    </w:rPr>
                    <w:t>19.6</w:t>
                  </w:r>
                </w:p>
              </w:tc>
              <w:tc>
                <w:tcPr>
                  <w:tcW w:w="1298" w:type="pct"/>
                  <w:shd w:val="clear" w:color="auto" w:fill="auto"/>
                  <w:vAlign w:val="center"/>
                </w:tcPr>
                <w:p w14:paraId="22415700">
                  <w:pPr>
                    <w:pStyle w:val="41"/>
                    <w:rPr>
                      <w:rFonts w:hint="eastAsia" w:ascii="Times New Roman" w:hAnsi="Times New Roman" w:eastAsia="宋体" w:cs="Times New Roman"/>
                      <w:color w:val="FF0000"/>
                      <w:kern w:val="2"/>
                      <w:sz w:val="20"/>
                      <w:szCs w:val="20"/>
                      <w:highlight w:val="none"/>
                      <w:lang w:val="en-US" w:eastAsia="zh-CN" w:bidi="ar-SA"/>
                    </w:rPr>
                  </w:pPr>
                  <w:r>
                    <w:rPr>
                      <w:rFonts w:hint="eastAsia" w:ascii="Times New Roman" w:hAnsi="Times New Roman" w:eastAsia="宋体" w:cs="Times New Roman"/>
                      <w:color w:val="FF0000"/>
                      <w:sz w:val="20"/>
                      <w:szCs w:val="20"/>
                      <w:highlight w:val="none"/>
                      <w:lang w:val="en-US" w:eastAsia="zh-CN"/>
                    </w:rPr>
                    <w:t>65</w:t>
                  </w:r>
                </w:p>
              </w:tc>
              <w:tc>
                <w:tcPr>
                  <w:tcW w:w="1222" w:type="pct"/>
                  <w:shd w:val="clear" w:color="auto" w:fill="auto"/>
                  <w:vAlign w:val="center"/>
                </w:tcPr>
                <w:p w14:paraId="5905593E">
                  <w:pPr>
                    <w:pStyle w:val="41"/>
                    <w:rPr>
                      <w:rFonts w:hint="eastAsia" w:ascii="Times New Roman" w:hAnsi="Times New Roman" w:eastAsia="宋体" w:cs="Times New Roman"/>
                      <w:color w:val="FF0000"/>
                      <w:kern w:val="2"/>
                      <w:sz w:val="20"/>
                      <w:szCs w:val="20"/>
                      <w:highlight w:val="none"/>
                      <w:lang w:val="en-US" w:eastAsia="zh-CN" w:bidi="ar-SA"/>
                    </w:rPr>
                  </w:pPr>
                  <w:r>
                    <w:rPr>
                      <w:rFonts w:hint="eastAsia" w:ascii="Times New Roman" w:hAnsi="Times New Roman" w:eastAsia="宋体" w:cs="Times New Roman"/>
                      <w:color w:val="FF0000"/>
                      <w:sz w:val="20"/>
                      <w:szCs w:val="20"/>
                      <w:highlight w:val="none"/>
                      <w:lang w:val="en-US" w:eastAsia="zh-CN"/>
                    </w:rPr>
                    <w:t>达标</w:t>
                  </w:r>
                </w:p>
              </w:tc>
            </w:tr>
            <w:tr w14:paraId="17550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vAlign w:val="center"/>
                </w:tcPr>
                <w:p w14:paraId="2ECE4559">
                  <w:pPr>
                    <w:pStyle w:val="41"/>
                    <w:jc w:val="both"/>
                    <w:rPr>
                      <w:rFonts w:hint="eastAsia" w:ascii="Times New Roman" w:hAnsi="Times New Roman" w:eastAsia="宋体" w:cs="Times New Roman"/>
                      <w:color w:val="FF0000"/>
                      <w:sz w:val="20"/>
                      <w:szCs w:val="20"/>
                      <w:highlight w:val="none"/>
                      <w:lang w:val="en-US" w:eastAsia="zh-CN"/>
                    </w:rPr>
                  </w:pPr>
                  <w:r>
                    <w:rPr>
                      <w:rFonts w:hint="eastAsia" w:ascii="Times New Roman" w:hAnsi="Times New Roman" w:eastAsia="宋体" w:cs="Times New Roman"/>
                      <w:color w:val="FF0000"/>
                      <w:sz w:val="20"/>
                      <w:szCs w:val="20"/>
                      <w:highlight w:val="none"/>
                      <w:lang w:val="en-US" w:eastAsia="zh-CN"/>
                    </w:rPr>
                    <w:t>备注：本项目实行单班工作制，项目夜间不生产。</w:t>
                  </w:r>
                </w:p>
              </w:tc>
            </w:tr>
          </w:tbl>
          <w:p w14:paraId="356239C9">
            <w:pPr>
              <w:pStyle w:val="38"/>
              <w:bidi w:val="0"/>
              <w:rPr>
                <w:color w:val="auto"/>
                <w:highlight w:val="none"/>
              </w:rPr>
            </w:pPr>
            <w:r>
              <w:rPr>
                <w:rFonts w:hint="eastAsia"/>
                <w:color w:val="auto"/>
                <w:highlight w:val="none"/>
              </w:rPr>
              <w:t>项目建成后厂区设备噪声采用上述隔声、</w:t>
            </w:r>
            <w:r>
              <w:rPr>
                <w:rFonts w:hint="eastAsia"/>
                <w:color w:val="auto"/>
                <w:highlight w:val="none"/>
                <w:lang w:eastAsia="zh-CN"/>
              </w:rPr>
              <w:t>消声、</w:t>
            </w:r>
            <w:r>
              <w:rPr>
                <w:rFonts w:hint="eastAsia"/>
                <w:color w:val="auto"/>
                <w:highlight w:val="none"/>
              </w:rPr>
              <w:t>减振措施后，经过距离衰减，厂界噪声最大贡献值满足《工业企业厂界环境噪声排放标准》（GB12348-2008）</w:t>
            </w:r>
            <w:r>
              <w:rPr>
                <w:rFonts w:hint="eastAsia"/>
                <w:color w:val="auto"/>
                <w:highlight w:val="none"/>
                <w:lang w:val="en-US" w:eastAsia="zh-CN"/>
              </w:rPr>
              <w:t>3</w:t>
            </w:r>
            <w:r>
              <w:rPr>
                <w:rFonts w:hint="eastAsia"/>
                <w:color w:val="auto"/>
                <w:highlight w:val="none"/>
              </w:rPr>
              <w:t>类标准；因此，本项目在做好噪声治理措施后，设备噪声对周围环境不会造成太大影响。</w:t>
            </w:r>
          </w:p>
          <w:p w14:paraId="0511DFD2">
            <w:pPr>
              <w:pStyle w:val="38"/>
              <w:bidi w:val="0"/>
              <w:rPr>
                <w:color w:val="auto"/>
                <w:highlight w:val="none"/>
              </w:rPr>
            </w:pPr>
            <w:r>
              <w:rPr>
                <w:rFonts w:hint="eastAsia"/>
                <w:b/>
                <w:bCs/>
                <w:color w:val="auto"/>
                <w:highlight w:val="none"/>
              </w:rPr>
              <w:t>3、监测要求</w:t>
            </w:r>
          </w:p>
          <w:p w14:paraId="0A7B3E96">
            <w:pPr>
              <w:pStyle w:val="38"/>
              <w:bidi w:val="0"/>
              <w:rPr>
                <w:color w:val="auto"/>
                <w:highlight w:val="none"/>
              </w:rPr>
            </w:pPr>
            <w:r>
              <w:rPr>
                <w:rFonts w:hint="eastAsia"/>
                <w:color w:val="auto"/>
                <w:highlight w:val="none"/>
              </w:rPr>
              <w:t>根据《排污许可证申请与核发技术规范 工业噪声》（HJ 1301-2023）相关要求，本项目噪声监测计划见下表，监测方法采用国家标准测试方法。</w:t>
            </w:r>
          </w:p>
          <w:p w14:paraId="2B644854">
            <w:pPr>
              <w:spacing w:line="360" w:lineRule="auto"/>
              <w:ind w:firstLine="420"/>
              <w:jc w:val="center"/>
              <w:rPr>
                <w:rFonts w:hint="default" w:ascii="Times New Roman" w:hAnsi="Times New Roman" w:eastAsia="黑体" w:cs="Times New Roman"/>
                <w:color w:val="auto"/>
                <w:kern w:val="2"/>
                <w:sz w:val="21"/>
                <w:szCs w:val="24"/>
                <w:highlight w:val="none"/>
                <w:lang w:val="en-US" w:eastAsia="zh-CN" w:bidi="ar-SA"/>
              </w:rPr>
            </w:pPr>
            <w:r>
              <w:rPr>
                <w:rFonts w:hint="default" w:ascii="Times New Roman" w:hAnsi="Times New Roman" w:eastAsia="黑体" w:cs="Times New Roman"/>
                <w:color w:val="auto"/>
                <w:kern w:val="2"/>
                <w:sz w:val="21"/>
                <w:szCs w:val="24"/>
                <w:highlight w:val="none"/>
                <w:lang w:val="en-US" w:eastAsia="zh-CN" w:bidi="ar-SA"/>
              </w:rPr>
              <w:t>表</w:t>
            </w:r>
            <w:r>
              <w:rPr>
                <w:rFonts w:hint="eastAsia" w:eastAsia="黑体" w:cs="Times New Roman"/>
                <w:color w:val="auto"/>
                <w:kern w:val="2"/>
                <w:sz w:val="21"/>
                <w:szCs w:val="24"/>
                <w:highlight w:val="none"/>
                <w:lang w:val="en-US" w:eastAsia="zh-CN" w:bidi="ar-SA"/>
              </w:rPr>
              <w:t>31</w:t>
            </w:r>
            <w:r>
              <w:rPr>
                <w:rFonts w:hint="default" w:ascii="Times New Roman" w:hAnsi="Times New Roman" w:eastAsia="黑体" w:cs="Times New Roman"/>
                <w:color w:val="auto"/>
                <w:kern w:val="2"/>
                <w:sz w:val="21"/>
                <w:szCs w:val="24"/>
                <w:highlight w:val="none"/>
                <w:lang w:val="en-US" w:eastAsia="zh-CN" w:bidi="ar-SA"/>
              </w:rPr>
              <w:t xml:space="preserve"> </w:t>
            </w:r>
            <w:r>
              <w:rPr>
                <w:rFonts w:hint="eastAsia" w:ascii="Times New Roman" w:hAnsi="Times New Roman" w:eastAsia="黑体" w:cs="Times New Roman"/>
                <w:color w:val="auto"/>
                <w:kern w:val="2"/>
                <w:sz w:val="21"/>
                <w:szCs w:val="24"/>
                <w:highlight w:val="none"/>
                <w:lang w:val="en-US" w:eastAsia="zh-CN" w:bidi="ar-SA"/>
              </w:rPr>
              <w:t>噪声</w:t>
            </w:r>
            <w:r>
              <w:rPr>
                <w:rFonts w:hint="default" w:ascii="Times New Roman" w:hAnsi="Times New Roman" w:eastAsia="黑体" w:cs="Times New Roman"/>
                <w:color w:val="auto"/>
                <w:kern w:val="2"/>
                <w:sz w:val="21"/>
                <w:szCs w:val="24"/>
                <w:highlight w:val="none"/>
                <w:lang w:val="en-US" w:eastAsia="zh-CN" w:bidi="ar-SA"/>
              </w:rPr>
              <w:t>监测计划要求</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0"/>
              <w:gridCol w:w="3173"/>
              <w:gridCol w:w="2433"/>
              <w:gridCol w:w="1764"/>
            </w:tblGrid>
            <w:tr w14:paraId="444CB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9" w:type="pct"/>
                  <w:vAlign w:val="center"/>
                </w:tcPr>
                <w:p w14:paraId="41379642">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监测项目</w:t>
                  </w:r>
                </w:p>
              </w:tc>
              <w:tc>
                <w:tcPr>
                  <w:tcW w:w="1813" w:type="pct"/>
                  <w:vAlign w:val="center"/>
                </w:tcPr>
                <w:p w14:paraId="0C8C305B">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监测点位</w:t>
                  </w:r>
                </w:p>
              </w:tc>
              <w:tc>
                <w:tcPr>
                  <w:tcW w:w="1390" w:type="pct"/>
                  <w:vAlign w:val="center"/>
                </w:tcPr>
                <w:p w14:paraId="7927C662">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监测指标</w:t>
                  </w:r>
                </w:p>
              </w:tc>
              <w:tc>
                <w:tcPr>
                  <w:tcW w:w="1007" w:type="pct"/>
                  <w:vAlign w:val="center"/>
                </w:tcPr>
                <w:p w14:paraId="05F287B4">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监测频次</w:t>
                  </w:r>
                </w:p>
              </w:tc>
            </w:tr>
            <w:tr w14:paraId="2FD86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9" w:type="pct"/>
                  <w:vAlign w:val="center"/>
                </w:tcPr>
                <w:p w14:paraId="4F6183DF">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噪声</w:t>
                  </w:r>
                </w:p>
              </w:tc>
              <w:tc>
                <w:tcPr>
                  <w:tcW w:w="1813" w:type="pct"/>
                  <w:vAlign w:val="center"/>
                </w:tcPr>
                <w:p w14:paraId="6B0CD4CE">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厂界外1m</w:t>
                  </w:r>
                </w:p>
              </w:tc>
              <w:tc>
                <w:tcPr>
                  <w:tcW w:w="1390" w:type="pct"/>
                  <w:vAlign w:val="center"/>
                </w:tcPr>
                <w:p w14:paraId="664CD806">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昼间、夜间，等效A声级</w:t>
                  </w:r>
                </w:p>
              </w:tc>
              <w:tc>
                <w:tcPr>
                  <w:tcW w:w="1007" w:type="pct"/>
                  <w:vAlign w:val="center"/>
                </w:tcPr>
                <w:p w14:paraId="2D083B51">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每季度1次</w:t>
                  </w:r>
                </w:p>
              </w:tc>
            </w:tr>
            <w:tr w14:paraId="10D20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vAlign w:val="center"/>
                </w:tcPr>
                <w:p w14:paraId="133528BE">
                  <w:pPr>
                    <w:pStyle w:val="41"/>
                    <w:jc w:val="both"/>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注：项目东、西两侧厂房紧邻其他企业建筑不具备监测条件。</w:t>
                  </w:r>
                </w:p>
              </w:tc>
            </w:tr>
          </w:tbl>
          <w:p w14:paraId="42305C20">
            <w:pPr>
              <w:pStyle w:val="38"/>
              <w:bidi w:val="0"/>
              <w:rPr>
                <w:rFonts w:hint="default"/>
                <w:color w:val="auto"/>
                <w:highlight w:val="none"/>
                <w:lang w:eastAsia="zh-CN"/>
              </w:rPr>
            </w:pPr>
            <w:r>
              <w:rPr>
                <w:rFonts w:hint="eastAsia"/>
                <w:b/>
                <w:bCs/>
                <w:color w:val="auto"/>
                <w:highlight w:val="none"/>
                <w:lang w:eastAsia="zh-CN"/>
              </w:rPr>
              <w:t>四、固体废物</w:t>
            </w:r>
          </w:p>
          <w:p w14:paraId="1630591E">
            <w:pPr>
              <w:pStyle w:val="38"/>
              <w:ind w:firstLine="422"/>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1、固体废物识别及处理措施</w:t>
            </w:r>
          </w:p>
          <w:p w14:paraId="66DE1D84">
            <w:pPr>
              <w:pStyle w:val="38"/>
              <w:bidi w:val="0"/>
              <w:rPr>
                <w:rFonts w:hint="eastAsia"/>
                <w:color w:val="auto"/>
                <w:highlight w:val="none"/>
              </w:rPr>
            </w:pPr>
            <w:r>
              <w:rPr>
                <w:rFonts w:hint="eastAsia"/>
                <w:color w:val="auto"/>
                <w:highlight w:val="none"/>
              </w:rPr>
              <w:t>本项目固体废物主要为职工生活垃圾、</w:t>
            </w:r>
            <w:r>
              <w:rPr>
                <w:rFonts w:hint="eastAsia"/>
                <w:color w:val="auto"/>
                <w:highlight w:val="none"/>
                <w:lang w:eastAsia="zh-CN"/>
              </w:rPr>
              <w:t>废</w:t>
            </w:r>
            <w:r>
              <w:rPr>
                <w:rFonts w:hint="eastAsia"/>
                <w:color w:val="auto"/>
                <w:highlight w:val="none"/>
              </w:rPr>
              <w:t>下脚料、废布袋</w:t>
            </w:r>
            <w:r>
              <w:rPr>
                <w:rFonts w:hint="eastAsia"/>
                <w:color w:val="auto"/>
                <w:highlight w:val="none"/>
                <w:lang w:eastAsia="zh-CN"/>
              </w:rPr>
              <w:t>、</w:t>
            </w:r>
            <w:r>
              <w:rPr>
                <w:rFonts w:hint="eastAsia"/>
                <w:color w:val="auto"/>
                <w:highlight w:val="none"/>
              </w:rPr>
              <w:t>除尘器集尘、</w:t>
            </w:r>
            <w:r>
              <w:rPr>
                <w:rFonts w:hint="eastAsia"/>
                <w:color w:val="auto"/>
                <w:highlight w:val="none"/>
                <w:lang w:eastAsia="zh-CN"/>
              </w:rPr>
              <w:t>焊渣、</w:t>
            </w:r>
            <w:r>
              <w:rPr>
                <w:rFonts w:hint="eastAsia"/>
                <w:color w:val="auto"/>
                <w:highlight w:val="none"/>
                <w:lang w:val="en-US" w:eastAsia="zh-CN"/>
              </w:rPr>
              <w:t>废包装材料</w:t>
            </w:r>
            <w:r>
              <w:rPr>
                <w:rFonts w:hint="eastAsia"/>
                <w:color w:val="auto"/>
                <w:highlight w:val="none"/>
              </w:rPr>
              <w:t>、废</w:t>
            </w:r>
            <w:r>
              <w:rPr>
                <w:rFonts w:hint="eastAsia"/>
                <w:color w:val="auto"/>
                <w:highlight w:val="none"/>
                <w:lang w:eastAsia="zh-CN"/>
              </w:rPr>
              <w:t>矿物油、</w:t>
            </w:r>
            <w:r>
              <w:rPr>
                <w:rFonts w:hint="eastAsia"/>
                <w:color w:val="auto"/>
                <w:highlight w:val="none"/>
              </w:rPr>
              <w:t>废</w:t>
            </w:r>
            <w:r>
              <w:rPr>
                <w:rFonts w:hint="eastAsia"/>
                <w:color w:val="auto"/>
                <w:highlight w:val="none"/>
                <w:lang w:eastAsia="zh-CN"/>
              </w:rPr>
              <w:t>矿物油</w:t>
            </w:r>
            <w:r>
              <w:rPr>
                <w:rFonts w:hint="eastAsia"/>
                <w:color w:val="auto"/>
                <w:highlight w:val="none"/>
              </w:rPr>
              <w:t>桶</w:t>
            </w:r>
            <w:r>
              <w:rPr>
                <w:rFonts w:hint="eastAsia"/>
                <w:color w:val="auto"/>
                <w:highlight w:val="none"/>
                <w:lang w:eastAsia="zh-CN"/>
              </w:rPr>
              <w:t>及</w:t>
            </w:r>
            <w:r>
              <w:rPr>
                <w:rFonts w:hint="eastAsia"/>
                <w:color w:val="auto"/>
                <w:highlight w:val="none"/>
              </w:rPr>
              <w:t>废活性炭。</w:t>
            </w:r>
          </w:p>
          <w:p w14:paraId="51934B7A">
            <w:pPr>
              <w:pStyle w:val="38"/>
              <w:bidi w:val="0"/>
              <w:rPr>
                <w:rFonts w:hint="default" w:eastAsia="宋体"/>
                <w:color w:val="auto"/>
                <w:highlight w:val="none"/>
                <w:lang w:val="en-US" w:eastAsia="zh-CN"/>
              </w:rPr>
            </w:pPr>
            <w:r>
              <w:rPr>
                <w:color w:val="auto"/>
                <w:highlight w:val="none"/>
              </w:rPr>
              <w:t>（1）职工生活垃圾</w:t>
            </w:r>
            <w:r>
              <w:rPr>
                <w:rFonts w:hint="eastAsia"/>
                <w:color w:val="auto"/>
                <w:highlight w:val="none"/>
                <w:lang w:val="en-US" w:eastAsia="zh-CN"/>
              </w:rPr>
              <w:t>S1</w:t>
            </w:r>
          </w:p>
          <w:p w14:paraId="732F9D68">
            <w:pPr>
              <w:pStyle w:val="38"/>
              <w:bidi w:val="0"/>
              <w:rPr>
                <w:color w:val="auto"/>
                <w:highlight w:val="none"/>
              </w:rPr>
            </w:pPr>
            <w:r>
              <w:rPr>
                <w:color w:val="auto"/>
                <w:highlight w:val="none"/>
              </w:rPr>
              <w:t>根据《环境保护实用数据手册》的相关数据，垃圾产生量按0.5kg/</w:t>
            </w:r>
            <w:r>
              <w:rPr>
                <w:rFonts w:hint="eastAsia"/>
                <w:color w:val="auto"/>
                <w:highlight w:val="none"/>
                <w:lang w:eastAsia="zh-CN"/>
              </w:rPr>
              <w:t>（</w:t>
            </w:r>
            <w:r>
              <w:rPr>
                <w:color w:val="auto"/>
                <w:highlight w:val="none"/>
              </w:rPr>
              <w:t>人·d</w:t>
            </w:r>
            <w:r>
              <w:rPr>
                <w:rFonts w:hint="eastAsia"/>
                <w:color w:val="auto"/>
                <w:highlight w:val="none"/>
                <w:lang w:eastAsia="zh-CN"/>
              </w:rPr>
              <w:t>）</w:t>
            </w:r>
            <w:r>
              <w:rPr>
                <w:color w:val="auto"/>
                <w:highlight w:val="none"/>
              </w:rPr>
              <w:t>，</w:t>
            </w:r>
            <w:r>
              <w:rPr>
                <w:rFonts w:hint="eastAsia"/>
                <w:color w:val="auto"/>
                <w:highlight w:val="none"/>
              </w:rPr>
              <w:t>本项目劳动定员</w:t>
            </w:r>
            <w:r>
              <w:rPr>
                <w:rFonts w:hint="eastAsia"/>
                <w:color w:val="auto"/>
                <w:highlight w:val="none"/>
                <w:lang w:val="en-US" w:eastAsia="zh-CN"/>
              </w:rPr>
              <w:t>12</w:t>
            </w:r>
            <w:r>
              <w:rPr>
                <w:rFonts w:hint="eastAsia"/>
                <w:color w:val="auto"/>
                <w:highlight w:val="none"/>
              </w:rPr>
              <w:t>人，</w:t>
            </w:r>
            <w:r>
              <w:rPr>
                <w:color w:val="auto"/>
                <w:highlight w:val="none"/>
              </w:rPr>
              <w:t>则生活垃圾的产生量为</w:t>
            </w:r>
            <w:r>
              <w:rPr>
                <w:rFonts w:hint="eastAsia"/>
                <w:color w:val="auto"/>
                <w:highlight w:val="none"/>
                <w:lang w:val="en-US" w:eastAsia="zh-CN"/>
              </w:rPr>
              <w:t>1.8</w:t>
            </w:r>
            <w:r>
              <w:rPr>
                <w:color w:val="auto"/>
                <w:highlight w:val="none"/>
              </w:rPr>
              <w:t>t/a，均统一存放于厂区垃圾箱内，由环卫部门定期运送至垃圾处理场处理。</w:t>
            </w:r>
          </w:p>
          <w:p w14:paraId="3BCA127B">
            <w:pPr>
              <w:pStyle w:val="38"/>
              <w:bidi w:val="0"/>
              <w:rPr>
                <w:rFonts w:hint="default" w:eastAsia="宋体"/>
                <w:color w:val="auto"/>
                <w:highlight w:val="none"/>
                <w:lang w:val="en-US"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）废下脚料</w:t>
            </w:r>
            <w:r>
              <w:rPr>
                <w:rFonts w:hint="eastAsia"/>
                <w:color w:val="auto"/>
                <w:highlight w:val="none"/>
                <w:lang w:val="en-US" w:eastAsia="zh-CN"/>
              </w:rPr>
              <w:t>S2</w:t>
            </w:r>
          </w:p>
          <w:p w14:paraId="261C2C09">
            <w:pPr>
              <w:pStyle w:val="38"/>
              <w:bidi w:val="0"/>
              <w:rPr>
                <w:rFonts w:hint="eastAsia" w:eastAsia="宋体"/>
                <w:color w:val="auto"/>
                <w:highlight w:val="none"/>
                <w:lang w:eastAsia="zh-CN"/>
              </w:rPr>
            </w:pPr>
            <w:r>
              <w:rPr>
                <w:rFonts w:hint="eastAsia"/>
                <w:color w:val="auto"/>
                <w:highlight w:val="none"/>
              </w:rPr>
              <w:t>本项目</w:t>
            </w:r>
            <w:r>
              <w:rPr>
                <w:rFonts w:hint="eastAsia"/>
                <w:color w:val="auto"/>
                <w:highlight w:val="none"/>
                <w:lang w:eastAsia="zh-CN"/>
              </w:rPr>
              <w:t>原料用钢管、板材在</w:t>
            </w:r>
            <w:r>
              <w:rPr>
                <w:rFonts w:hint="eastAsia"/>
                <w:color w:val="auto"/>
                <w:highlight w:val="none"/>
              </w:rPr>
              <w:t>切割、钻孔、</w:t>
            </w:r>
            <w:r>
              <w:rPr>
                <w:rFonts w:hint="eastAsia"/>
                <w:color w:val="auto"/>
                <w:highlight w:val="none"/>
                <w:lang w:eastAsia="zh-CN"/>
              </w:rPr>
              <w:t>木加工</w:t>
            </w:r>
            <w:r>
              <w:rPr>
                <w:rFonts w:hint="eastAsia"/>
                <w:color w:val="auto"/>
                <w:highlight w:val="none"/>
              </w:rPr>
              <w:t>等工序会产生下脚料，项目使用</w:t>
            </w:r>
            <w:r>
              <w:rPr>
                <w:rFonts w:hint="eastAsia"/>
                <w:color w:val="auto"/>
                <w:highlight w:val="none"/>
                <w:lang w:eastAsia="zh-CN"/>
              </w:rPr>
              <w:t>原料</w:t>
            </w:r>
            <w:r>
              <w:rPr>
                <w:rFonts w:hint="eastAsia"/>
                <w:color w:val="auto"/>
                <w:highlight w:val="none"/>
              </w:rPr>
              <w:t>为外购成品，生产过程中仅需简单加工，</w:t>
            </w:r>
            <w:r>
              <w:rPr>
                <w:rFonts w:hint="eastAsia"/>
                <w:color w:val="auto"/>
                <w:highlight w:val="none"/>
                <w:lang w:eastAsia="zh-CN"/>
              </w:rPr>
              <w:t>下脚料</w:t>
            </w:r>
            <w:r>
              <w:rPr>
                <w:rFonts w:hint="eastAsia"/>
                <w:color w:val="auto"/>
                <w:highlight w:val="none"/>
              </w:rPr>
              <w:t>产生量按照</w:t>
            </w:r>
            <w:r>
              <w:rPr>
                <w:rFonts w:hint="eastAsia"/>
                <w:color w:val="auto"/>
                <w:highlight w:val="none"/>
                <w:lang w:eastAsia="zh-CN"/>
              </w:rPr>
              <w:t>相关</w:t>
            </w:r>
            <w:r>
              <w:rPr>
                <w:rFonts w:hint="eastAsia"/>
                <w:color w:val="auto"/>
                <w:highlight w:val="none"/>
              </w:rPr>
              <w:t>原料用量的1％计，项目年加工原料</w:t>
            </w:r>
            <w:r>
              <w:rPr>
                <w:rFonts w:hint="eastAsia"/>
                <w:color w:val="auto"/>
                <w:highlight w:val="none"/>
                <w:lang w:eastAsia="zh-CN"/>
              </w:rPr>
              <w:t>量</w:t>
            </w:r>
            <w:r>
              <w:rPr>
                <w:rFonts w:hint="eastAsia"/>
                <w:color w:val="auto"/>
                <w:highlight w:val="none"/>
              </w:rPr>
              <w:t>约</w:t>
            </w:r>
            <w:r>
              <w:rPr>
                <w:rFonts w:hint="eastAsia"/>
                <w:color w:val="auto"/>
                <w:highlight w:val="none"/>
                <w:lang w:val="en-US" w:eastAsia="zh-CN"/>
              </w:rPr>
              <w:t>130</w:t>
            </w:r>
            <w:r>
              <w:rPr>
                <w:rFonts w:hint="eastAsia"/>
                <w:color w:val="auto"/>
                <w:highlight w:val="none"/>
              </w:rPr>
              <w:t>t，产生下脚料量约为</w:t>
            </w:r>
            <w:r>
              <w:rPr>
                <w:rFonts w:hint="eastAsia"/>
                <w:color w:val="auto"/>
                <w:highlight w:val="none"/>
                <w:lang w:val="en-US" w:eastAsia="zh-CN"/>
              </w:rPr>
              <w:t>1.3</w:t>
            </w:r>
            <w:r>
              <w:rPr>
                <w:rFonts w:hint="eastAsia"/>
                <w:color w:val="auto"/>
                <w:highlight w:val="none"/>
              </w:rPr>
              <w:t>t/a</w:t>
            </w:r>
            <w:r>
              <w:rPr>
                <w:color w:val="auto"/>
                <w:highlight w:val="none"/>
              </w:rPr>
              <w:t>，</w:t>
            </w:r>
            <w:r>
              <w:rPr>
                <w:rFonts w:hint="eastAsia"/>
                <w:color w:val="auto"/>
                <w:highlight w:val="none"/>
              </w:rPr>
              <w:t>属于一般</w:t>
            </w:r>
            <w:r>
              <w:rPr>
                <w:rFonts w:hint="eastAsia"/>
                <w:color w:val="auto"/>
                <w:highlight w:val="none"/>
                <w:lang w:eastAsia="zh-CN"/>
              </w:rPr>
              <w:t>工业</w:t>
            </w:r>
            <w:r>
              <w:rPr>
                <w:rFonts w:hint="eastAsia"/>
                <w:color w:val="auto"/>
                <w:highlight w:val="none"/>
              </w:rPr>
              <w:t>固体废物，根据《固体废物分类与代码目录》，属于“SW59 其他工业固体废物”，固废代码：900-099-S59，</w:t>
            </w:r>
            <w:r>
              <w:rPr>
                <w:color w:val="auto"/>
                <w:highlight w:val="none"/>
              </w:rPr>
              <w:t>收集</w:t>
            </w:r>
            <w:r>
              <w:rPr>
                <w:rFonts w:hint="eastAsia"/>
                <w:color w:val="auto"/>
                <w:highlight w:val="none"/>
                <w:lang w:eastAsia="zh-CN"/>
              </w:rPr>
              <w:t>作</w:t>
            </w:r>
            <w:r>
              <w:rPr>
                <w:color w:val="auto"/>
                <w:highlight w:val="none"/>
              </w:rPr>
              <w:t>外卖</w:t>
            </w:r>
            <w:r>
              <w:rPr>
                <w:rFonts w:hint="eastAsia"/>
                <w:color w:val="auto"/>
                <w:highlight w:val="none"/>
                <w:lang w:eastAsia="zh-CN"/>
              </w:rPr>
              <w:t>处理。</w:t>
            </w:r>
          </w:p>
          <w:p w14:paraId="42669269">
            <w:pPr>
              <w:pStyle w:val="38"/>
              <w:bidi w:val="0"/>
              <w:rPr>
                <w:rFonts w:hint="default" w:eastAsia="宋体"/>
                <w:color w:val="auto"/>
                <w:highlight w:val="none"/>
                <w:lang w:val="en-US" w:eastAsia="zh-CN"/>
              </w:rPr>
            </w:pPr>
            <w:r>
              <w:rPr>
                <w:rFonts w:hint="eastAsia"/>
                <w:color w:val="auto"/>
                <w:highlight w:val="none"/>
              </w:rPr>
              <w:t>（</w:t>
            </w:r>
            <w:r>
              <w:rPr>
                <w:rFonts w:hint="eastAsia"/>
                <w:color w:val="auto"/>
                <w:highlight w:val="none"/>
                <w:lang w:val="en-US" w:eastAsia="zh-CN"/>
              </w:rPr>
              <w:t>3</w:t>
            </w:r>
            <w:r>
              <w:rPr>
                <w:rFonts w:hint="eastAsia"/>
                <w:color w:val="auto"/>
                <w:highlight w:val="none"/>
              </w:rPr>
              <w:t>）废布袋</w:t>
            </w:r>
            <w:r>
              <w:rPr>
                <w:rFonts w:hint="eastAsia"/>
                <w:color w:val="auto"/>
                <w:highlight w:val="none"/>
                <w:lang w:val="en-US" w:eastAsia="zh-CN"/>
              </w:rPr>
              <w:t>S3</w:t>
            </w:r>
          </w:p>
          <w:p w14:paraId="03B30030">
            <w:pPr>
              <w:pStyle w:val="38"/>
              <w:bidi w:val="0"/>
              <w:rPr>
                <w:color w:val="auto"/>
                <w:highlight w:val="none"/>
              </w:rPr>
            </w:pPr>
            <w:r>
              <w:rPr>
                <w:rFonts w:hint="eastAsia"/>
                <w:color w:val="auto"/>
                <w:highlight w:val="none"/>
              </w:rPr>
              <w:t>为保证袋式除尘器对</w:t>
            </w:r>
            <w:r>
              <w:rPr>
                <w:rFonts w:hint="eastAsia"/>
                <w:color w:val="auto"/>
                <w:highlight w:val="none"/>
                <w:lang w:eastAsia="zh-CN"/>
              </w:rPr>
              <w:t>颗粒物</w:t>
            </w:r>
            <w:r>
              <w:rPr>
                <w:rFonts w:hint="eastAsia"/>
                <w:color w:val="auto"/>
                <w:highlight w:val="none"/>
              </w:rPr>
              <w:t>的处理效率，需定期更换布袋，约5年更换1次，</w:t>
            </w:r>
            <w:r>
              <w:rPr>
                <w:rFonts w:hint="eastAsia"/>
                <w:color w:val="auto"/>
                <w:highlight w:val="none"/>
                <w:lang w:eastAsia="zh-CN"/>
              </w:rPr>
              <w:t>更换量</w:t>
            </w:r>
            <w:r>
              <w:rPr>
                <w:rFonts w:hint="eastAsia"/>
                <w:color w:val="auto"/>
                <w:highlight w:val="none"/>
              </w:rPr>
              <w:t>折合约</w:t>
            </w:r>
            <w:r>
              <w:rPr>
                <w:rFonts w:hint="eastAsia"/>
                <w:color w:val="auto"/>
                <w:highlight w:val="none"/>
                <w:lang w:val="en-US" w:eastAsia="zh-CN"/>
              </w:rPr>
              <w:t>0.005t</w:t>
            </w:r>
            <w:r>
              <w:rPr>
                <w:rFonts w:hint="eastAsia"/>
                <w:color w:val="auto"/>
                <w:highlight w:val="none"/>
              </w:rPr>
              <w:t>/a，属于一般固体废物，根据《固体废物分类与代码目录》，废布袋属于“SW59 其他工业固体废物”，固废代码：900-009-S59，收集后</w:t>
            </w:r>
            <w:r>
              <w:rPr>
                <w:rFonts w:hint="eastAsia"/>
                <w:color w:val="auto"/>
                <w:highlight w:val="none"/>
                <w:lang w:eastAsia="zh-CN"/>
              </w:rPr>
              <w:t>外运</w:t>
            </w:r>
            <w:r>
              <w:rPr>
                <w:rFonts w:hint="eastAsia"/>
                <w:color w:val="auto"/>
                <w:highlight w:val="none"/>
              </w:rPr>
              <w:t>处置。</w:t>
            </w:r>
          </w:p>
          <w:p w14:paraId="052C9885">
            <w:pPr>
              <w:pStyle w:val="38"/>
              <w:bidi w:val="0"/>
              <w:rPr>
                <w:rFonts w:hint="default" w:eastAsia="宋体"/>
                <w:color w:val="auto"/>
                <w:highlight w:val="none"/>
                <w:lang w:val="en-US" w:eastAsia="zh-CN"/>
              </w:rPr>
            </w:pPr>
            <w:r>
              <w:rPr>
                <w:rFonts w:hint="eastAsia"/>
                <w:color w:val="auto"/>
                <w:highlight w:val="none"/>
              </w:rPr>
              <w:t>（4）除尘器集尘</w:t>
            </w:r>
            <w:r>
              <w:rPr>
                <w:rFonts w:hint="eastAsia"/>
                <w:color w:val="auto"/>
                <w:highlight w:val="none"/>
                <w:lang w:val="en-US" w:eastAsia="zh-CN"/>
              </w:rPr>
              <w:t>S4</w:t>
            </w:r>
          </w:p>
          <w:p w14:paraId="19F36253">
            <w:pPr>
              <w:pStyle w:val="38"/>
              <w:bidi w:val="0"/>
              <w:rPr>
                <w:color w:val="auto"/>
                <w:highlight w:val="none"/>
              </w:rPr>
            </w:pPr>
            <w:r>
              <w:rPr>
                <w:rFonts w:hint="eastAsia"/>
                <w:color w:val="auto"/>
                <w:highlight w:val="none"/>
              </w:rPr>
              <w:t>根据前文</w:t>
            </w:r>
            <w:r>
              <w:rPr>
                <w:rFonts w:hint="eastAsia"/>
                <w:color w:val="auto"/>
                <w:highlight w:val="none"/>
                <w:lang w:eastAsia="zh-CN"/>
              </w:rPr>
              <w:t>废气产排分析</w:t>
            </w:r>
            <w:r>
              <w:rPr>
                <w:rFonts w:hint="eastAsia"/>
                <w:color w:val="auto"/>
                <w:highlight w:val="none"/>
              </w:rPr>
              <w:t>，项目移动布袋除尘器集尘量约为</w:t>
            </w:r>
            <w:r>
              <w:rPr>
                <w:rFonts w:hint="eastAsia"/>
                <w:color w:val="auto"/>
                <w:highlight w:val="none"/>
                <w:lang w:val="en-US" w:eastAsia="zh-CN"/>
              </w:rPr>
              <w:t>0.012</w:t>
            </w:r>
            <w:r>
              <w:rPr>
                <w:rFonts w:hint="eastAsia"/>
                <w:color w:val="auto"/>
                <w:highlight w:val="none"/>
              </w:rPr>
              <w:t>t/a，属于一般固体废物，根据《固体废物分类与代码目录》，除尘器收集粉尘属于“SW59 其他工业固体废物”，固废代码：900-099-S59，收集后外卖。</w:t>
            </w:r>
          </w:p>
          <w:p w14:paraId="78AABE6D">
            <w:pPr>
              <w:pStyle w:val="38"/>
              <w:bidi w:val="0"/>
              <w:rPr>
                <w:rFonts w:hint="default" w:eastAsia="宋体"/>
                <w:color w:val="auto"/>
                <w:highlight w:val="none"/>
                <w:lang w:val="en-US" w:eastAsia="zh-CN"/>
              </w:rPr>
            </w:pPr>
            <w:r>
              <w:rPr>
                <w:rFonts w:hint="eastAsia"/>
                <w:color w:val="auto"/>
                <w:highlight w:val="none"/>
                <w:lang w:eastAsia="zh-CN"/>
              </w:rPr>
              <w:t>（</w:t>
            </w:r>
            <w:r>
              <w:rPr>
                <w:rFonts w:hint="eastAsia"/>
                <w:color w:val="auto"/>
                <w:highlight w:val="none"/>
                <w:lang w:val="en-US" w:eastAsia="zh-CN"/>
              </w:rPr>
              <w:t>5</w:t>
            </w:r>
            <w:r>
              <w:rPr>
                <w:rFonts w:hint="eastAsia"/>
                <w:color w:val="auto"/>
                <w:highlight w:val="none"/>
                <w:lang w:eastAsia="zh-CN"/>
              </w:rPr>
              <w:t>）焊渣</w:t>
            </w:r>
            <w:r>
              <w:rPr>
                <w:rFonts w:hint="eastAsia"/>
                <w:color w:val="auto"/>
                <w:highlight w:val="none"/>
                <w:lang w:val="en-US" w:eastAsia="zh-CN"/>
              </w:rPr>
              <w:t>S5</w:t>
            </w:r>
          </w:p>
          <w:p w14:paraId="3BC5D895">
            <w:pPr>
              <w:pStyle w:val="38"/>
              <w:bidi w:val="0"/>
              <w:rPr>
                <w:rFonts w:hint="default" w:eastAsia="宋体"/>
                <w:color w:val="auto"/>
                <w:highlight w:val="none"/>
                <w:lang w:val="en-US" w:eastAsia="zh-CN"/>
              </w:rPr>
            </w:pPr>
            <w:r>
              <w:rPr>
                <w:rFonts w:hint="eastAsia"/>
                <w:color w:val="auto"/>
                <w:highlight w:val="none"/>
                <w:lang w:eastAsia="zh-CN"/>
              </w:rPr>
              <w:t>项目钢管焊接过程有少量焊渣产生，焊渣产生量按照焊条用量的</w:t>
            </w:r>
            <w:r>
              <w:rPr>
                <w:rFonts w:hint="eastAsia"/>
                <w:color w:val="auto"/>
                <w:highlight w:val="none"/>
                <w:lang w:val="en-US" w:eastAsia="zh-CN"/>
              </w:rPr>
              <w:t>5%计，项目焊条年用量为0.1t，产生焊渣量约为0.005t/a，</w:t>
            </w:r>
            <w:r>
              <w:rPr>
                <w:rFonts w:hint="eastAsia"/>
                <w:color w:val="auto"/>
                <w:highlight w:val="none"/>
              </w:rPr>
              <w:t>属于一般</w:t>
            </w:r>
            <w:r>
              <w:rPr>
                <w:rFonts w:hint="eastAsia"/>
                <w:color w:val="auto"/>
                <w:highlight w:val="none"/>
                <w:lang w:eastAsia="zh-CN"/>
              </w:rPr>
              <w:t>工业</w:t>
            </w:r>
            <w:r>
              <w:rPr>
                <w:rFonts w:hint="eastAsia"/>
                <w:color w:val="auto"/>
                <w:highlight w:val="none"/>
              </w:rPr>
              <w:t>固体废物，根据《固体废物分类与代码目录》，属于“SW59 其他工业固体废物”，固废代码：900-099-S59，</w:t>
            </w:r>
            <w:r>
              <w:rPr>
                <w:color w:val="auto"/>
                <w:highlight w:val="none"/>
              </w:rPr>
              <w:t>收集</w:t>
            </w:r>
            <w:r>
              <w:rPr>
                <w:rFonts w:hint="eastAsia"/>
                <w:color w:val="auto"/>
                <w:highlight w:val="none"/>
                <w:lang w:eastAsia="zh-CN"/>
              </w:rPr>
              <w:t>作外运处置。</w:t>
            </w:r>
          </w:p>
          <w:p w14:paraId="23BD7886">
            <w:pPr>
              <w:pStyle w:val="38"/>
              <w:bidi w:val="0"/>
              <w:rPr>
                <w:rFonts w:hint="default" w:eastAsia="宋体"/>
                <w:color w:val="auto"/>
                <w:highlight w:val="none"/>
                <w:lang w:val="en-US" w:eastAsia="zh-CN"/>
              </w:rPr>
            </w:pPr>
            <w:r>
              <w:rPr>
                <w:rFonts w:hint="eastAsia"/>
                <w:color w:val="auto"/>
                <w:highlight w:val="none"/>
              </w:rPr>
              <w:t>（</w:t>
            </w:r>
            <w:r>
              <w:rPr>
                <w:rFonts w:hint="eastAsia"/>
                <w:color w:val="auto"/>
                <w:highlight w:val="none"/>
                <w:lang w:val="en-US" w:eastAsia="zh-CN"/>
              </w:rPr>
              <w:t>6</w:t>
            </w:r>
            <w:r>
              <w:rPr>
                <w:rFonts w:hint="eastAsia"/>
                <w:color w:val="auto"/>
                <w:highlight w:val="none"/>
              </w:rPr>
              <w:t>）废包装</w:t>
            </w:r>
            <w:r>
              <w:rPr>
                <w:rFonts w:hint="eastAsia"/>
                <w:color w:val="auto"/>
                <w:highlight w:val="none"/>
                <w:lang w:eastAsia="zh-CN"/>
              </w:rPr>
              <w:t>材料</w:t>
            </w:r>
            <w:r>
              <w:rPr>
                <w:rFonts w:hint="eastAsia"/>
                <w:color w:val="auto"/>
                <w:highlight w:val="none"/>
                <w:lang w:val="en-US" w:eastAsia="zh-CN"/>
              </w:rPr>
              <w:t>S6</w:t>
            </w:r>
          </w:p>
          <w:p w14:paraId="0AB09581">
            <w:pPr>
              <w:pStyle w:val="38"/>
              <w:bidi w:val="0"/>
              <w:rPr>
                <w:rFonts w:hint="eastAsia"/>
                <w:color w:val="auto"/>
                <w:highlight w:val="none"/>
              </w:rPr>
            </w:pPr>
            <w:r>
              <w:rPr>
                <w:color w:val="auto"/>
                <w:highlight w:val="none"/>
              </w:rPr>
              <w:t>项目</w:t>
            </w:r>
            <w:r>
              <w:rPr>
                <w:rFonts w:hint="eastAsia"/>
                <w:color w:val="auto"/>
                <w:highlight w:val="none"/>
                <w:lang w:eastAsia="zh-CN"/>
              </w:rPr>
              <w:t>用板材、</w:t>
            </w:r>
            <w:r>
              <w:rPr>
                <w:rFonts w:hint="eastAsia"/>
                <w:color w:val="auto"/>
                <w:highlight w:val="none"/>
              </w:rPr>
              <w:t>封边热熔胶、五金配件</w:t>
            </w:r>
            <w:r>
              <w:rPr>
                <w:rFonts w:hint="eastAsia"/>
                <w:color w:val="auto"/>
                <w:highlight w:val="none"/>
                <w:lang w:eastAsia="zh-CN"/>
              </w:rPr>
              <w:t>等</w:t>
            </w:r>
            <w:r>
              <w:rPr>
                <w:rFonts w:hint="eastAsia"/>
                <w:color w:val="auto"/>
                <w:highlight w:val="none"/>
              </w:rPr>
              <w:t>使用过程会产生一定量的废包装袋</w:t>
            </w:r>
            <w:r>
              <w:rPr>
                <w:color w:val="auto"/>
                <w:highlight w:val="none"/>
              </w:rPr>
              <w:t>，</w:t>
            </w:r>
            <w:r>
              <w:rPr>
                <w:rFonts w:hint="eastAsia"/>
                <w:color w:val="auto"/>
                <w:highlight w:val="none"/>
              </w:rPr>
              <w:t>废包装袋产生量约为0.05</w:t>
            </w:r>
            <w:r>
              <w:rPr>
                <w:color w:val="auto"/>
                <w:highlight w:val="none"/>
              </w:rPr>
              <w:t>t/a，属于一般固体废物，</w:t>
            </w:r>
            <w:r>
              <w:rPr>
                <w:rFonts w:hint="eastAsia"/>
                <w:color w:val="auto"/>
                <w:highlight w:val="none"/>
              </w:rPr>
              <w:t>根据《固体废物分类与代码目录》，属于“SW59 其他工业固体废物”，固废代码：900-099-S59，</w:t>
            </w:r>
            <w:r>
              <w:rPr>
                <w:color w:val="auto"/>
                <w:highlight w:val="none"/>
              </w:rPr>
              <w:t>收集后外卖</w:t>
            </w:r>
            <w:r>
              <w:rPr>
                <w:rFonts w:hint="eastAsia"/>
                <w:color w:val="auto"/>
                <w:highlight w:val="none"/>
              </w:rPr>
              <w:t>。</w:t>
            </w:r>
          </w:p>
          <w:p w14:paraId="792CE092">
            <w:pPr>
              <w:pStyle w:val="38"/>
              <w:bidi w:val="0"/>
              <w:rPr>
                <w:rFonts w:hint="default" w:eastAsia="宋体"/>
                <w:color w:val="auto"/>
                <w:highlight w:val="none"/>
                <w:lang w:val="en-US" w:eastAsia="zh-CN"/>
              </w:rPr>
            </w:pPr>
            <w:r>
              <w:rPr>
                <w:rFonts w:hint="eastAsia"/>
                <w:color w:val="auto"/>
                <w:highlight w:val="none"/>
              </w:rPr>
              <w:t>（</w:t>
            </w:r>
            <w:r>
              <w:rPr>
                <w:rFonts w:hint="eastAsia"/>
                <w:color w:val="auto"/>
                <w:highlight w:val="none"/>
                <w:lang w:val="en-US" w:eastAsia="zh-CN"/>
              </w:rPr>
              <w:t>7</w:t>
            </w:r>
            <w:r>
              <w:rPr>
                <w:rFonts w:hint="eastAsia"/>
                <w:color w:val="auto"/>
                <w:highlight w:val="none"/>
              </w:rPr>
              <w:t>）废</w:t>
            </w:r>
            <w:r>
              <w:rPr>
                <w:rFonts w:hint="eastAsia"/>
                <w:color w:val="auto"/>
                <w:highlight w:val="none"/>
                <w:lang w:eastAsia="zh-CN"/>
              </w:rPr>
              <w:t>矿物油</w:t>
            </w:r>
            <w:r>
              <w:rPr>
                <w:rFonts w:hint="eastAsia"/>
                <w:color w:val="auto"/>
                <w:highlight w:val="none"/>
                <w:lang w:val="en-US" w:eastAsia="zh-CN"/>
              </w:rPr>
              <w:t>S7</w:t>
            </w:r>
            <w:r>
              <w:rPr>
                <w:rFonts w:hint="eastAsia"/>
                <w:color w:val="auto"/>
                <w:highlight w:val="none"/>
                <w:lang w:eastAsia="zh-CN"/>
              </w:rPr>
              <w:t>、废矿物油桶</w:t>
            </w:r>
            <w:r>
              <w:rPr>
                <w:rFonts w:hint="eastAsia"/>
                <w:color w:val="auto"/>
                <w:highlight w:val="none"/>
                <w:lang w:val="en-US" w:eastAsia="zh-CN"/>
              </w:rPr>
              <w:t>S8</w:t>
            </w:r>
          </w:p>
          <w:p w14:paraId="117F7C18">
            <w:pPr>
              <w:pStyle w:val="38"/>
              <w:bidi w:val="0"/>
              <w:rPr>
                <w:color w:val="auto"/>
                <w:highlight w:val="none"/>
              </w:rPr>
            </w:pPr>
            <w:r>
              <w:rPr>
                <w:rFonts w:hint="default" w:ascii="Times New Roman" w:hAnsi="Times New Roman" w:cs="Times New Roman"/>
                <w:color w:val="auto"/>
                <w:highlight w:val="none"/>
              </w:rPr>
              <w:t>项目部分设备检修维护产生废矿物油，根据企业提供资料，废矿物油产生量约为</w:t>
            </w:r>
            <w:r>
              <w:rPr>
                <w:rFonts w:hint="eastAsia" w:cs="Times New Roman"/>
                <w:color w:val="auto"/>
                <w:highlight w:val="none"/>
                <w:lang w:val="en-US" w:eastAsia="zh-CN"/>
              </w:rPr>
              <w:t>0.02</w:t>
            </w:r>
            <w:r>
              <w:rPr>
                <w:rFonts w:hint="default" w:ascii="Times New Roman" w:hAnsi="Times New Roman" w:cs="Times New Roman"/>
                <w:color w:val="auto"/>
                <w:highlight w:val="none"/>
              </w:rPr>
              <w:t>t/a，废油桶产生量为0.0</w:t>
            </w:r>
            <w:r>
              <w:rPr>
                <w:rFonts w:hint="eastAsia" w:cs="Times New Roman"/>
                <w:color w:val="auto"/>
                <w:highlight w:val="none"/>
                <w:lang w:val="en-US" w:eastAsia="zh-CN"/>
              </w:rPr>
              <w:t>02</w:t>
            </w:r>
            <w:r>
              <w:rPr>
                <w:rFonts w:hint="default" w:ascii="Times New Roman" w:hAnsi="Times New Roman" w:cs="Times New Roman"/>
                <w:color w:val="auto"/>
                <w:highlight w:val="none"/>
              </w:rPr>
              <w:t>t/a。废矿物油属于危险废物，废物类别为HW08，危废代码900-249-08；废矿物油桶属于危险废物，废物类别为HW08，危废代码900-249-08；暂存于危废暂存间，委托有危险废物处理资质的单位进行处置</w:t>
            </w:r>
            <w:r>
              <w:rPr>
                <w:rFonts w:hint="eastAsia"/>
                <w:color w:val="auto"/>
                <w:highlight w:val="none"/>
              </w:rPr>
              <w:t>。</w:t>
            </w:r>
          </w:p>
          <w:p w14:paraId="3AE83A38">
            <w:pPr>
              <w:pStyle w:val="38"/>
              <w:bidi w:val="0"/>
              <w:rPr>
                <w:rFonts w:hint="default" w:eastAsia="宋体"/>
                <w:color w:val="auto"/>
                <w:highlight w:val="none"/>
                <w:lang w:val="en-US" w:eastAsia="zh-CN"/>
              </w:rPr>
            </w:pPr>
            <w:r>
              <w:rPr>
                <w:rFonts w:hint="eastAsia"/>
                <w:color w:val="auto"/>
                <w:highlight w:val="none"/>
              </w:rPr>
              <w:t>（</w:t>
            </w:r>
            <w:r>
              <w:rPr>
                <w:rFonts w:hint="eastAsia"/>
                <w:color w:val="auto"/>
                <w:highlight w:val="none"/>
                <w:lang w:val="en-US" w:eastAsia="zh-CN"/>
              </w:rPr>
              <w:t>8</w:t>
            </w:r>
            <w:r>
              <w:rPr>
                <w:rFonts w:hint="eastAsia"/>
                <w:color w:val="auto"/>
                <w:highlight w:val="none"/>
              </w:rPr>
              <w:t>）废活性炭</w:t>
            </w:r>
            <w:r>
              <w:rPr>
                <w:rFonts w:hint="eastAsia"/>
                <w:color w:val="auto"/>
                <w:highlight w:val="none"/>
                <w:lang w:val="en-US" w:eastAsia="zh-CN"/>
              </w:rPr>
              <w:t>S9</w:t>
            </w:r>
          </w:p>
          <w:p w14:paraId="1B56D34C">
            <w:pPr>
              <w:pStyle w:val="38"/>
              <w:bidi w:val="0"/>
              <w:rPr>
                <w:rFonts w:hint="eastAsia" w:eastAsia="宋体"/>
                <w:color w:val="FF0000"/>
                <w:highlight w:val="none"/>
                <w:lang w:eastAsia="zh-CN"/>
              </w:rPr>
            </w:pPr>
            <w:r>
              <w:rPr>
                <w:rFonts w:hint="eastAsia"/>
                <w:color w:val="FF0000"/>
                <w:highlight w:val="none"/>
              </w:rPr>
              <w:t>本项目</w:t>
            </w:r>
            <w:r>
              <w:rPr>
                <w:rFonts w:hint="eastAsia"/>
                <w:color w:val="FF0000"/>
                <w:highlight w:val="none"/>
                <w:lang w:eastAsia="zh-CN"/>
              </w:rPr>
              <w:t>封边工序</w:t>
            </w:r>
            <w:r>
              <w:rPr>
                <w:rFonts w:hint="eastAsia"/>
                <w:color w:val="FF0000"/>
                <w:highlight w:val="none"/>
              </w:rPr>
              <w:t>废气使用</w:t>
            </w:r>
            <w:r>
              <w:rPr>
                <w:rFonts w:hint="eastAsia"/>
                <w:color w:val="FF0000"/>
                <w:highlight w:val="none"/>
                <w:lang w:eastAsia="zh-CN"/>
              </w:rPr>
              <w:t>二级</w:t>
            </w:r>
            <w:r>
              <w:rPr>
                <w:rFonts w:hint="eastAsia"/>
                <w:color w:val="FF0000"/>
                <w:highlight w:val="none"/>
              </w:rPr>
              <w:t>活性炭吸附装置，废气处理过程会产生废活性炭，根据上文分析得活性炭吸附有机废气约0.01</w:t>
            </w:r>
            <w:r>
              <w:rPr>
                <w:rFonts w:hint="eastAsia"/>
                <w:color w:val="FF0000"/>
                <w:highlight w:val="none"/>
                <w:lang w:val="en-US" w:eastAsia="zh-CN"/>
              </w:rPr>
              <w:t>1</w:t>
            </w:r>
            <w:r>
              <w:rPr>
                <w:rFonts w:hint="eastAsia"/>
                <w:color w:val="FF0000"/>
                <w:highlight w:val="none"/>
              </w:rPr>
              <w:t>t</w:t>
            </w:r>
            <w:r>
              <w:rPr>
                <w:rFonts w:hint="eastAsia"/>
                <w:color w:val="FF0000"/>
                <w:highlight w:val="none"/>
                <w:lang w:val="en-US" w:eastAsia="zh-CN"/>
              </w:rPr>
              <w:t>/a</w:t>
            </w:r>
            <w:r>
              <w:rPr>
                <w:rFonts w:hint="eastAsia"/>
                <w:color w:val="FF0000"/>
                <w:highlight w:val="none"/>
              </w:rPr>
              <w:t>，活性炭吸附能力按150kg/吨计，则本项目需要的活性炭量约0.0</w:t>
            </w:r>
            <w:r>
              <w:rPr>
                <w:rFonts w:hint="eastAsia"/>
                <w:color w:val="FF0000"/>
                <w:highlight w:val="none"/>
                <w:lang w:val="en-US" w:eastAsia="zh-CN"/>
              </w:rPr>
              <w:t>8</w:t>
            </w:r>
            <w:r>
              <w:rPr>
                <w:rFonts w:hint="eastAsia"/>
                <w:color w:val="FF0000"/>
                <w:highlight w:val="none"/>
              </w:rPr>
              <w:t>吨</w:t>
            </w:r>
            <w:r>
              <w:rPr>
                <w:rFonts w:hint="eastAsia"/>
                <w:color w:val="FF0000"/>
                <w:highlight w:val="none"/>
                <w:lang w:val="en-US" w:eastAsia="zh-CN"/>
              </w:rPr>
              <w:t>/a</w:t>
            </w:r>
            <w:r>
              <w:rPr>
                <w:rFonts w:hint="eastAsia"/>
                <w:color w:val="FF0000"/>
                <w:highlight w:val="none"/>
              </w:rPr>
              <w:t>，项目</w:t>
            </w:r>
            <w:r>
              <w:rPr>
                <w:rFonts w:hint="eastAsia"/>
                <w:color w:val="FF0000"/>
                <w:highlight w:val="none"/>
                <w:lang w:eastAsia="zh-CN"/>
              </w:rPr>
              <w:t>活性炭吸附箱</w:t>
            </w:r>
            <w:r>
              <w:rPr>
                <w:rFonts w:hint="eastAsia"/>
                <w:color w:val="FF0000"/>
                <w:highlight w:val="none"/>
              </w:rPr>
              <w:t>活性炭装填量</w:t>
            </w:r>
            <w:r>
              <w:rPr>
                <w:rFonts w:hint="eastAsia"/>
                <w:color w:val="FF0000"/>
                <w:highlight w:val="none"/>
                <w:lang w:eastAsia="zh-CN"/>
              </w:rPr>
              <w:t>约为</w:t>
            </w:r>
            <w:r>
              <w:rPr>
                <w:rFonts w:hint="eastAsia"/>
                <w:color w:val="FF0000"/>
                <w:highlight w:val="none"/>
                <w:lang w:val="en-US" w:eastAsia="zh-CN"/>
              </w:rPr>
              <w:t>0.25</w:t>
            </w:r>
            <w:r>
              <w:rPr>
                <w:rFonts w:hint="eastAsia"/>
                <w:color w:val="FF0000"/>
                <w:highlight w:val="none"/>
              </w:rPr>
              <w:t>t，</w:t>
            </w:r>
            <w:r>
              <w:rPr>
                <w:rFonts w:hint="eastAsia"/>
                <w:color w:val="FF0000"/>
                <w:highlight w:val="none"/>
                <w:lang w:eastAsia="zh-CN"/>
              </w:rPr>
              <w:t>项目设计采用抽拉式活性炭吸附箱。可利用涉及活性炭使用工序操作间歇时间进行快速更换。</w:t>
            </w:r>
            <w:r>
              <w:rPr>
                <w:rFonts w:hint="default" w:ascii="Times New Roman" w:hAnsi="Times New Roman" w:cs="Times New Roman"/>
                <w:color w:val="FF0000"/>
                <w:highlight w:val="none"/>
                <w:lang w:val="en-US" w:eastAsia="zh-CN"/>
              </w:rPr>
              <w:t>项目使用活性炭类型为4～8mm颗粒活性炭，要求碘值≥800mg/g</w:t>
            </w:r>
            <w:r>
              <w:rPr>
                <w:rFonts w:hint="eastAsia" w:cs="Times New Roman"/>
                <w:color w:val="FF0000"/>
                <w:highlight w:val="none"/>
                <w:lang w:val="en-US" w:eastAsia="zh-CN"/>
              </w:rPr>
              <w:t>，</w:t>
            </w:r>
            <w:r>
              <w:rPr>
                <w:rFonts w:hint="eastAsia"/>
                <w:color w:val="FF0000"/>
                <w:highlight w:val="none"/>
                <w:lang w:eastAsia="zh-CN"/>
              </w:rPr>
              <w:t>每年</w:t>
            </w:r>
            <w:r>
              <w:rPr>
                <w:rFonts w:hint="eastAsia"/>
                <w:color w:val="FF0000"/>
                <w:highlight w:val="none"/>
              </w:rPr>
              <w:t>更换一次，则</w:t>
            </w:r>
            <w:r>
              <w:rPr>
                <w:rFonts w:hint="eastAsia"/>
                <w:color w:val="FF0000"/>
                <w:highlight w:val="none"/>
                <w:lang w:eastAsia="zh-CN"/>
              </w:rPr>
              <w:t>项目</w:t>
            </w:r>
            <w:r>
              <w:rPr>
                <w:rFonts w:hint="eastAsia"/>
                <w:color w:val="FF0000"/>
                <w:highlight w:val="none"/>
              </w:rPr>
              <w:t>废活性炭产生量约为</w:t>
            </w:r>
            <w:r>
              <w:rPr>
                <w:rFonts w:hint="eastAsia"/>
                <w:color w:val="FF0000"/>
                <w:highlight w:val="none"/>
                <w:lang w:val="en-US" w:eastAsia="zh-CN"/>
              </w:rPr>
              <w:t>0.261</w:t>
            </w:r>
            <w:r>
              <w:rPr>
                <w:rFonts w:hint="eastAsia"/>
                <w:color w:val="FF0000"/>
                <w:highlight w:val="none"/>
              </w:rPr>
              <w:t>t/a。根据《危险废物名录》（2025年）废活性炭属于 HW49 危险废物，危废代码：900-039-49，暂存危废暂存间，并委托有资质单位妥善处置</w:t>
            </w:r>
            <w:r>
              <w:rPr>
                <w:rFonts w:hint="eastAsia"/>
                <w:color w:val="FF0000"/>
                <w:highlight w:val="none"/>
                <w:lang w:eastAsia="zh-CN"/>
              </w:rPr>
              <w:t>。</w:t>
            </w:r>
          </w:p>
          <w:p w14:paraId="22220CB3">
            <w:pPr>
              <w:pStyle w:val="38"/>
              <w:bidi w:val="0"/>
              <w:rPr>
                <w:rFonts w:hint="eastAsia"/>
                <w:color w:val="auto"/>
                <w:highlight w:val="none"/>
              </w:rPr>
            </w:pPr>
            <w:r>
              <w:rPr>
                <w:rFonts w:hint="eastAsia"/>
                <w:color w:val="auto"/>
                <w:highlight w:val="none"/>
                <w:lang w:eastAsia="zh-CN"/>
              </w:rPr>
              <w:t>本项目固废产生情况详见下表</w:t>
            </w:r>
            <w:r>
              <w:rPr>
                <w:rFonts w:hint="eastAsia"/>
                <w:color w:val="auto"/>
                <w:highlight w:val="none"/>
              </w:rPr>
              <w:t>。</w:t>
            </w:r>
          </w:p>
          <w:p w14:paraId="6A59343F">
            <w:pPr>
              <w:pStyle w:val="39"/>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表32 固体废物产生情况汇总表</w:t>
            </w:r>
          </w:p>
          <w:tbl>
            <w:tblPr>
              <w:tblStyle w:val="2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7"/>
              <w:gridCol w:w="1203"/>
              <w:gridCol w:w="1240"/>
              <w:gridCol w:w="664"/>
              <w:gridCol w:w="1297"/>
              <w:gridCol w:w="1040"/>
              <w:gridCol w:w="1432"/>
              <w:gridCol w:w="1362"/>
            </w:tblGrid>
            <w:tr w14:paraId="604F5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 w:type="pct"/>
                  <w:noWrap w:val="0"/>
                  <w:vAlign w:val="center"/>
                </w:tcPr>
                <w:p w14:paraId="75362D70">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序号</w:t>
                  </w:r>
                </w:p>
              </w:tc>
              <w:tc>
                <w:tcPr>
                  <w:tcW w:w="687" w:type="pct"/>
                  <w:noWrap w:val="0"/>
                  <w:vAlign w:val="center"/>
                </w:tcPr>
                <w:p w14:paraId="1EFD159E">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名称</w:t>
                  </w:r>
                </w:p>
              </w:tc>
              <w:tc>
                <w:tcPr>
                  <w:tcW w:w="708" w:type="pct"/>
                  <w:noWrap w:val="0"/>
                  <w:vAlign w:val="center"/>
                </w:tcPr>
                <w:p w14:paraId="77874992">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产生环节</w:t>
                  </w:r>
                </w:p>
              </w:tc>
              <w:tc>
                <w:tcPr>
                  <w:tcW w:w="379" w:type="pct"/>
                  <w:noWrap w:val="0"/>
                  <w:vAlign w:val="center"/>
                </w:tcPr>
                <w:p w14:paraId="49642863">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形态</w:t>
                  </w:r>
                </w:p>
              </w:tc>
              <w:tc>
                <w:tcPr>
                  <w:tcW w:w="741" w:type="pct"/>
                  <w:noWrap w:val="0"/>
                  <w:vAlign w:val="center"/>
                </w:tcPr>
                <w:p w14:paraId="532B77F9">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属性</w:t>
                  </w:r>
                </w:p>
              </w:tc>
              <w:tc>
                <w:tcPr>
                  <w:tcW w:w="594" w:type="pct"/>
                  <w:noWrap w:val="0"/>
                  <w:vAlign w:val="center"/>
                </w:tcPr>
                <w:p w14:paraId="3F25F79F">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产生量</w:t>
                  </w:r>
                </w:p>
              </w:tc>
              <w:tc>
                <w:tcPr>
                  <w:tcW w:w="818" w:type="pct"/>
                  <w:noWrap w:val="0"/>
                  <w:vAlign w:val="center"/>
                </w:tcPr>
                <w:p w14:paraId="4B9D4E13">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处理措施</w:t>
                  </w:r>
                </w:p>
              </w:tc>
              <w:tc>
                <w:tcPr>
                  <w:tcW w:w="778" w:type="pct"/>
                  <w:noWrap w:val="0"/>
                  <w:vAlign w:val="center"/>
                </w:tcPr>
                <w:p w14:paraId="6DD8B024">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代码</w:t>
                  </w:r>
                </w:p>
              </w:tc>
            </w:tr>
            <w:tr w14:paraId="659BA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 w:type="pct"/>
                  <w:noWrap w:val="0"/>
                  <w:vAlign w:val="center"/>
                </w:tcPr>
                <w:p w14:paraId="07C16F5A">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w:t>
                  </w:r>
                </w:p>
              </w:tc>
              <w:tc>
                <w:tcPr>
                  <w:tcW w:w="687" w:type="pct"/>
                  <w:noWrap w:val="0"/>
                  <w:vAlign w:val="center"/>
                </w:tcPr>
                <w:p w14:paraId="31C8493B">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生活垃圾</w:t>
                  </w:r>
                </w:p>
              </w:tc>
              <w:tc>
                <w:tcPr>
                  <w:tcW w:w="708" w:type="pct"/>
                  <w:noWrap w:val="0"/>
                  <w:vAlign w:val="center"/>
                </w:tcPr>
                <w:p w14:paraId="1ABE03CC">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职工生活</w:t>
                  </w:r>
                </w:p>
              </w:tc>
              <w:tc>
                <w:tcPr>
                  <w:tcW w:w="379" w:type="pct"/>
                  <w:noWrap w:val="0"/>
                  <w:vAlign w:val="center"/>
                </w:tcPr>
                <w:p w14:paraId="725D6709">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固态</w:t>
                  </w:r>
                </w:p>
              </w:tc>
              <w:tc>
                <w:tcPr>
                  <w:tcW w:w="741" w:type="pct"/>
                  <w:noWrap w:val="0"/>
                  <w:vAlign w:val="center"/>
                </w:tcPr>
                <w:p w14:paraId="1BA933EB">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一般固废</w:t>
                  </w:r>
                </w:p>
              </w:tc>
              <w:tc>
                <w:tcPr>
                  <w:tcW w:w="594" w:type="pct"/>
                  <w:noWrap w:val="0"/>
                  <w:vAlign w:val="center"/>
                </w:tcPr>
                <w:p w14:paraId="1C6416FD">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1.8</w:t>
                  </w:r>
                  <w:r>
                    <w:rPr>
                      <w:rFonts w:hint="eastAsia" w:ascii="Times New Roman" w:hAnsi="Times New Roman" w:eastAsia="宋体" w:cs="Times New Roman"/>
                      <w:color w:val="auto"/>
                      <w:sz w:val="20"/>
                      <w:szCs w:val="20"/>
                      <w:highlight w:val="none"/>
                      <w:lang w:val="en-US" w:eastAsia="zh-CN"/>
                    </w:rPr>
                    <w:t>t/a</w:t>
                  </w:r>
                </w:p>
              </w:tc>
              <w:tc>
                <w:tcPr>
                  <w:tcW w:w="818" w:type="pct"/>
                  <w:noWrap w:val="0"/>
                  <w:vAlign w:val="center"/>
                </w:tcPr>
                <w:p w14:paraId="2B6E47E7">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环卫部门清运</w:t>
                  </w:r>
                </w:p>
              </w:tc>
              <w:tc>
                <w:tcPr>
                  <w:tcW w:w="778" w:type="pct"/>
                  <w:noWrap w:val="0"/>
                  <w:vAlign w:val="center"/>
                </w:tcPr>
                <w:p w14:paraId="35408062">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w:t>
                  </w:r>
                </w:p>
              </w:tc>
            </w:tr>
            <w:tr w14:paraId="3BC01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 w:type="pct"/>
                  <w:noWrap w:val="0"/>
                  <w:vAlign w:val="center"/>
                </w:tcPr>
                <w:p w14:paraId="23974956">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w:t>
                  </w:r>
                </w:p>
              </w:tc>
              <w:tc>
                <w:tcPr>
                  <w:tcW w:w="687" w:type="pct"/>
                  <w:noWrap w:val="0"/>
                  <w:vAlign w:val="center"/>
                </w:tcPr>
                <w:p w14:paraId="62535888">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废</w:t>
                  </w:r>
                  <w:r>
                    <w:rPr>
                      <w:rFonts w:hint="eastAsia" w:ascii="Times New Roman" w:hAnsi="Times New Roman" w:eastAsia="宋体" w:cs="Times New Roman"/>
                      <w:color w:val="auto"/>
                      <w:sz w:val="20"/>
                      <w:szCs w:val="20"/>
                      <w:highlight w:val="none"/>
                      <w:lang w:val="en-US" w:eastAsia="zh-CN"/>
                    </w:rPr>
                    <w:t>下脚料</w:t>
                  </w:r>
                </w:p>
              </w:tc>
              <w:tc>
                <w:tcPr>
                  <w:tcW w:w="708" w:type="pct"/>
                  <w:noWrap w:val="0"/>
                  <w:vAlign w:val="center"/>
                </w:tcPr>
                <w:p w14:paraId="2EC45E01">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切割钻孔</w:t>
                  </w:r>
                  <w:r>
                    <w:rPr>
                      <w:rFonts w:hint="eastAsia" w:ascii="Times New Roman" w:hAnsi="Times New Roman" w:cs="Times New Roman"/>
                      <w:color w:val="auto"/>
                      <w:sz w:val="20"/>
                      <w:szCs w:val="20"/>
                      <w:highlight w:val="none"/>
                      <w:lang w:val="en-US" w:eastAsia="zh-CN"/>
                    </w:rPr>
                    <w:t>、木加工</w:t>
                  </w:r>
                </w:p>
              </w:tc>
              <w:tc>
                <w:tcPr>
                  <w:tcW w:w="379" w:type="pct"/>
                  <w:noWrap w:val="0"/>
                  <w:vAlign w:val="center"/>
                </w:tcPr>
                <w:p w14:paraId="0A95E31D">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固态</w:t>
                  </w:r>
                </w:p>
              </w:tc>
              <w:tc>
                <w:tcPr>
                  <w:tcW w:w="741" w:type="pct"/>
                  <w:noWrap w:val="0"/>
                  <w:vAlign w:val="center"/>
                </w:tcPr>
                <w:p w14:paraId="2F8AB3E2">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一般固废</w:t>
                  </w:r>
                </w:p>
              </w:tc>
              <w:tc>
                <w:tcPr>
                  <w:tcW w:w="594" w:type="pct"/>
                  <w:noWrap w:val="0"/>
                  <w:vAlign w:val="center"/>
                </w:tcPr>
                <w:p w14:paraId="7CB795DB">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1</w:t>
                  </w:r>
                  <w:r>
                    <w:rPr>
                      <w:rFonts w:hint="eastAsia" w:ascii="Times New Roman" w:hAnsi="Times New Roman" w:eastAsia="宋体" w:cs="Times New Roman"/>
                      <w:color w:val="auto"/>
                      <w:sz w:val="20"/>
                      <w:szCs w:val="20"/>
                      <w:highlight w:val="none"/>
                      <w:lang w:val="en-US" w:eastAsia="zh-CN"/>
                    </w:rPr>
                    <w:t>.3t/a</w:t>
                  </w:r>
                </w:p>
              </w:tc>
              <w:tc>
                <w:tcPr>
                  <w:tcW w:w="818" w:type="pct"/>
                  <w:noWrap w:val="0"/>
                  <w:vAlign w:val="center"/>
                </w:tcPr>
                <w:p w14:paraId="02ACBBB5">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外售处理</w:t>
                  </w:r>
                </w:p>
              </w:tc>
              <w:tc>
                <w:tcPr>
                  <w:tcW w:w="778" w:type="pct"/>
                  <w:noWrap w:val="0"/>
                  <w:vAlign w:val="center"/>
                </w:tcPr>
                <w:p w14:paraId="20F0CAF2">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900-099-S59</w:t>
                  </w:r>
                </w:p>
              </w:tc>
            </w:tr>
            <w:tr w14:paraId="79085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 w:type="pct"/>
                  <w:noWrap w:val="0"/>
                  <w:vAlign w:val="center"/>
                </w:tcPr>
                <w:p w14:paraId="6293D070">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3</w:t>
                  </w:r>
                </w:p>
              </w:tc>
              <w:tc>
                <w:tcPr>
                  <w:tcW w:w="687" w:type="pct"/>
                  <w:noWrap w:val="0"/>
                  <w:vAlign w:val="center"/>
                </w:tcPr>
                <w:p w14:paraId="7FFF8F97">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废布袋</w:t>
                  </w:r>
                </w:p>
              </w:tc>
              <w:tc>
                <w:tcPr>
                  <w:tcW w:w="708" w:type="pct"/>
                  <w:noWrap w:val="0"/>
                  <w:vAlign w:val="center"/>
                </w:tcPr>
                <w:p w14:paraId="4FB604D2">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环保设备使用</w:t>
                  </w:r>
                </w:p>
              </w:tc>
              <w:tc>
                <w:tcPr>
                  <w:tcW w:w="379" w:type="pct"/>
                  <w:noWrap w:val="0"/>
                  <w:vAlign w:val="center"/>
                </w:tcPr>
                <w:p w14:paraId="40AA7D11">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固态</w:t>
                  </w:r>
                </w:p>
              </w:tc>
              <w:tc>
                <w:tcPr>
                  <w:tcW w:w="741" w:type="pct"/>
                  <w:noWrap w:val="0"/>
                  <w:vAlign w:val="center"/>
                </w:tcPr>
                <w:p w14:paraId="37B1B888">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一般固废</w:t>
                  </w:r>
                </w:p>
              </w:tc>
              <w:tc>
                <w:tcPr>
                  <w:tcW w:w="594" w:type="pct"/>
                  <w:noWrap w:val="0"/>
                  <w:vAlign w:val="center"/>
                </w:tcPr>
                <w:p w14:paraId="78A34FA1">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0.005t</w:t>
                  </w:r>
                  <w:r>
                    <w:rPr>
                      <w:rFonts w:hint="eastAsia" w:ascii="Times New Roman" w:hAnsi="Times New Roman" w:eastAsia="宋体" w:cs="Times New Roman"/>
                      <w:color w:val="auto"/>
                      <w:sz w:val="20"/>
                      <w:szCs w:val="20"/>
                      <w:highlight w:val="none"/>
                      <w:lang w:val="en-US" w:eastAsia="zh-CN"/>
                    </w:rPr>
                    <w:t>/a</w:t>
                  </w:r>
                </w:p>
              </w:tc>
              <w:tc>
                <w:tcPr>
                  <w:tcW w:w="818" w:type="pct"/>
                  <w:noWrap w:val="0"/>
                  <w:vAlign w:val="center"/>
                </w:tcPr>
                <w:p w14:paraId="18F13D0E">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外运处置</w:t>
                  </w:r>
                </w:p>
              </w:tc>
              <w:tc>
                <w:tcPr>
                  <w:tcW w:w="778" w:type="pct"/>
                  <w:noWrap w:val="0"/>
                  <w:vAlign w:val="center"/>
                </w:tcPr>
                <w:p w14:paraId="0BA01DD0">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900-099-S59</w:t>
                  </w:r>
                </w:p>
              </w:tc>
            </w:tr>
            <w:tr w14:paraId="1DD44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 w:type="pct"/>
                  <w:noWrap w:val="0"/>
                  <w:vAlign w:val="center"/>
                </w:tcPr>
                <w:p w14:paraId="194537F6">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4</w:t>
                  </w:r>
                </w:p>
              </w:tc>
              <w:tc>
                <w:tcPr>
                  <w:tcW w:w="687" w:type="pct"/>
                  <w:noWrap w:val="0"/>
                  <w:vAlign w:val="center"/>
                </w:tcPr>
                <w:p w14:paraId="31843443">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除尘器集尘</w:t>
                  </w:r>
                </w:p>
              </w:tc>
              <w:tc>
                <w:tcPr>
                  <w:tcW w:w="708" w:type="pct"/>
                  <w:noWrap w:val="0"/>
                  <w:vAlign w:val="center"/>
                </w:tcPr>
                <w:p w14:paraId="682B72DF">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环保设备使用</w:t>
                  </w:r>
                </w:p>
              </w:tc>
              <w:tc>
                <w:tcPr>
                  <w:tcW w:w="379" w:type="pct"/>
                  <w:noWrap w:val="0"/>
                  <w:vAlign w:val="center"/>
                </w:tcPr>
                <w:p w14:paraId="7645C768">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固体</w:t>
                  </w:r>
                </w:p>
              </w:tc>
              <w:tc>
                <w:tcPr>
                  <w:tcW w:w="741" w:type="pct"/>
                  <w:noWrap w:val="0"/>
                  <w:vAlign w:val="center"/>
                </w:tcPr>
                <w:p w14:paraId="46BB6C11">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一般固废</w:t>
                  </w:r>
                </w:p>
              </w:tc>
              <w:tc>
                <w:tcPr>
                  <w:tcW w:w="594" w:type="pct"/>
                  <w:noWrap w:val="0"/>
                  <w:vAlign w:val="center"/>
                </w:tcPr>
                <w:p w14:paraId="5D2771A6">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w:t>
                  </w:r>
                  <w:r>
                    <w:rPr>
                      <w:rFonts w:hint="eastAsia" w:ascii="Times New Roman" w:hAnsi="Times New Roman" w:cs="Times New Roman"/>
                      <w:color w:val="auto"/>
                      <w:sz w:val="20"/>
                      <w:szCs w:val="20"/>
                      <w:highlight w:val="none"/>
                      <w:lang w:val="en-US" w:eastAsia="zh-CN"/>
                    </w:rPr>
                    <w:t>12</w:t>
                  </w:r>
                  <w:r>
                    <w:rPr>
                      <w:rFonts w:hint="eastAsia" w:ascii="Times New Roman" w:hAnsi="Times New Roman" w:eastAsia="宋体" w:cs="Times New Roman"/>
                      <w:color w:val="auto"/>
                      <w:sz w:val="20"/>
                      <w:szCs w:val="20"/>
                      <w:highlight w:val="none"/>
                      <w:lang w:val="en-US" w:eastAsia="zh-CN"/>
                    </w:rPr>
                    <w:t>t/a</w:t>
                  </w:r>
                </w:p>
              </w:tc>
              <w:tc>
                <w:tcPr>
                  <w:tcW w:w="818" w:type="pct"/>
                  <w:noWrap w:val="0"/>
                  <w:vAlign w:val="center"/>
                </w:tcPr>
                <w:p w14:paraId="7303DCB5">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外售处理</w:t>
                  </w:r>
                </w:p>
              </w:tc>
              <w:tc>
                <w:tcPr>
                  <w:tcW w:w="778" w:type="pct"/>
                  <w:noWrap w:val="0"/>
                  <w:vAlign w:val="center"/>
                </w:tcPr>
                <w:p w14:paraId="69E91905">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900-099-S59</w:t>
                  </w:r>
                </w:p>
              </w:tc>
            </w:tr>
            <w:tr w14:paraId="62B48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 w:type="pct"/>
                  <w:noWrap w:val="0"/>
                  <w:vAlign w:val="center"/>
                </w:tcPr>
                <w:p w14:paraId="3C68BD01">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5</w:t>
                  </w:r>
                </w:p>
              </w:tc>
              <w:tc>
                <w:tcPr>
                  <w:tcW w:w="687" w:type="pct"/>
                  <w:noWrap w:val="0"/>
                  <w:vAlign w:val="center"/>
                </w:tcPr>
                <w:p w14:paraId="2CDA70BA">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焊渣</w:t>
                  </w:r>
                </w:p>
              </w:tc>
              <w:tc>
                <w:tcPr>
                  <w:tcW w:w="708" w:type="pct"/>
                  <w:noWrap w:val="0"/>
                  <w:vAlign w:val="center"/>
                </w:tcPr>
                <w:p w14:paraId="2F4457AF">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焊接过程</w:t>
                  </w:r>
                </w:p>
              </w:tc>
              <w:tc>
                <w:tcPr>
                  <w:tcW w:w="379" w:type="pct"/>
                  <w:noWrap w:val="0"/>
                  <w:vAlign w:val="center"/>
                </w:tcPr>
                <w:p w14:paraId="76A4CD76">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固态</w:t>
                  </w:r>
                </w:p>
              </w:tc>
              <w:tc>
                <w:tcPr>
                  <w:tcW w:w="741" w:type="pct"/>
                  <w:noWrap w:val="0"/>
                  <w:vAlign w:val="center"/>
                </w:tcPr>
                <w:p w14:paraId="3EF33B98">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一般固废</w:t>
                  </w:r>
                </w:p>
              </w:tc>
              <w:tc>
                <w:tcPr>
                  <w:tcW w:w="594" w:type="pct"/>
                  <w:noWrap w:val="0"/>
                  <w:vAlign w:val="center"/>
                </w:tcPr>
                <w:p w14:paraId="6E64F00F">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0.005t/a</w:t>
                  </w:r>
                </w:p>
              </w:tc>
              <w:tc>
                <w:tcPr>
                  <w:tcW w:w="818" w:type="pct"/>
                  <w:noWrap w:val="0"/>
                  <w:vAlign w:val="center"/>
                </w:tcPr>
                <w:p w14:paraId="14E7DF9E">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外运处置</w:t>
                  </w:r>
                </w:p>
              </w:tc>
              <w:tc>
                <w:tcPr>
                  <w:tcW w:w="778" w:type="pct"/>
                  <w:noWrap w:val="0"/>
                  <w:vAlign w:val="center"/>
                </w:tcPr>
                <w:p w14:paraId="2506A2DF">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900-099-S59</w:t>
                  </w:r>
                </w:p>
              </w:tc>
            </w:tr>
            <w:tr w14:paraId="4861E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 w:type="pct"/>
                  <w:noWrap w:val="0"/>
                  <w:vAlign w:val="center"/>
                </w:tcPr>
                <w:p w14:paraId="471DF29A">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6</w:t>
                  </w:r>
                </w:p>
              </w:tc>
              <w:tc>
                <w:tcPr>
                  <w:tcW w:w="687" w:type="pct"/>
                  <w:noWrap w:val="0"/>
                  <w:vAlign w:val="center"/>
                </w:tcPr>
                <w:p w14:paraId="7B665BA1">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废包装</w:t>
                  </w:r>
                  <w:r>
                    <w:rPr>
                      <w:rFonts w:hint="eastAsia" w:ascii="Times New Roman" w:hAnsi="Times New Roman" w:cs="Times New Roman"/>
                      <w:color w:val="auto"/>
                      <w:sz w:val="20"/>
                      <w:szCs w:val="20"/>
                      <w:highlight w:val="none"/>
                      <w:lang w:val="en-US" w:eastAsia="zh-CN"/>
                    </w:rPr>
                    <w:t>材料</w:t>
                  </w:r>
                </w:p>
              </w:tc>
              <w:tc>
                <w:tcPr>
                  <w:tcW w:w="708" w:type="pct"/>
                  <w:noWrap w:val="0"/>
                  <w:vAlign w:val="center"/>
                </w:tcPr>
                <w:p w14:paraId="7D058C06">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原料包装</w:t>
                  </w:r>
                </w:p>
              </w:tc>
              <w:tc>
                <w:tcPr>
                  <w:tcW w:w="379" w:type="pct"/>
                  <w:noWrap w:val="0"/>
                  <w:vAlign w:val="center"/>
                </w:tcPr>
                <w:p w14:paraId="74679FDD">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固态</w:t>
                  </w:r>
                </w:p>
              </w:tc>
              <w:tc>
                <w:tcPr>
                  <w:tcW w:w="741" w:type="pct"/>
                  <w:noWrap w:val="0"/>
                  <w:vAlign w:val="center"/>
                </w:tcPr>
                <w:p w14:paraId="0C841533">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一般固废</w:t>
                  </w:r>
                </w:p>
              </w:tc>
              <w:tc>
                <w:tcPr>
                  <w:tcW w:w="594" w:type="pct"/>
                  <w:noWrap w:val="0"/>
                  <w:vAlign w:val="center"/>
                </w:tcPr>
                <w:p w14:paraId="112EBD5F">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0.05t/a</w:t>
                  </w:r>
                </w:p>
              </w:tc>
              <w:tc>
                <w:tcPr>
                  <w:tcW w:w="818" w:type="pct"/>
                  <w:noWrap w:val="0"/>
                  <w:vAlign w:val="center"/>
                </w:tcPr>
                <w:p w14:paraId="2130882C">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外售处理</w:t>
                  </w:r>
                </w:p>
              </w:tc>
              <w:tc>
                <w:tcPr>
                  <w:tcW w:w="778" w:type="pct"/>
                  <w:noWrap w:val="0"/>
                  <w:vAlign w:val="center"/>
                </w:tcPr>
                <w:p w14:paraId="0ACB7E8D">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900-099-S59</w:t>
                  </w:r>
                </w:p>
              </w:tc>
            </w:tr>
            <w:tr w14:paraId="11564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 w:type="pct"/>
                  <w:noWrap w:val="0"/>
                  <w:vAlign w:val="center"/>
                </w:tcPr>
                <w:p w14:paraId="3B9A6B99">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7</w:t>
                  </w:r>
                </w:p>
              </w:tc>
              <w:tc>
                <w:tcPr>
                  <w:tcW w:w="687" w:type="pct"/>
                  <w:noWrap w:val="0"/>
                  <w:vAlign w:val="center"/>
                </w:tcPr>
                <w:p w14:paraId="73B0AB8C">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废矿物油</w:t>
                  </w:r>
                </w:p>
              </w:tc>
              <w:tc>
                <w:tcPr>
                  <w:tcW w:w="708" w:type="pct"/>
                  <w:noWrap w:val="0"/>
                  <w:vAlign w:val="center"/>
                </w:tcPr>
                <w:p w14:paraId="7DDFC94D">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设备维护</w:t>
                  </w:r>
                </w:p>
              </w:tc>
              <w:tc>
                <w:tcPr>
                  <w:tcW w:w="379" w:type="pct"/>
                  <w:noWrap w:val="0"/>
                  <w:vAlign w:val="center"/>
                </w:tcPr>
                <w:p w14:paraId="57E522C8">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液态</w:t>
                  </w:r>
                </w:p>
              </w:tc>
              <w:tc>
                <w:tcPr>
                  <w:tcW w:w="741" w:type="pct"/>
                  <w:noWrap w:val="0"/>
                  <w:vAlign w:val="center"/>
                </w:tcPr>
                <w:p w14:paraId="29E37E9D">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危险废物</w:t>
                  </w:r>
                </w:p>
              </w:tc>
              <w:tc>
                <w:tcPr>
                  <w:tcW w:w="594" w:type="pct"/>
                  <w:noWrap w:val="0"/>
                  <w:vAlign w:val="center"/>
                </w:tcPr>
                <w:p w14:paraId="390D78D5">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0.02t</w:t>
                  </w:r>
                  <w:r>
                    <w:rPr>
                      <w:rFonts w:hint="eastAsia" w:ascii="Times New Roman" w:hAnsi="Times New Roman" w:eastAsia="宋体" w:cs="Times New Roman"/>
                      <w:color w:val="auto"/>
                      <w:sz w:val="20"/>
                      <w:szCs w:val="20"/>
                      <w:highlight w:val="none"/>
                      <w:lang w:val="en-US" w:eastAsia="zh-CN"/>
                    </w:rPr>
                    <w:t>/a</w:t>
                  </w:r>
                </w:p>
              </w:tc>
              <w:tc>
                <w:tcPr>
                  <w:tcW w:w="818" w:type="pct"/>
                  <w:noWrap w:val="0"/>
                  <w:vAlign w:val="center"/>
                </w:tcPr>
                <w:p w14:paraId="5ACC5B72">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资质单位处理</w:t>
                  </w:r>
                </w:p>
              </w:tc>
              <w:tc>
                <w:tcPr>
                  <w:tcW w:w="778" w:type="pct"/>
                  <w:noWrap w:val="0"/>
                  <w:vAlign w:val="center"/>
                </w:tcPr>
                <w:p w14:paraId="2180992C">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HW08，900-</w:t>
                  </w:r>
                  <w:r>
                    <w:rPr>
                      <w:rFonts w:hint="eastAsia" w:ascii="Times New Roman" w:hAnsi="Times New Roman" w:cs="Times New Roman"/>
                      <w:color w:val="auto"/>
                      <w:sz w:val="20"/>
                      <w:szCs w:val="20"/>
                      <w:highlight w:val="none"/>
                      <w:lang w:val="en-US" w:eastAsia="zh-CN"/>
                    </w:rPr>
                    <w:t>249</w:t>
                  </w:r>
                  <w:r>
                    <w:rPr>
                      <w:rFonts w:hint="eastAsia" w:ascii="Times New Roman" w:hAnsi="Times New Roman" w:eastAsia="宋体" w:cs="Times New Roman"/>
                      <w:color w:val="auto"/>
                      <w:sz w:val="20"/>
                      <w:szCs w:val="20"/>
                      <w:highlight w:val="none"/>
                      <w:lang w:val="en-US" w:eastAsia="zh-CN"/>
                    </w:rPr>
                    <w:t>-08</w:t>
                  </w:r>
                </w:p>
              </w:tc>
            </w:tr>
            <w:tr w14:paraId="2D131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 w:type="pct"/>
                  <w:noWrap w:val="0"/>
                  <w:vAlign w:val="center"/>
                </w:tcPr>
                <w:p w14:paraId="642130E7">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8</w:t>
                  </w:r>
                </w:p>
              </w:tc>
              <w:tc>
                <w:tcPr>
                  <w:tcW w:w="687" w:type="pct"/>
                  <w:noWrap w:val="0"/>
                  <w:vAlign w:val="center"/>
                </w:tcPr>
                <w:p w14:paraId="76DEB0DF">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废</w:t>
                  </w:r>
                  <w:r>
                    <w:rPr>
                      <w:rFonts w:hint="eastAsia" w:ascii="Times New Roman" w:hAnsi="Times New Roman" w:cs="Times New Roman"/>
                      <w:color w:val="auto"/>
                      <w:sz w:val="20"/>
                      <w:szCs w:val="20"/>
                      <w:highlight w:val="none"/>
                      <w:lang w:val="en-US" w:eastAsia="zh-CN"/>
                    </w:rPr>
                    <w:t>矿物油桶</w:t>
                  </w:r>
                </w:p>
              </w:tc>
              <w:tc>
                <w:tcPr>
                  <w:tcW w:w="708" w:type="pct"/>
                  <w:noWrap w:val="0"/>
                  <w:vAlign w:val="center"/>
                </w:tcPr>
                <w:p w14:paraId="0CF6F85E">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设备维护、物料储运</w:t>
                  </w:r>
                </w:p>
              </w:tc>
              <w:tc>
                <w:tcPr>
                  <w:tcW w:w="379" w:type="pct"/>
                  <w:noWrap w:val="0"/>
                  <w:vAlign w:val="center"/>
                </w:tcPr>
                <w:p w14:paraId="734757E9">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固态</w:t>
                  </w:r>
                </w:p>
              </w:tc>
              <w:tc>
                <w:tcPr>
                  <w:tcW w:w="741" w:type="pct"/>
                  <w:noWrap w:val="0"/>
                  <w:vAlign w:val="center"/>
                </w:tcPr>
                <w:p w14:paraId="6B632A32">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危险废物</w:t>
                  </w:r>
                </w:p>
              </w:tc>
              <w:tc>
                <w:tcPr>
                  <w:tcW w:w="594" w:type="pct"/>
                  <w:noWrap w:val="0"/>
                  <w:vAlign w:val="center"/>
                </w:tcPr>
                <w:p w14:paraId="052FA015">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0.002t/a</w:t>
                  </w:r>
                </w:p>
              </w:tc>
              <w:tc>
                <w:tcPr>
                  <w:tcW w:w="818" w:type="pct"/>
                  <w:noWrap w:val="0"/>
                  <w:vAlign w:val="center"/>
                </w:tcPr>
                <w:p w14:paraId="62C25D00">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资质单位处理</w:t>
                  </w:r>
                </w:p>
              </w:tc>
              <w:tc>
                <w:tcPr>
                  <w:tcW w:w="778" w:type="pct"/>
                  <w:noWrap w:val="0"/>
                  <w:vAlign w:val="center"/>
                </w:tcPr>
                <w:p w14:paraId="34A60433">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HW08，</w:t>
                  </w:r>
                </w:p>
                <w:p w14:paraId="7FB6E927">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900-249-08</w:t>
                  </w:r>
                </w:p>
              </w:tc>
            </w:tr>
            <w:tr w14:paraId="6E488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 w:type="pct"/>
                  <w:noWrap w:val="0"/>
                  <w:vAlign w:val="center"/>
                </w:tcPr>
                <w:p w14:paraId="66CCE5FD">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9</w:t>
                  </w:r>
                </w:p>
              </w:tc>
              <w:tc>
                <w:tcPr>
                  <w:tcW w:w="687" w:type="pct"/>
                  <w:noWrap w:val="0"/>
                  <w:vAlign w:val="center"/>
                </w:tcPr>
                <w:p w14:paraId="6E6C9818">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废活性炭</w:t>
                  </w:r>
                </w:p>
              </w:tc>
              <w:tc>
                <w:tcPr>
                  <w:tcW w:w="708" w:type="pct"/>
                  <w:noWrap w:val="0"/>
                  <w:vAlign w:val="center"/>
                </w:tcPr>
                <w:p w14:paraId="69FA3151">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环保设备使用</w:t>
                  </w:r>
                </w:p>
              </w:tc>
              <w:tc>
                <w:tcPr>
                  <w:tcW w:w="379" w:type="pct"/>
                  <w:noWrap w:val="0"/>
                  <w:vAlign w:val="center"/>
                </w:tcPr>
                <w:p w14:paraId="29D04070">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固态</w:t>
                  </w:r>
                </w:p>
              </w:tc>
              <w:tc>
                <w:tcPr>
                  <w:tcW w:w="741" w:type="pct"/>
                  <w:noWrap w:val="0"/>
                  <w:vAlign w:val="center"/>
                </w:tcPr>
                <w:p w14:paraId="7879B625">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危险废物</w:t>
                  </w:r>
                </w:p>
              </w:tc>
              <w:tc>
                <w:tcPr>
                  <w:tcW w:w="594" w:type="pct"/>
                  <w:noWrap w:val="0"/>
                  <w:vAlign w:val="center"/>
                </w:tcPr>
                <w:p w14:paraId="0AD62898">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0.261</w:t>
                  </w:r>
                  <w:r>
                    <w:rPr>
                      <w:rFonts w:hint="eastAsia" w:ascii="Times New Roman" w:hAnsi="Times New Roman" w:eastAsia="宋体" w:cs="Times New Roman"/>
                      <w:color w:val="auto"/>
                      <w:sz w:val="20"/>
                      <w:szCs w:val="20"/>
                      <w:highlight w:val="none"/>
                      <w:lang w:val="en-US" w:eastAsia="zh-CN"/>
                    </w:rPr>
                    <w:t>t/a</w:t>
                  </w:r>
                </w:p>
              </w:tc>
              <w:tc>
                <w:tcPr>
                  <w:tcW w:w="818" w:type="pct"/>
                  <w:noWrap w:val="0"/>
                  <w:vAlign w:val="center"/>
                </w:tcPr>
                <w:p w14:paraId="7FC5E7FD">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资质单位处理</w:t>
                  </w:r>
                </w:p>
              </w:tc>
              <w:tc>
                <w:tcPr>
                  <w:tcW w:w="778" w:type="pct"/>
                  <w:noWrap w:val="0"/>
                  <w:vAlign w:val="center"/>
                </w:tcPr>
                <w:p w14:paraId="1DD9AFF3">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HW49，</w:t>
                  </w:r>
                </w:p>
                <w:p w14:paraId="34300CDE">
                  <w:pPr>
                    <w:pStyle w:val="41"/>
                    <w:jc w:val="center"/>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900-039-49</w:t>
                  </w:r>
                </w:p>
              </w:tc>
            </w:tr>
          </w:tbl>
          <w:p w14:paraId="4E3EA45A">
            <w:pPr>
              <w:pStyle w:val="38"/>
              <w:bidi w:val="0"/>
              <w:rPr>
                <w:rFonts w:hint="default"/>
                <w:color w:val="auto"/>
                <w:highlight w:val="none"/>
              </w:rPr>
            </w:pPr>
            <w:r>
              <w:rPr>
                <w:rFonts w:hint="default"/>
                <w:color w:val="auto"/>
                <w:highlight w:val="none"/>
              </w:rPr>
              <w:t>本项目危险废物产生情况</w:t>
            </w:r>
            <w:r>
              <w:rPr>
                <w:rFonts w:hint="default"/>
                <w:color w:val="auto"/>
                <w:highlight w:val="none"/>
                <w:lang w:eastAsia="zh-CN"/>
              </w:rPr>
              <w:t>及</w:t>
            </w:r>
            <w:r>
              <w:rPr>
                <w:rFonts w:hint="default"/>
                <w:color w:val="auto"/>
                <w:highlight w:val="none"/>
              </w:rPr>
              <w:t>见下表：</w:t>
            </w:r>
          </w:p>
          <w:p w14:paraId="4040E82F">
            <w:pPr>
              <w:pStyle w:val="3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表3</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en-US" w:eastAsia="zh-CN"/>
              </w:rPr>
              <w:t xml:space="preserve"> 本项目危险废物汇总表</w:t>
            </w:r>
          </w:p>
          <w:tbl>
            <w:tblPr>
              <w:tblStyle w:val="2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6"/>
              <w:gridCol w:w="1032"/>
              <w:gridCol w:w="724"/>
              <w:gridCol w:w="677"/>
              <w:gridCol w:w="1011"/>
              <w:gridCol w:w="706"/>
              <w:gridCol w:w="256"/>
              <w:gridCol w:w="488"/>
              <w:gridCol w:w="754"/>
              <w:gridCol w:w="903"/>
              <w:gridCol w:w="615"/>
              <w:gridCol w:w="1231"/>
            </w:tblGrid>
            <w:tr w14:paraId="25B61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 w:type="pct"/>
                  <w:tcBorders>
                    <w:tl2br w:val="nil"/>
                    <w:tr2bl w:val="nil"/>
                  </w:tcBorders>
                  <w:noWrap w:val="0"/>
                  <w:tcMar>
                    <w:top w:w="0" w:type="dxa"/>
                    <w:left w:w="28" w:type="dxa"/>
                    <w:bottom w:w="0" w:type="dxa"/>
                    <w:right w:w="28" w:type="dxa"/>
                  </w:tcMar>
                  <w:vAlign w:val="center"/>
                </w:tcPr>
                <w:p w14:paraId="25684F7C">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序号</w:t>
                  </w:r>
                </w:p>
              </w:tc>
              <w:tc>
                <w:tcPr>
                  <w:tcW w:w="594" w:type="pct"/>
                  <w:tcBorders>
                    <w:tl2br w:val="nil"/>
                    <w:tr2bl w:val="nil"/>
                  </w:tcBorders>
                  <w:noWrap w:val="0"/>
                  <w:tcMar>
                    <w:top w:w="0" w:type="dxa"/>
                    <w:left w:w="28" w:type="dxa"/>
                    <w:bottom w:w="0" w:type="dxa"/>
                    <w:right w:w="28" w:type="dxa"/>
                  </w:tcMar>
                  <w:vAlign w:val="center"/>
                </w:tcPr>
                <w:p w14:paraId="56BA9740">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危险废物名称</w:t>
                  </w:r>
                </w:p>
              </w:tc>
              <w:tc>
                <w:tcPr>
                  <w:tcW w:w="418" w:type="pct"/>
                  <w:tcBorders>
                    <w:tl2br w:val="nil"/>
                    <w:tr2bl w:val="nil"/>
                  </w:tcBorders>
                  <w:noWrap w:val="0"/>
                  <w:tcMar>
                    <w:top w:w="0" w:type="dxa"/>
                    <w:left w:w="28" w:type="dxa"/>
                    <w:bottom w:w="0" w:type="dxa"/>
                    <w:right w:w="28" w:type="dxa"/>
                  </w:tcMar>
                  <w:vAlign w:val="center"/>
                </w:tcPr>
                <w:p w14:paraId="2651E6C4">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产生工序及装置</w:t>
                  </w:r>
                </w:p>
              </w:tc>
              <w:tc>
                <w:tcPr>
                  <w:tcW w:w="391" w:type="pct"/>
                  <w:tcBorders>
                    <w:tl2br w:val="nil"/>
                    <w:tr2bl w:val="nil"/>
                  </w:tcBorders>
                  <w:noWrap w:val="0"/>
                  <w:tcMar>
                    <w:top w:w="0" w:type="dxa"/>
                    <w:left w:w="28" w:type="dxa"/>
                    <w:bottom w:w="0" w:type="dxa"/>
                    <w:right w:w="28" w:type="dxa"/>
                  </w:tcMar>
                  <w:vAlign w:val="center"/>
                </w:tcPr>
                <w:p w14:paraId="14FEC298">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危险废物类别</w:t>
                  </w:r>
                </w:p>
              </w:tc>
              <w:tc>
                <w:tcPr>
                  <w:tcW w:w="582" w:type="pct"/>
                  <w:tcBorders>
                    <w:tl2br w:val="nil"/>
                    <w:tr2bl w:val="nil"/>
                  </w:tcBorders>
                  <w:noWrap w:val="0"/>
                  <w:tcMar>
                    <w:top w:w="0" w:type="dxa"/>
                    <w:left w:w="28" w:type="dxa"/>
                    <w:bottom w:w="0" w:type="dxa"/>
                    <w:right w:w="28" w:type="dxa"/>
                  </w:tcMar>
                  <w:vAlign w:val="center"/>
                </w:tcPr>
                <w:p w14:paraId="7FBDE134">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危险废物代码</w:t>
                  </w:r>
                </w:p>
              </w:tc>
              <w:tc>
                <w:tcPr>
                  <w:tcW w:w="356" w:type="pct"/>
                  <w:tcBorders>
                    <w:tl2br w:val="nil"/>
                    <w:tr2bl w:val="nil"/>
                  </w:tcBorders>
                  <w:noWrap w:val="0"/>
                  <w:tcMar>
                    <w:top w:w="0" w:type="dxa"/>
                    <w:left w:w="28" w:type="dxa"/>
                    <w:bottom w:w="0" w:type="dxa"/>
                    <w:right w:w="28" w:type="dxa"/>
                  </w:tcMar>
                  <w:vAlign w:val="center"/>
                </w:tcPr>
                <w:p w14:paraId="7B4D9F03">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产生量</w:t>
                  </w:r>
                </w:p>
              </w:tc>
              <w:tc>
                <w:tcPr>
                  <w:tcW w:w="150" w:type="pct"/>
                  <w:tcBorders>
                    <w:tl2br w:val="nil"/>
                    <w:tr2bl w:val="nil"/>
                  </w:tcBorders>
                  <w:noWrap w:val="0"/>
                  <w:tcMar>
                    <w:top w:w="0" w:type="dxa"/>
                    <w:left w:w="28" w:type="dxa"/>
                    <w:bottom w:w="0" w:type="dxa"/>
                    <w:right w:w="28" w:type="dxa"/>
                  </w:tcMar>
                  <w:vAlign w:val="center"/>
                </w:tcPr>
                <w:p w14:paraId="12C42ECA">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形态</w:t>
                  </w:r>
                </w:p>
              </w:tc>
              <w:tc>
                <w:tcPr>
                  <w:tcW w:w="284" w:type="pct"/>
                  <w:tcBorders>
                    <w:tl2br w:val="nil"/>
                    <w:tr2bl w:val="nil"/>
                  </w:tcBorders>
                  <w:noWrap w:val="0"/>
                  <w:tcMar>
                    <w:top w:w="0" w:type="dxa"/>
                    <w:left w:w="28" w:type="dxa"/>
                    <w:bottom w:w="0" w:type="dxa"/>
                    <w:right w:w="28" w:type="dxa"/>
                  </w:tcMar>
                  <w:vAlign w:val="center"/>
                </w:tcPr>
                <w:p w14:paraId="76F9FFA9">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主要成分</w:t>
                  </w:r>
                </w:p>
              </w:tc>
              <w:tc>
                <w:tcPr>
                  <w:tcW w:w="435" w:type="pct"/>
                  <w:tcBorders>
                    <w:tl2br w:val="nil"/>
                    <w:tr2bl w:val="nil"/>
                  </w:tcBorders>
                  <w:noWrap w:val="0"/>
                  <w:tcMar>
                    <w:top w:w="0" w:type="dxa"/>
                    <w:left w:w="28" w:type="dxa"/>
                    <w:bottom w:w="0" w:type="dxa"/>
                    <w:right w:w="28" w:type="dxa"/>
                  </w:tcMar>
                  <w:vAlign w:val="center"/>
                </w:tcPr>
                <w:p w14:paraId="1B250050">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有害成分</w:t>
                  </w:r>
                </w:p>
              </w:tc>
              <w:tc>
                <w:tcPr>
                  <w:tcW w:w="520" w:type="pct"/>
                  <w:tcBorders>
                    <w:tl2br w:val="nil"/>
                    <w:tr2bl w:val="nil"/>
                  </w:tcBorders>
                  <w:noWrap w:val="0"/>
                  <w:tcMar>
                    <w:top w:w="0" w:type="dxa"/>
                    <w:left w:w="28" w:type="dxa"/>
                    <w:bottom w:w="0" w:type="dxa"/>
                    <w:right w:w="28" w:type="dxa"/>
                  </w:tcMar>
                  <w:vAlign w:val="center"/>
                </w:tcPr>
                <w:p w14:paraId="76A1827A">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产废周期</w:t>
                  </w:r>
                </w:p>
              </w:tc>
              <w:tc>
                <w:tcPr>
                  <w:tcW w:w="355" w:type="pct"/>
                  <w:tcBorders>
                    <w:tl2br w:val="nil"/>
                    <w:tr2bl w:val="nil"/>
                  </w:tcBorders>
                  <w:noWrap w:val="0"/>
                  <w:tcMar>
                    <w:top w:w="0" w:type="dxa"/>
                    <w:left w:w="28" w:type="dxa"/>
                    <w:bottom w:w="0" w:type="dxa"/>
                    <w:right w:w="28" w:type="dxa"/>
                  </w:tcMar>
                  <w:vAlign w:val="center"/>
                </w:tcPr>
                <w:p w14:paraId="2711160F">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eastAsia="zh-CN"/>
                    </w:rPr>
                    <w:t>危险特性</w:t>
                  </w:r>
                </w:p>
              </w:tc>
              <w:tc>
                <w:tcPr>
                  <w:tcW w:w="707" w:type="pct"/>
                  <w:tcBorders>
                    <w:tl2br w:val="nil"/>
                    <w:tr2bl w:val="nil"/>
                  </w:tcBorders>
                  <w:noWrap w:val="0"/>
                  <w:tcMar>
                    <w:top w:w="0" w:type="dxa"/>
                    <w:left w:w="28" w:type="dxa"/>
                    <w:bottom w:w="0" w:type="dxa"/>
                    <w:right w:w="28" w:type="dxa"/>
                  </w:tcMar>
                  <w:vAlign w:val="center"/>
                </w:tcPr>
                <w:p w14:paraId="28584F03">
                  <w:pPr>
                    <w:pStyle w:val="63"/>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污染防治措施</w:t>
                  </w:r>
                </w:p>
              </w:tc>
            </w:tr>
            <w:tr w14:paraId="3042D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 w:type="pct"/>
                  <w:tcBorders>
                    <w:tl2br w:val="nil"/>
                    <w:tr2bl w:val="nil"/>
                  </w:tcBorders>
                  <w:noWrap w:val="0"/>
                  <w:tcMar>
                    <w:top w:w="0" w:type="dxa"/>
                    <w:left w:w="28" w:type="dxa"/>
                    <w:bottom w:w="0" w:type="dxa"/>
                    <w:right w:w="28" w:type="dxa"/>
                  </w:tcMar>
                  <w:vAlign w:val="center"/>
                </w:tcPr>
                <w:p w14:paraId="61073904">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1</w:t>
                  </w:r>
                </w:p>
              </w:tc>
              <w:tc>
                <w:tcPr>
                  <w:tcW w:w="594" w:type="pct"/>
                  <w:tcBorders>
                    <w:tl2br w:val="nil"/>
                    <w:tr2bl w:val="nil"/>
                  </w:tcBorders>
                  <w:noWrap w:val="0"/>
                  <w:tcMar>
                    <w:top w:w="0" w:type="dxa"/>
                    <w:left w:w="28" w:type="dxa"/>
                    <w:bottom w:w="0" w:type="dxa"/>
                    <w:right w:w="28" w:type="dxa"/>
                  </w:tcMar>
                  <w:vAlign w:val="center"/>
                </w:tcPr>
                <w:p w14:paraId="6C58AE14">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废矿物油S</w:t>
                  </w:r>
                  <w:r>
                    <w:rPr>
                      <w:rFonts w:hint="eastAsia" w:ascii="Times New Roman" w:hAnsi="Times New Roman" w:cs="Times New Roman"/>
                      <w:color w:val="auto"/>
                      <w:sz w:val="20"/>
                      <w:szCs w:val="20"/>
                      <w:highlight w:val="none"/>
                      <w:lang w:val="en-US" w:eastAsia="zh-CN"/>
                    </w:rPr>
                    <w:t>7</w:t>
                  </w:r>
                </w:p>
              </w:tc>
              <w:tc>
                <w:tcPr>
                  <w:tcW w:w="418" w:type="pct"/>
                  <w:tcBorders>
                    <w:tl2br w:val="nil"/>
                    <w:tr2bl w:val="nil"/>
                  </w:tcBorders>
                  <w:noWrap w:val="0"/>
                  <w:tcMar>
                    <w:top w:w="0" w:type="dxa"/>
                    <w:left w:w="28" w:type="dxa"/>
                    <w:bottom w:w="0" w:type="dxa"/>
                    <w:right w:w="28" w:type="dxa"/>
                  </w:tcMar>
                  <w:vAlign w:val="center"/>
                </w:tcPr>
                <w:p w14:paraId="5B525D7A">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设备维修维护等</w:t>
                  </w:r>
                </w:p>
              </w:tc>
              <w:tc>
                <w:tcPr>
                  <w:tcW w:w="391" w:type="pct"/>
                  <w:tcBorders>
                    <w:tl2br w:val="nil"/>
                    <w:tr2bl w:val="nil"/>
                  </w:tcBorders>
                  <w:noWrap w:val="0"/>
                  <w:tcMar>
                    <w:top w:w="0" w:type="dxa"/>
                    <w:left w:w="28" w:type="dxa"/>
                    <w:bottom w:w="0" w:type="dxa"/>
                    <w:right w:w="28" w:type="dxa"/>
                  </w:tcMar>
                  <w:vAlign w:val="center"/>
                </w:tcPr>
                <w:p w14:paraId="7085C439">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HW08</w:t>
                  </w:r>
                </w:p>
              </w:tc>
              <w:tc>
                <w:tcPr>
                  <w:tcW w:w="582" w:type="pct"/>
                  <w:tcBorders>
                    <w:tl2br w:val="nil"/>
                    <w:tr2bl w:val="nil"/>
                  </w:tcBorders>
                  <w:noWrap w:val="0"/>
                  <w:tcMar>
                    <w:top w:w="0" w:type="dxa"/>
                    <w:left w:w="28" w:type="dxa"/>
                    <w:bottom w:w="0" w:type="dxa"/>
                    <w:right w:w="28" w:type="dxa"/>
                  </w:tcMar>
                  <w:vAlign w:val="center"/>
                </w:tcPr>
                <w:p w14:paraId="578CE455">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900-249-08</w:t>
                  </w:r>
                </w:p>
              </w:tc>
              <w:tc>
                <w:tcPr>
                  <w:tcW w:w="356" w:type="pct"/>
                  <w:tcBorders>
                    <w:tl2br w:val="nil"/>
                    <w:tr2bl w:val="nil"/>
                  </w:tcBorders>
                  <w:noWrap w:val="0"/>
                  <w:tcMar>
                    <w:top w:w="0" w:type="dxa"/>
                    <w:left w:w="28" w:type="dxa"/>
                    <w:bottom w:w="0" w:type="dxa"/>
                    <w:right w:w="28" w:type="dxa"/>
                  </w:tcMar>
                  <w:vAlign w:val="center"/>
                </w:tcPr>
                <w:p w14:paraId="1B897E97">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0.02</w:t>
                  </w:r>
                  <w:r>
                    <w:rPr>
                      <w:rFonts w:hint="default" w:ascii="Times New Roman" w:hAnsi="Times New Roman" w:eastAsia="宋体" w:cs="Times New Roman"/>
                      <w:color w:val="auto"/>
                      <w:sz w:val="20"/>
                      <w:szCs w:val="20"/>
                      <w:highlight w:val="none"/>
                      <w:lang w:val="en-US" w:eastAsia="zh-CN"/>
                    </w:rPr>
                    <w:t>t/a</w:t>
                  </w:r>
                </w:p>
              </w:tc>
              <w:tc>
                <w:tcPr>
                  <w:tcW w:w="150" w:type="pct"/>
                  <w:tcBorders>
                    <w:tl2br w:val="nil"/>
                    <w:tr2bl w:val="nil"/>
                  </w:tcBorders>
                  <w:noWrap w:val="0"/>
                  <w:tcMar>
                    <w:top w:w="0" w:type="dxa"/>
                    <w:left w:w="28" w:type="dxa"/>
                    <w:bottom w:w="0" w:type="dxa"/>
                    <w:right w:w="28" w:type="dxa"/>
                  </w:tcMar>
                  <w:vAlign w:val="center"/>
                </w:tcPr>
                <w:p w14:paraId="1D0E9C0F">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液态</w:t>
                  </w:r>
                </w:p>
              </w:tc>
              <w:tc>
                <w:tcPr>
                  <w:tcW w:w="284" w:type="pct"/>
                  <w:tcBorders>
                    <w:tl2br w:val="nil"/>
                    <w:tr2bl w:val="nil"/>
                  </w:tcBorders>
                  <w:noWrap w:val="0"/>
                  <w:tcMar>
                    <w:top w:w="0" w:type="dxa"/>
                    <w:left w:w="28" w:type="dxa"/>
                    <w:bottom w:w="0" w:type="dxa"/>
                    <w:right w:w="28" w:type="dxa"/>
                  </w:tcMar>
                  <w:vAlign w:val="center"/>
                </w:tcPr>
                <w:p w14:paraId="7011F23E">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废矿物油</w:t>
                  </w:r>
                </w:p>
              </w:tc>
              <w:tc>
                <w:tcPr>
                  <w:tcW w:w="435" w:type="pct"/>
                  <w:tcBorders>
                    <w:tl2br w:val="nil"/>
                    <w:tr2bl w:val="nil"/>
                  </w:tcBorders>
                  <w:noWrap w:val="0"/>
                  <w:tcMar>
                    <w:top w:w="0" w:type="dxa"/>
                    <w:left w:w="28" w:type="dxa"/>
                    <w:bottom w:w="0" w:type="dxa"/>
                    <w:right w:w="28" w:type="dxa"/>
                  </w:tcMar>
                  <w:vAlign w:val="center"/>
                </w:tcPr>
                <w:p w14:paraId="431BF569">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废矿物油</w:t>
                  </w:r>
                </w:p>
              </w:tc>
              <w:tc>
                <w:tcPr>
                  <w:tcW w:w="520" w:type="pct"/>
                  <w:tcBorders>
                    <w:tl2br w:val="nil"/>
                    <w:tr2bl w:val="nil"/>
                  </w:tcBorders>
                  <w:noWrap w:val="0"/>
                  <w:tcMar>
                    <w:top w:w="0" w:type="dxa"/>
                    <w:left w:w="28" w:type="dxa"/>
                    <w:bottom w:w="0" w:type="dxa"/>
                    <w:right w:w="28" w:type="dxa"/>
                  </w:tcMar>
                  <w:vAlign w:val="center"/>
                </w:tcPr>
                <w:p w14:paraId="6FD57B44">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＜6个月</w:t>
                  </w:r>
                </w:p>
              </w:tc>
              <w:tc>
                <w:tcPr>
                  <w:tcW w:w="355" w:type="pct"/>
                  <w:tcBorders>
                    <w:tl2br w:val="nil"/>
                    <w:tr2bl w:val="nil"/>
                  </w:tcBorders>
                  <w:noWrap w:val="0"/>
                  <w:tcMar>
                    <w:top w:w="0" w:type="dxa"/>
                    <w:left w:w="28" w:type="dxa"/>
                    <w:bottom w:w="0" w:type="dxa"/>
                    <w:right w:w="28" w:type="dxa"/>
                  </w:tcMar>
                  <w:vAlign w:val="center"/>
                </w:tcPr>
                <w:p w14:paraId="5C7F01A5">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T，I</w:t>
                  </w:r>
                </w:p>
              </w:tc>
              <w:tc>
                <w:tcPr>
                  <w:tcW w:w="707" w:type="pct"/>
                  <w:vMerge w:val="restart"/>
                  <w:tcBorders>
                    <w:tl2br w:val="nil"/>
                    <w:tr2bl w:val="nil"/>
                  </w:tcBorders>
                  <w:noWrap w:val="0"/>
                  <w:tcMar>
                    <w:top w:w="0" w:type="dxa"/>
                    <w:left w:w="28" w:type="dxa"/>
                    <w:bottom w:w="0" w:type="dxa"/>
                    <w:right w:w="28" w:type="dxa"/>
                  </w:tcMar>
                  <w:vAlign w:val="center"/>
                </w:tcPr>
                <w:p w14:paraId="3C70A99C">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厂区危废储存间暂存，定期委托有资质单位处理</w:t>
                  </w:r>
                </w:p>
              </w:tc>
            </w:tr>
            <w:tr w14:paraId="0E578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 w:type="pct"/>
                  <w:tcBorders>
                    <w:tl2br w:val="nil"/>
                    <w:tr2bl w:val="nil"/>
                  </w:tcBorders>
                  <w:noWrap w:val="0"/>
                  <w:tcMar>
                    <w:top w:w="0" w:type="dxa"/>
                    <w:left w:w="28" w:type="dxa"/>
                    <w:bottom w:w="0" w:type="dxa"/>
                    <w:right w:w="28" w:type="dxa"/>
                  </w:tcMar>
                  <w:vAlign w:val="center"/>
                </w:tcPr>
                <w:p w14:paraId="38434F3F">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2</w:t>
                  </w:r>
                </w:p>
              </w:tc>
              <w:tc>
                <w:tcPr>
                  <w:tcW w:w="594" w:type="pct"/>
                  <w:tcBorders>
                    <w:tl2br w:val="nil"/>
                    <w:tr2bl w:val="nil"/>
                  </w:tcBorders>
                  <w:noWrap w:val="0"/>
                  <w:tcMar>
                    <w:top w:w="0" w:type="dxa"/>
                    <w:left w:w="28" w:type="dxa"/>
                    <w:bottom w:w="0" w:type="dxa"/>
                    <w:right w:w="28" w:type="dxa"/>
                  </w:tcMar>
                  <w:vAlign w:val="center"/>
                </w:tcPr>
                <w:p w14:paraId="711D9161">
                  <w:pPr>
                    <w:pStyle w:val="41"/>
                    <w:rPr>
                      <w:rFonts w:hint="default" w:ascii="Times New Roman" w:hAnsi="Times New Roman" w:eastAsia="宋体" w:cs="Times New Roman"/>
                      <w:color w:val="auto"/>
                      <w:sz w:val="20"/>
                      <w:szCs w:val="20"/>
                      <w:highlight w:val="none"/>
                      <w:lang w:val="zh-CN" w:eastAsia="zh-CN"/>
                    </w:rPr>
                  </w:pPr>
                  <w:r>
                    <w:rPr>
                      <w:rFonts w:hint="default" w:ascii="Times New Roman" w:hAnsi="Times New Roman" w:eastAsia="宋体" w:cs="Times New Roman"/>
                      <w:color w:val="auto"/>
                      <w:sz w:val="20"/>
                      <w:szCs w:val="20"/>
                      <w:highlight w:val="none"/>
                      <w:lang w:val="en-US" w:eastAsia="zh-CN"/>
                    </w:rPr>
                    <w:t>废矿物油桶S</w:t>
                  </w:r>
                  <w:r>
                    <w:rPr>
                      <w:rFonts w:hint="eastAsia" w:ascii="Times New Roman" w:hAnsi="Times New Roman" w:cs="Times New Roman"/>
                      <w:color w:val="auto"/>
                      <w:sz w:val="20"/>
                      <w:szCs w:val="20"/>
                      <w:highlight w:val="none"/>
                      <w:lang w:val="en-US" w:eastAsia="zh-CN"/>
                    </w:rPr>
                    <w:t>8</w:t>
                  </w:r>
                </w:p>
              </w:tc>
              <w:tc>
                <w:tcPr>
                  <w:tcW w:w="418" w:type="pct"/>
                  <w:tcBorders>
                    <w:tl2br w:val="nil"/>
                    <w:tr2bl w:val="nil"/>
                  </w:tcBorders>
                  <w:noWrap w:val="0"/>
                  <w:tcMar>
                    <w:top w:w="0" w:type="dxa"/>
                    <w:left w:w="28" w:type="dxa"/>
                    <w:bottom w:w="0" w:type="dxa"/>
                    <w:right w:w="28" w:type="dxa"/>
                  </w:tcMar>
                  <w:vAlign w:val="center"/>
                </w:tcPr>
                <w:p w14:paraId="62F08F11">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设备维修维护等</w:t>
                  </w:r>
                </w:p>
              </w:tc>
              <w:tc>
                <w:tcPr>
                  <w:tcW w:w="391" w:type="pct"/>
                  <w:tcBorders>
                    <w:tl2br w:val="nil"/>
                    <w:tr2bl w:val="nil"/>
                  </w:tcBorders>
                  <w:noWrap w:val="0"/>
                  <w:tcMar>
                    <w:top w:w="0" w:type="dxa"/>
                    <w:left w:w="28" w:type="dxa"/>
                    <w:bottom w:w="0" w:type="dxa"/>
                    <w:right w:w="28" w:type="dxa"/>
                  </w:tcMar>
                  <w:vAlign w:val="center"/>
                </w:tcPr>
                <w:p w14:paraId="74EF595B">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HW08</w:t>
                  </w:r>
                </w:p>
              </w:tc>
              <w:tc>
                <w:tcPr>
                  <w:tcW w:w="582" w:type="pct"/>
                  <w:tcBorders>
                    <w:tl2br w:val="nil"/>
                    <w:tr2bl w:val="nil"/>
                  </w:tcBorders>
                  <w:noWrap w:val="0"/>
                  <w:tcMar>
                    <w:top w:w="0" w:type="dxa"/>
                    <w:left w:w="28" w:type="dxa"/>
                    <w:bottom w:w="0" w:type="dxa"/>
                    <w:right w:w="28" w:type="dxa"/>
                  </w:tcMar>
                  <w:vAlign w:val="center"/>
                </w:tcPr>
                <w:p w14:paraId="51C5FD3E">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900-249-08</w:t>
                  </w:r>
                </w:p>
              </w:tc>
              <w:tc>
                <w:tcPr>
                  <w:tcW w:w="356" w:type="pct"/>
                  <w:tcBorders>
                    <w:tl2br w:val="nil"/>
                    <w:tr2bl w:val="nil"/>
                  </w:tcBorders>
                  <w:noWrap w:val="0"/>
                  <w:tcMar>
                    <w:top w:w="0" w:type="dxa"/>
                    <w:left w:w="28" w:type="dxa"/>
                    <w:bottom w:w="0" w:type="dxa"/>
                    <w:right w:w="28" w:type="dxa"/>
                  </w:tcMar>
                  <w:vAlign w:val="center"/>
                </w:tcPr>
                <w:p w14:paraId="0E8965D8">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0.0</w:t>
                  </w:r>
                  <w:r>
                    <w:rPr>
                      <w:rFonts w:hint="eastAsia" w:ascii="Times New Roman" w:hAnsi="Times New Roman" w:eastAsia="宋体" w:cs="Times New Roman"/>
                      <w:color w:val="auto"/>
                      <w:sz w:val="20"/>
                      <w:szCs w:val="20"/>
                      <w:highlight w:val="none"/>
                      <w:lang w:val="en-US" w:eastAsia="zh-CN"/>
                    </w:rPr>
                    <w:t>0</w:t>
                  </w:r>
                  <w:r>
                    <w:rPr>
                      <w:rFonts w:hint="default" w:ascii="Times New Roman" w:hAnsi="Times New Roman" w:eastAsia="宋体" w:cs="Times New Roman"/>
                      <w:color w:val="auto"/>
                      <w:sz w:val="20"/>
                      <w:szCs w:val="20"/>
                      <w:highlight w:val="none"/>
                      <w:lang w:val="en-US" w:eastAsia="zh-CN"/>
                    </w:rPr>
                    <w:t>2t/a</w:t>
                  </w:r>
                </w:p>
              </w:tc>
              <w:tc>
                <w:tcPr>
                  <w:tcW w:w="150" w:type="pct"/>
                  <w:tcBorders>
                    <w:tl2br w:val="nil"/>
                    <w:tr2bl w:val="nil"/>
                  </w:tcBorders>
                  <w:noWrap w:val="0"/>
                  <w:tcMar>
                    <w:top w:w="0" w:type="dxa"/>
                    <w:left w:w="28" w:type="dxa"/>
                    <w:bottom w:w="0" w:type="dxa"/>
                    <w:right w:w="28" w:type="dxa"/>
                  </w:tcMar>
                  <w:vAlign w:val="center"/>
                </w:tcPr>
                <w:p w14:paraId="3E664D59">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固态</w:t>
                  </w:r>
                </w:p>
              </w:tc>
              <w:tc>
                <w:tcPr>
                  <w:tcW w:w="284" w:type="pct"/>
                  <w:tcBorders>
                    <w:tl2br w:val="nil"/>
                    <w:tr2bl w:val="nil"/>
                  </w:tcBorders>
                  <w:noWrap w:val="0"/>
                  <w:tcMar>
                    <w:top w:w="0" w:type="dxa"/>
                    <w:left w:w="28" w:type="dxa"/>
                    <w:bottom w:w="0" w:type="dxa"/>
                    <w:right w:w="28" w:type="dxa"/>
                  </w:tcMar>
                  <w:vAlign w:val="center"/>
                </w:tcPr>
                <w:p w14:paraId="57288321">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包装物</w:t>
                  </w:r>
                </w:p>
              </w:tc>
              <w:tc>
                <w:tcPr>
                  <w:tcW w:w="435" w:type="pct"/>
                  <w:tcBorders>
                    <w:tl2br w:val="nil"/>
                    <w:tr2bl w:val="nil"/>
                  </w:tcBorders>
                  <w:noWrap w:val="0"/>
                  <w:tcMar>
                    <w:top w:w="0" w:type="dxa"/>
                    <w:left w:w="28" w:type="dxa"/>
                    <w:bottom w:w="0" w:type="dxa"/>
                    <w:right w:w="28" w:type="dxa"/>
                  </w:tcMar>
                  <w:vAlign w:val="center"/>
                </w:tcPr>
                <w:p w14:paraId="478785D6">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沾染废矿物油</w:t>
                  </w:r>
                </w:p>
              </w:tc>
              <w:tc>
                <w:tcPr>
                  <w:tcW w:w="520" w:type="pct"/>
                  <w:tcBorders>
                    <w:tl2br w:val="nil"/>
                    <w:tr2bl w:val="nil"/>
                  </w:tcBorders>
                  <w:noWrap w:val="0"/>
                  <w:tcMar>
                    <w:top w:w="0" w:type="dxa"/>
                    <w:left w:w="28" w:type="dxa"/>
                    <w:bottom w:w="0" w:type="dxa"/>
                    <w:right w:w="28" w:type="dxa"/>
                  </w:tcMar>
                  <w:vAlign w:val="center"/>
                </w:tcPr>
                <w:p w14:paraId="22A2F819">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＜6个月</w:t>
                  </w:r>
                </w:p>
              </w:tc>
              <w:tc>
                <w:tcPr>
                  <w:tcW w:w="355" w:type="pct"/>
                  <w:tcBorders>
                    <w:tl2br w:val="nil"/>
                    <w:tr2bl w:val="nil"/>
                  </w:tcBorders>
                  <w:noWrap w:val="0"/>
                  <w:tcMar>
                    <w:top w:w="0" w:type="dxa"/>
                    <w:left w:w="28" w:type="dxa"/>
                    <w:bottom w:w="0" w:type="dxa"/>
                    <w:right w:w="28" w:type="dxa"/>
                  </w:tcMar>
                  <w:vAlign w:val="center"/>
                </w:tcPr>
                <w:p w14:paraId="6E8BFC76">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T，I</w:t>
                  </w:r>
                </w:p>
              </w:tc>
              <w:tc>
                <w:tcPr>
                  <w:tcW w:w="707" w:type="pct"/>
                  <w:vMerge w:val="continue"/>
                  <w:tcBorders>
                    <w:tl2br w:val="nil"/>
                    <w:tr2bl w:val="nil"/>
                  </w:tcBorders>
                  <w:noWrap w:val="0"/>
                  <w:tcMar>
                    <w:top w:w="0" w:type="dxa"/>
                    <w:left w:w="28" w:type="dxa"/>
                    <w:bottom w:w="0" w:type="dxa"/>
                    <w:right w:w="28" w:type="dxa"/>
                  </w:tcMar>
                  <w:vAlign w:val="center"/>
                </w:tcPr>
                <w:p w14:paraId="42041E43">
                  <w:pPr>
                    <w:pStyle w:val="41"/>
                    <w:rPr>
                      <w:rFonts w:hint="default" w:ascii="Times New Roman" w:hAnsi="Times New Roman" w:eastAsia="宋体" w:cs="Times New Roman"/>
                      <w:color w:val="auto"/>
                      <w:sz w:val="20"/>
                      <w:szCs w:val="20"/>
                      <w:highlight w:val="none"/>
                      <w:lang w:val="en-US" w:eastAsia="zh-CN"/>
                    </w:rPr>
                  </w:pPr>
                </w:p>
              </w:tc>
            </w:tr>
            <w:tr w14:paraId="7B277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 w:type="pct"/>
                  <w:tcBorders>
                    <w:tl2br w:val="nil"/>
                    <w:tr2bl w:val="nil"/>
                  </w:tcBorders>
                  <w:noWrap w:val="0"/>
                  <w:tcMar>
                    <w:top w:w="0" w:type="dxa"/>
                    <w:left w:w="28" w:type="dxa"/>
                    <w:bottom w:w="0" w:type="dxa"/>
                    <w:right w:w="28" w:type="dxa"/>
                  </w:tcMar>
                  <w:vAlign w:val="center"/>
                </w:tcPr>
                <w:p w14:paraId="724C1EF9">
                  <w:pPr>
                    <w:pStyle w:val="41"/>
                    <w:rPr>
                      <w:rFonts w:hint="default" w:ascii="Times New Roman" w:hAnsi="Times New Roman"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3</w:t>
                  </w:r>
                </w:p>
              </w:tc>
              <w:tc>
                <w:tcPr>
                  <w:tcW w:w="594" w:type="pct"/>
                  <w:tcBorders>
                    <w:tl2br w:val="nil"/>
                    <w:tr2bl w:val="nil"/>
                  </w:tcBorders>
                  <w:noWrap w:val="0"/>
                  <w:tcMar>
                    <w:top w:w="0" w:type="dxa"/>
                    <w:left w:w="28" w:type="dxa"/>
                    <w:bottom w:w="0" w:type="dxa"/>
                    <w:right w:w="28" w:type="dxa"/>
                  </w:tcMar>
                  <w:vAlign w:val="center"/>
                </w:tcPr>
                <w:p w14:paraId="6430EB3C">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废活性炭S</w:t>
                  </w:r>
                  <w:r>
                    <w:rPr>
                      <w:rFonts w:hint="eastAsia" w:ascii="Times New Roman" w:hAnsi="Times New Roman" w:cs="Times New Roman"/>
                      <w:color w:val="auto"/>
                      <w:sz w:val="20"/>
                      <w:szCs w:val="20"/>
                      <w:highlight w:val="none"/>
                      <w:lang w:val="en-US" w:eastAsia="zh-CN"/>
                    </w:rPr>
                    <w:t>9</w:t>
                  </w:r>
                </w:p>
              </w:tc>
              <w:tc>
                <w:tcPr>
                  <w:tcW w:w="418" w:type="pct"/>
                  <w:tcBorders>
                    <w:tl2br w:val="nil"/>
                    <w:tr2bl w:val="nil"/>
                  </w:tcBorders>
                  <w:noWrap w:val="0"/>
                  <w:tcMar>
                    <w:top w:w="0" w:type="dxa"/>
                    <w:left w:w="28" w:type="dxa"/>
                    <w:bottom w:w="0" w:type="dxa"/>
                    <w:right w:w="28" w:type="dxa"/>
                  </w:tcMar>
                  <w:vAlign w:val="center"/>
                </w:tcPr>
                <w:p w14:paraId="592CE092">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cs="Times New Roman"/>
                      <w:color w:val="auto"/>
                      <w:sz w:val="20"/>
                      <w:szCs w:val="20"/>
                      <w:highlight w:val="none"/>
                      <w:lang w:val="en-US" w:eastAsia="zh-CN"/>
                    </w:rPr>
                    <w:t>废气处理</w:t>
                  </w:r>
                </w:p>
              </w:tc>
              <w:tc>
                <w:tcPr>
                  <w:tcW w:w="391" w:type="pct"/>
                  <w:tcBorders>
                    <w:tl2br w:val="nil"/>
                    <w:tr2bl w:val="nil"/>
                  </w:tcBorders>
                  <w:shd w:val="clear" w:color="auto" w:fill="auto"/>
                  <w:noWrap w:val="0"/>
                  <w:tcMar>
                    <w:top w:w="0" w:type="dxa"/>
                    <w:left w:w="28" w:type="dxa"/>
                    <w:bottom w:w="0" w:type="dxa"/>
                    <w:right w:w="28" w:type="dxa"/>
                  </w:tcMar>
                  <w:vAlign w:val="center"/>
                </w:tcPr>
                <w:p w14:paraId="3889DB0D">
                  <w:pPr>
                    <w:pStyle w:val="41"/>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color w:val="auto"/>
                      <w:sz w:val="20"/>
                      <w:szCs w:val="20"/>
                      <w:highlight w:val="none"/>
                      <w:lang w:val="en-US" w:eastAsia="zh-CN"/>
                    </w:rPr>
                    <w:t>HW49</w:t>
                  </w:r>
                </w:p>
              </w:tc>
              <w:tc>
                <w:tcPr>
                  <w:tcW w:w="582" w:type="pct"/>
                  <w:tcBorders>
                    <w:tl2br w:val="nil"/>
                    <w:tr2bl w:val="nil"/>
                  </w:tcBorders>
                  <w:shd w:val="clear" w:color="auto" w:fill="auto"/>
                  <w:noWrap w:val="0"/>
                  <w:tcMar>
                    <w:top w:w="0" w:type="dxa"/>
                    <w:left w:w="28" w:type="dxa"/>
                    <w:bottom w:w="0" w:type="dxa"/>
                    <w:right w:w="28" w:type="dxa"/>
                  </w:tcMar>
                  <w:vAlign w:val="center"/>
                </w:tcPr>
                <w:p w14:paraId="34DD5C9B">
                  <w:pPr>
                    <w:pStyle w:val="41"/>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color w:val="auto"/>
                      <w:sz w:val="20"/>
                      <w:szCs w:val="20"/>
                      <w:highlight w:val="none"/>
                      <w:lang w:val="en-US" w:eastAsia="zh-CN"/>
                    </w:rPr>
                    <w:t>900-039-49</w:t>
                  </w:r>
                </w:p>
              </w:tc>
              <w:tc>
                <w:tcPr>
                  <w:tcW w:w="356" w:type="pct"/>
                  <w:tcBorders>
                    <w:tl2br w:val="nil"/>
                    <w:tr2bl w:val="nil"/>
                  </w:tcBorders>
                  <w:noWrap w:val="0"/>
                  <w:tcMar>
                    <w:top w:w="0" w:type="dxa"/>
                    <w:left w:w="28" w:type="dxa"/>
                    <w:bottom w:w="0" w:type="dxa"/>
                    <w:right w:w="28" w:type="dxa"/>
                  </w:tcMar>
                  <w:vAlign w:val="center"/>
                </w:tcPr>
                <w:p w14:paraId="6E56DC53">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0.261</w:t>
                  </w:r>
                  <w:r>
                    <w:rPr>
                      <w:rFonts w:hint="default" w:ascii="Times New Roman" w:hAnsi="Times New Roman" w:cs="Times New Roman"/>
                      <w:color w:val="auto"/>
                      <w:sz w:val="20"/>
                      <w:szCs w:val="20"/>
                      <w:highlight w:val="none"/>
                      <w:lang w:val="en-US" w:eastAsia="zh-CN"/>
                    </w:rPr>
                    <w:t>t/a</w:t>
                  </w:r>
                </w:p>
              </w:tc>
              <w:tc>
                <w:tcPr>
                  <w:tcW w:w="150" w:type="pct"/>
                  <w:tcBorders>
                    <w:tl2br w:val="nil"/>
                    <w:tr2bl w:val="nil"/>
                  </w:tcBorders>
                  <w:noWrap w:val="0"/>
                  <w:tcMar>
                    <w:top w:w="0" w:type="dxa"/>
                    <w:left w:w="28" w:type="dxa"/>
                    <w:bottom w:w="0" w:type="dxa"/>
                    <w:right w:w="28" w:type="dxa"/>
                  </w:tcMar>
                  <w:vAlign w:val="center"/>
                </w:tcPr>
                <w:p w14:paraId="70C570AB">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cs="Times New Roman"/>
                      <w:color w:val="auto"/>
                      <w:sz w:val="20"/>
                      <w:szCs w:val="20"/>
                      <w:highlight w:val="none"/>
                      <w:lang w:val="en-US" w:eastAsia="zh-CN"/>
                    </w:rPr>
                    <w:t>固态</w:t>
                  </w:r>
                </w:p>
              </w:tc>
              <w:tc>
                <w:tcPr>
                  <w:tcW w:w="284" w:type="pct"/>
                  <w:tcBorders>
                    <w:tl2br w:val="nil"/>
                    <w:tr2bl w:val="nil"/>
                  </w:tcBorders>
                  <w:noWrap w:val="0"/>
                  <w:tcMar>
                    <w:top w:w="0" w:type="dxa"/>
                    <w:left w:w="28" w:type="dxa"/>
                    <w:bottom w:w="0" w:type="dxa"/>
                    <w:right w:w="28" w:type="dxa"/>
                  </w:tcMar>
                  <w:vAlign w:val="center"/>
                </w:tcPr>
                <w:p w14:paraId="7DC9F5C2">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活性炭、有机废气</w:t>
                  </w:r>
                </w:p>
              </w:tc>
              <w:tc>
                <w:tcPr>
                  <w:tcW w:w="435" w:type="pct"/>
                  <w:tcBorders>
                    <w:tl2br w:val="nil"/>
                    <w:tr2bl w:val="nil"/>
                  </w:tcBorders>
                  <w:noWrap w:val="0"/>
                  <w:tcMar>
                    <w:top w:w="0" w:type="dxa"/>
                    <w:left w:w="28" w:type="dxa"/>
                    <w:bottom w:w="0" w:type="dxa"/>
                    <w:right w:w="28" w:type="dxa"/>
                  </w:tcMar>
                  <w:vAlign w:val="center"/>
                </w:tcPr>
                <w:p w14:paraId="20D5DCF0">
                  <w:pPr>
                    <w:pStyle w:val="41"/>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吸附废气</w:t>
                  </w:r>
                </w:p>
              </w:tc>
              <w:tc>
                <w:tcPr>
                  <w:tcW w:w="520" w:type="pct"/>
                  <w:tcBorders>
                    <w:tl2br w:val="nil"/>
                    <w:tr2bl w:val="nil"/>
                  </w:tcBorders>
                  <w:noWrap w:val="0"/>
                  <w:tcMar>
                    <w:top w:w="0" w:type="dxa"/>
                    <w:left w:w="28" w:type="dxa"/>
                    <w:bottom w:w="0" w:type="dxa"/>
                    <w:right w:w="28" w:type="dxa"/>
                  </w:tcMar>
                  <w:vAlign w:val="center"/>
                </w:tcPr>
                <w:p w14:paraId="596A5CDD">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≤12</w:t>
                  </w:r>
                  <w:r>
                    <w:rPr>
                      <w:rFonts w:hint="default" w:ascii="Times New Roman" w:hAnsi="Times New Roman" w:eastAsia="宋体" w:cs="Times New Roman"/>
                      <w:color w:val="auto"/>
                      <w:sz w:val="20"/>
                      <w:szCs w:val="20"/>
                      <w:highlight w:val="none"/>
                      <w:lang w:val="en-US" w:eastAsia="zh-CN"/>
                    </w:rPr>
                    <w:t>个月</w:t>
                  </w:r>
                </w:p>
              </w:tc>
              <w:tc>
                <w:tcPr>
                  <w:tcW w:w="355" w:type="pct"/>
                  <w:tcBorders>
                    <w:tl2br w:val="nil"/>
                    <w:tr2bl w:val="nil"/>
                  </w:tcBorders>
                  <w:noWrap w:val="0"/>
                  <w:tcMar>
                    <w:top w:w="0" w:type="dxa"/>
                    <w:left w:w="28" w:type="dxa"/>
                    <w:bottom w:w="0" w:type="dxa"/>
                    <w:right w:w="28" w:type="dxa"/>
                  </w:tcMar>
                  <w:vAlign w:val="center"/>
                </w:tcPr>
                <w:p w14:paraId="4598A66A">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T</w:t>
                  </w:r>
                </w:p>
              </w:tc>
              <w:tc>
                <w:tcPr>
                  <w:tcW w:w="707" w:type="pct"/>
                  <w:vMerge w:val="continue"/>
                  <w:tcBorders>
                    <w:tl2br w:val="nil"/>
                    <w:tr2bl w:val="nil"/>
                  </w:tcBorders>
                  <w:noWrap w:val="0"/>
                  <w:tcMar>
                    <w:top w:w="0" w:type="dxa"/>
                    <w:left w:w="28" w:type="dxa"/>
                    <w:bottom w:w="0" w:type="dxa"/>
                    <w:right w:w="28" w:type="dxa"/>
                  </w:tcMar>
                  <w:vAlign w:val="center"/>
                </w:tcPr>
                <w:p w14:paraId="0F62BED6">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p>
              </w:tc>
            </w:tr>
          </w:tbl>
          <w:p w14:paraId="67964EAB">
            <w:pPr>
              <w:pStyle w:val="38"/>
              <w:bidi w:val="0"/>
              <w:rPr>
                <w:rFonts w:hint="eastAsia"/>
                <w:color w:val="auto"/>
                <w:highlight w:val="none"/>
              </w:rPr>
            </w:pPr>
            <w:r>
              <w:rPr>
                <w:rFonts w:hint="eastAsia"/>
                <w:b/>
                <w:bCs/>
                <w:color w:val="auto"/>
                <w:highlight w:val="none"/>
              </w:rPr>
              <w:t>2、</w:t>
            </w:r>
            <w:r>
              <w:rPr>
                <w:rFonts w:hint="eastAsia"/>
                <w:b/>
                <w:bCs/>
                <w:color w:val="auto"/>
                <w:highlight w:val="none"/>
                <w:lang w:eastAsia="zh-CN"/>
              </w:rPr>
              <w:t>固体废物</w:t>
            </w:r>
            <w:r>
              <w:rPr>
                <w:rFonts w:hint="eastAsia"/>
                <w:b/>
                <w:bCs/>
                <w:color w:val="auto"/>
                <w:highlight w:val="none"/>
              </w:rPr>
              <w:t>环境管理要求</w:t>
            </w:r>
          </w:p>
          <w:p w14:paraId="13184D88">
            <w:pPr>
              <w:pStyle w:val="38"/>
              <w:bidi w:val="0"/>
              <w:rPr>
                <w:rFonts w:hint="eastAsia"/>
                <w:color w:val="auto"/>
                <w:highlight w:val="none"/>
              </w:rPr>
            </w:pPr>
            <w:r>
              <w:rPr>
                <w:rFonts w:hint="eastAsia"/>
                <w:color w:val="auto"/>
                <w:highlight w:val="none"/>
              </w:rPr>
              <w:t>（1）一般固废</w:t>
            </w:r>
          </w:p>
          <w:p w14:paraId="40C40A2F">
            <w:pPr>
              <w:pStyle w:val="38"/>
              <w:bidi w:val="0"/>
              <w:rPr>
                <w:rFonts w:hint="eastAsia"/>
                <w:color w:val="auto"/>
                <w:highlight w:val="none"/>
              </w:rPr>
            </w:pPr>
            <w:r>
              <w:rPr>
                <w:rFonts w:hint="eastAsia"/>
                <w:color w:val="auto"/>
                <w:highlight w:val="none"/>
              </w:rPr>
              <w:t>①对固体废物实行从产生、收集、运输、贮存直至最终处理实行全过程管理，加强固体废物运输过程的事故风险防范，按照有关法律、法规的要求，对固体废弃物全过程管理应报当地环保行政主管部门等批准。</w:t>
            </w:r>
          </w:p>
          <w:p w14:paraId="49614218">
            <w:pPr>
              <w:pStyle w:val="38"/>
              <w:bidi w:val="0"/>
              <w:rPr>
                <w:rFonts w:hint="eastAsia"/>
                <w:color w:val="auto"/>
                <w:highlight w:val="none"/>
              </w:rPr>
            </w:pPr>
            <w:r>
              <w:rPr>
                <w:rFonts w:hint="eastAsia"/>
                <w:color w:val="auto"/>
                <w:highlight w:val="none"/>
              </w:rPr>
              <w:t>②加强固体废物规范化管理，固体废物分类定点堆放，贮存区须参照《一般工业固体废物贮存和填埋污染控制标准》（GB18599-2020）满足相应“防渗漏、防雨淋、防扬尘”等环境保护要求，并要求设置环保图形标志，指定专人进行日常管理。</w:t>
            </w:r>
          </w:p>
          <w:p w14:paraId="318F9FC6">
            <w:pPr>
              <w:pStyle w:val="38"/>
              <w:bidi w:val="0"/>
              <w:rPr>
                <w:rFonts w:hint="eastAsia"/>
                <w:color w:val="auto"/>
                <w:highlight w:val="none"/>
              </w:rPr>
            </w:pPr>
            <w:r>
              <w:rPr>
                <w:rFonts w:hint="eastAsia"/>
                <w:color w:val="auto"/>
                <w:highlight w:val="none"/>
              </w:rPr>
              <w:t>③建立环境管理台账制度，一般工业固体废物环境管理台账记录应符合生态环境部规定的一般工业固体废物环境管理台账相关标准及管理文件要求。</w:t>
            </w:r>
          </w:p>
          <w:p w14:paraId="49D7F3BA">
            <w:pPr>
              <w:pStyle w:val="38"/>
              <w:bidi w:val="0"/>
              <w:rPr>
                <w:rFonts w:hint="eastAsia"/>
                <w:color w:val="auto"/>
                <w:highlight w:val="none"/>
              </w:rPr>
            </w:pPr>
            <w:r>
              <w:rPr>
                <w:rFonts w:hint="eastAsia"/>
                <w:color w:val="auto"/>
                <w:highlight w:val="none"/>
              </w:rPr>
              <w:t>（</w:t>
            </w:r>
            <w:r>
              <w:rPr>
                <w:color w:val="auto"/>
                <w:highlight w:val="none"/>
              </w:rPr>
              <w:t>2</w:t>
            </w:r>
            <w:r>
              <w:rPr>
                <w:rFonts w:hint="eastAsia"/>
                <w:color w:val="auto"/>
                <w:highlight w:val="none"/>
              </w:rPr>
              <w:t>）危险废物</w:t>
            </w:r>
          </w:p>
          <w:p w14:paraId="71B98EC4">
            <w:pPr>
              <w:pStyle w:val="38"/>
              <w:bidi w:val="0"/>
              <w:rPr>
                <w:color w:val="auto"/>
                <w:highlight w:val="none"/>
                <w:lang w:val="zh-CN"/>
              </w:rPr>
            </w:pPr>
            <w:r>
              <w:rPr>
                <w:color w:val="auto"/>
                <w:highlight w:val="none"/>
              </w:rPr>
              <w:t>本项目于车间</w:t>
            </w:r>
            <w:r>
              <w:rPr>
                <w:rFonts w:hint="eastAsia"/>
                <w:color w:val="auto"/>
                <w:highlight w:val="none"/>
              </w:rPr>
              <w:t>内东侧</w:t>
            </w:r>
            <w:r>
              <w:rPr>
                <w:color w:val="auto"/>
                <w:highlight w:val="none"/>
              </w:rPr>
              <w:t>建设1座危废暂存间，占地</w:t>
            </w:r>
            <w:r>
              <w:rPr>
                <w:rFonts w:hint="eastAsia"/>
                <w:color w:val="auto"/>
                <w:highlight w:val="none"/>
                <w:lang w:val="en-US" w:eastAsia="zh-CN"/>
              </w:rPr>
              <w:t>12</w:t>
            </w:r>
            <w:r>
              <w:rPr>
                <w:color w:val="auto"/>
                <w:highlight w:val="none"/>
              </w:rPr>
              <w:t>m</w:t>
            </w:r>
            <w:r>
              <w:rPr>
                <w:color w:val="auto"/>
                <w:highlight w:val="none"/>
                <w:vertAlign w:val="superscript"/>
              </w:rPr>
              <w:t>2</w:t>
            </w:r>
            <w:r>
              <w:rPr>
                <w:color w:val="auto"/>
                <w:highlight w:val="none"/>
              </w:rPr>
              <w:t>，用于暂存</w:t>
            </w:r>
            <w:r>
              <w:rPr>
                <w:rFonts w:hint="eastAsia"/>
                <w:color w:val="auto"/>
                <w:highlight w:val="none"/>
              </w:rPr>
              <w:t>危险废物</w:t>
            </w:r>
            <w:r>
              <w:rPr>
                <w:color w:val="auto"/>
                <w:highlight w:val="none"/>
              </w:rPr>
              <w:t>，</w:t>
            </w:r>
            <w:r>
              <w:rPr>
                <w:color w:val="auto"/>
                <w:highlight w:val="none"/>
                <w:lang w:val="zh-CN"/>
              </w:rPr>
              <w:t>本次环评针对危废管理提出以下要求：</w:t>
            </w:r>
          </w:p>
          <w:p w14:paraId="6372EC63">
            <w:pPr>
              <w:pStyle w:val="38"/>
              <w:bidi w:val="0"/>
              <w:rPr>
                <w:rFonts w:hint="eastAsia"/>
                <w:color w:val="auto"/>
                <w:highlight w:val="none"/>
              </w:rPr>
            </w:pPr>
            <w:r>
              <w:rPr>
                <w:color w:val="auto"/>
                <w:highlight w:val="none"/>
              </w:rPr>
              <w:t>危废暂存间基本建设情况见下表：</w:t>
            </w:r>
          </w:p>
          <w:p w14:paraId="37E094A9">
            <w:pPr>
              <w:pStyle w:val="39"/>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表34 危险贮存场所基本情况一览表</w:t>
            </w:r>
          </w:p>
          <w:tbl>
            <w:tblPr>
              <w:tblStyle w:val="2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3"/>
              <w:gridCol w:w="1362"/>
              <w:gridCol w:w="1350"/>
              <w:gridCol w:w="1178"/>
              <w:gridCol w:w="751"/>
              <w:gridCol w:w="702"/>
              <w:gridCol w:w="749"/>
              <w:gridCol w:w="739"/>
              <w:gridCol w:w="751"/>
            </w:tblGrid>
            <w:tr w14:paraId="4EDF2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pct"/>
                  <w:noWrap w:val="0"/>
                  <w:vAlign w:val="center"/>
                </w:tcPr>
                <w:p w14:paraId="40679C8C">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贮存场所名称</w:t>
                  </w:r>
                </w:p>
              </w:tc>
              <w:tc>
                <w:tcPr>
                  <w:tcW w:w="778" w:type="pct"/>
                  <w:noWrap w:val="0"/>
                  <w:vAlign w:val="center"/>
                </w:tcPr>
                <w:p w14:paraId="5DCFD971">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危险废物名称</w:t>
                  </w:r>
                </w:p>
              </w:tc>
              <w:tc>
                <w:tcPr>
                  <w:tcW w:w="771" w:type="pct"/>
                  <w:noWrap w:val="0"/>
                  <w:vAlign w:val="center"/>
                </w:tcPr>
                <w:p w14:paraId="08D69623">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危险废物类别</w:t>
                  </w:r>
                </w:p>
              </w:tc>
              <w:tc>
                <w:tcPr>
                  <w:tcW w:w="673" w:type="pct"/>
                  <w:noWrap w:val="0"/>
                  <w:vAlign w:val="center"/>
                </w:tcPr>
                <w:p w14:paraId="5388EDBC">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危险废物代码</w:t>
                  </w:r>
                </w:p>
              </w:tc>
              <w:tc>
                <w:tcPr>
                  <w:tcW w:w="429" w:type="pct"/>
                  <w:noWrap w:val="0"/>
                  <w:vAlign w:val="center"/>
                </w:tcPr>
                <w:p w14:paraId="7D8E8569">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位置</w:t>
                  </w:r>
                </w:p>
              </w:tc>
              <w:tc>
                <w:tcPr>
                  <w:tcW w:w="401" w:type="pct"/>
                  <w:noWrap w:val="0"/>
                  <w:vAlign w:val="center"/>
                </w:tcPr>
                <w:p w14:paraId="49EBDCBF">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占地面积</w:t>
                  </w:r>
                </w:p>
              </w:tc>
              <w:tc>
                <w:tcPr>
                  <w:tcW w:w="428" w:type="pct"/>
                  <w:noWrap w:val="0"/>
                  <w:vAlign w:val="center"/>
                </w:tcPr>
                <w:p w14:paraId="33B4B159">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贮存方式</w:t>
                  </w:r>
                </w:p>
              </w:tc>
              <w:tc>
                <w:tcPr>
                  <w:tcW w:w="422" w:type="pct"/>
                  <w:noWrap w:val="0"/>
                  <w:vAlign w:val="center"/>
                </w:tcPr>
                <w:p w14:paraId="5880782B">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贮存</w:t>
                  </w:r>
                </w:p>
                <w:p w14:paraId="458D95C9">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能力</w:t>
                  </w:r>
                </w:p>
              </w:tc>
              <w:tc>
                <w:tcPr>
                  <w:tcW w:w="429" w:type="pct"/>
                  <w:noWrap w:val="0"/>
                  <w:vAlign w:val="center"/>
                </w:tcPr>
                <w:p w14:paraId="3E22600C">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贮存</w:t>
                  </w:r>
                </w:p>
                <w:p w14:paraId="1938D1E4">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周期</w:t>
                  </w:r>
                </w:p>
              </w:tc>
            </w:tr>
            <w:tr w14:paraId="04174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pct"/>
                  <w:vMerge w:val="restart"/>
                  <w:noWrap w:val="0"/>
                  <w:vAlign w:val="center"/>
                </w:tcPr>
                <w:p w14:paraId="55ED8D7A">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危废暂存间</w:t>
                  </w:r>
                </w:p>
              </w:tc>
              <w:tc>
                <w:tcPr>
                  <w:tcW w:w="778" w:type="pct"/>
                  <w:noWrap w:val="0"/>
                  <w:vAlign w:val="center"/>
                </w:tcPr>
                <w:p w14:paraId="7B1A35F5">
                  <w:pPr>
                    <w:pStyle w:val="41"/>
                    <w:rPr>
                      <w:rFonts w:hint="eastAsia"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废矿物油S</w:t>
                  </w:r>
                  <w:r>
                    <w:rPr>
                      <w:rFonts w:hint="eastAsia" w:ascii="Times New Roman" w:hAnsi="Times New Roman" w:cs="Times New Roman"/>
                      <w:color w:val="auto"/>
                      <w:sz w:val="20"/>
                      <w:szCs w:val="20"/>
                      <w:highlight w:val="none"/>
                      <w:lang w:val="en-US" w:eastAsia="zh-CN"/>
                    </w:rPr>
                    <w:t>7</w:t>
                  </w:r>
                </w:p>
              </w:tc>
              <w:tc>
                <w:tcPr>
                  <w:tcW w:w="771" w:type="pct"/>
                  <w:noWrap w:val="0"/>
                  <w:vAlign w:val="center"/>
                </w:tcPr>
                <w:p w14:paraId="165279B3">
                  <w:pPr>
                    <w:pStyle w:val="41"/>
                    <w:rPr>
                      <w:rFonts w:hint="eastAsia"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HW08</w:t>
                  </w:r>
                </w:p>
              </w:tc>
              <w:tc>
                <w:tcPr>
                  <w:tcW w:w="673" w:type="pct"/>
                  <w:noWrap w:val="0"/>
                  <w:vAlign w:val="center"/>
                </w:tcPr>
                <w:p w14:paraId="38A160B4">
                  <w:pPr>
                    <w:pStyle w:val="41"/>
                    <w:rPr>
                      <w:rFonts w:hint="eastAsia"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900-249-08</w:t>
                  </w:r>
                </w:p>
              </w:tc>
              <w:tc>
                <w:tcPr>
                  <w:tcW w:w="429" w:type="pct"/>
                  <w:vMerge w:val="restart"/>
                  <w:noWrap w:val="0"/>
                  <w:vAlign w:val="center"/>
                </w:tcPr>
                <w:p w14:paraId="64A1EDB4">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车间东侧</w:t>
                  </w:r>
                </w:p>
              </w:tc>
              <w:tc>
                <w:tcPr>
                  <w:tcW w:w="401" w:type="pct"/>
                  <w:vMerge w:val="restart"/>
                  <w:noWrap w:val="0"/>
                  <w:vAlign w:val="center"/>
                </w:tcPr>
                <w:p w14:paraId="071CB402">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cs="Times New Roman"/>
                      <w:color w:val="auto"/>
                      <w:sz w:val="20"/>
                      <w:szCs w:val="20"/>
                      <w:highlight w:val="none"/>
                      <w:lang w:val="en-US" w:eastAsia="zh-CN"/>
                    </w:rPr>
                    <w:t>12</w:t>
                  </w:r>
                  <w:r>
                    <w:rPr>
                      <w:rFonts w:hint="eastAsia" w:ascii="Times New Roman" w:hAnsi="Times New Roman" w:eastAsia="宋体" w:cs="Times New Roman"/>
                      <w:color w:val="auto"/>
                      <w:sz w:val="20"/>
                      <w:szCs w:val="20"/>
                      <w:highlight w:val="none"/>
                      <w:lang w:val="en-US" w:eastAsia="zh-CN"/>
                    </w:rPr>
                    <w:t>m</w:t>
                  </w:r>
                  <w:r>
                    <w:rPr>
                      <w:rFonts w:hint="eastAsia" w:ascii="Times New Roman" w:hAnsi="Times New Roman" w:eastAsia="宋体" w:cs="Times New Roman"/>
                      <w:color w:val="auto"/>
                      <w:sz w:val="20"/>
                      <w:szCs w:val="20"/>
                      <w:highlight w:val="none"/>
                      <w:vertAlign w:val="superscript"/>
                      <w:lang w:val="en-US" w:eastAsia="zh-CN"/>
                    </w:rPr>
                    <w:t>2</w:t>
                  </w:r>
                </w:p>
              </w:tc>
              <w:tc>
                <w:tcPr>
                  <w:tcW w:w="428" w:type="pct"/>
                  <w:noWrap w:val="0"/>
                  <w:vAlign w:val="center"/>
                </w:tcPr>
                <w:p w14:paraId="4313C20C">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桶装</w:t>
                  </w:r>
                </w:p>
              </w:tc>
              <w:tc>
                <w:tcPr>
                  <w:tcW w:w="422" w:type="pct"/>
                  <w:vMerge w:val="restart"/>
                  <w:noWrap w:val="0"/>
                  <w:vAlign w:val="center"/>
                </w:tcPr>
                <w:p w14:paraId="6AA0407E">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5t</w:t>
                  </w:r>
                </w:p>
              </w:tc>
              <w:tc>
                <w:tcPr>
                  <w:tcW w:w="429" w:type="pct"/>
                  <w:noWrap w:val="0"/>
                  <w:vAlign w:val="center"/>
                </w:tcPr>
                <w:p w14:paraId="63BD950D">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1年</w:t>
                  </w:r>
                </w:p>
              </w:tc>
            </w:tr>
            <w:tr w14:paraId="5692D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pct"/>
                  <w:vMerge w:val="continue"/>
                  <w:noWrap w:val="0"/>
                  <w:vAlign w:val="center"/>
                </w:tcPr>
                <w:p w14:paraId="2EF19CE6">
                  <w:pPr>
                    <w:pStyle w:val="41"/>
                    <w:rPr>
                      <w:rFonts w:hint="eastAsia" w:ascii="Times New Roman" w:hAnsi="Times New Roman" w:eastAsia="宋体" w:cs="Times New Roman"/>
                      <w:color w:val="auto"/>
                      <w:sz w:val="20"/>
                      <w:szCs w:val="20"/>
                      <w:highlight w:val="none"/>
                      <w:lang w:val="en-US" w:eastAsia="zh-CN"/>
                    </w:rPr>
                  </w:pPr>
                </w:p>
              </w:tc>
              <w:tc>
                <w:tcPr>
                  <w:tcW w:w="778" w:type="pct"/>
                  <w:noWrap w:val="0"/>
                  <w:vAlign w:val="center"/>
                </w:tcPr>
                <w:p w14:paraId="16BBB695">
                  <w:pPr>
                    <w:pStyle w:val="41"/>
                    <w:rPr>
                      <w:rFonts w:hint="eastAsia"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废矿物油桶S</w:t>
                  </w:r>
                  <w:r>
                    <w:rPr>
                      <w:rFonts w:hint="eastAsia" w:ascii="Times New Roman" w:hAnsi="Times New Roman" w:cs="Times New Roman"/>
                      <w:color w:val="auto"/>
                      <w:sz w:val="20"/>
                      <w:szCs w:val="20"/>
                      <w:highlight w:val="none"/>
                      <w:lang w:val="en-US" w:eastAsia="zh-CN"/>
                    </w:rPr>
                    <w:t>8</w:t>
                  </w:r>
                </w:p>
              </w:tc>
              <w:tc>
                <w:tcPr>
                  <w:tcW w:w="771" w:type="pct"/>
                  <w:noWrap w:val="0"/>
                  <w:vAlign w:val="center"/>
                </w:tcPr>
                <w:p w14:paraId="57094FCD">
                  <w:pPr>
                    <w:pStyle w:val="41"/>
                    <w:rPr>
                      <w:rFonts w:hint="eastAsia"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HW08</w:t>
                  </w:r>
                </w:p>
              </w:tc>
              <w:tc>
                <w:tcPr>
                  <w:tcW w:w="673" w:type="pct"/>
                  <w:noWrap w:val="0"/>
                  <w:vAlign w:val="center"/>
                </w:tcPr>
                <w:p w14:paraId="70DA1531">
                  <w:pPr>
                    <w:pStyle w:val="41"/>
                    <w:rPr>
                      <w:rFonts w:hint="eastAsia"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900-249-08</w:t>
                  </w:r>
                </w:p>
              </w:tc>
              <w:tc>
                <w:tcPr>
                  <w:tcW w:w="429" w:type="pct"/>
                  <w:vMerge w:val="continue"/>
                  <w:noWrap w:val="0"/>
                  <w:vAlign w:val="center"/>
                </w:tcPr>
                <w:p w14:paraId="0F6DE8BE">
                  <w:pPr>
                    <w:pStyle w:val="41"/>
                    <w:rPr>
                      <w:rFonts w:hint="eastAsia" w:ascii="Times New Roman" w:hAnsi="Times New Roman" w:eastAsia="宋体" w:cs="Times New Roman"/>
                      <w:color w:val="auto"/>
                      <w:sz w:val="20"/>
                      <w:szCs w:val="20"/>
                      <w:highlight w:val="none"/>
                      <w:lang w:val="en-US" w:eastAsia="zh-CN"/>
                    </w:rPr>
                  </w:pPr>
                </w:p>
              </w:tc>
              <w:tc>
                <w:tcPr>
                  <w:tcW w:w="401" w:type="pct"/>
                  <w:vMerge w:val="continue"/>
                  <w:noWrap w:val="0"/>
                  <w:vAlign w:val="center"/>
                </w:tcPr>
                <w:p w14:paraId="3FD590BA">
                  <w:pPr>
                    <w:pStyle w:val="41"/>
                    <w:rPr>
                      <w:rFonts w:hint="eastAsia" w:ascii="Times New Roman" w:hAnsi="Times New Roman" w:eastAsia="宋体" w:cs="Times New Roman"/>
                      <w:color w:val="auto"/>
                      <w:sz w:val="20"/>
                      <w:szCs w:val="20"/>
                      <w:highlight w:val="none"/>
                      <w:lang w:val="en-US" w:eastAsia="zh-CN"/>
                    </w:rPr>
                  </w:pPr>
                </w:p>
              </w:tc>
              <w:tc>
                <w:tcPr>
                  <w:tcW w:w="428" w:type="pct"/>
                  <w:noWrap w:val="0"/>
                  <w:vAlign w:val="center"/>
                </w:tcPr>
                <w:p w14:paraId="24B7C815">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袋装</w:t>
                  </w:r>
                </w:p>
              </w:tc>
              <w:tc>
                <w:tcPr>
                  <w:tcW w:w="422" w:type="pct"/>
                  <w:vMerge w:val="continue"/>
                  <w:noWrap w:val="0"/>
                  <w:vAlign w:val="center"/>
                </w:tcPr>
                <w:p w14:paraId="42A57A57">
                  <w:pPr>
                    <w:pStyle w:val="41"/>
                    <w:rPr>
                      <w:rFonts w:hint="eastAsia" w:ascii="Times New Roman" w:hAnsi="Times New Roman" w:eastAsia="宋体" w:cs="Times New Roman"/>
                      <w:color w:val="auto"/>
                      <w:sz w:val="20"/>
                      <w:szCs w:val="20"/>
                      <w:highlight w:val="none"/>
                      <w:lang w:val="en-US" w:eastAsia="zh-CN"/>
                    </w:rPr>
                  </w:pPr>
                </w:p>
              </w:tc>
              <w:tc>
                <w:tcPr>
                  <w:tcW w:w="429" w:type="pct"/>
                  <w:noWrap w:val="0"/>
                  <w:vAlign w:val="center"/>
                </w:tcPr>
                <w:p w14:paraId="1C35127B">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1年</w:t>
                  </w:r>
                </w:p>
              </w:tc>
            </w:tr>
            <w:tr w14:paraId="6CCC2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pct"/>
                  <w:vMerge w:val="continue"/>
                  <w:noWrap w:val="0"/>
                  <w:vAlign w:val="center"/>
                </w:tcPr>
                <w:p w14:paraId="1594EF5F">
                  <w:pPr>
                    <w:pStyle w:val="41"/>
                    <w:rPr>
                      <w:rFonts w:hint="eastAsia" w:ascii="Times New Roman" w:hAnsi="Times New Roman" w:eastAsia="宋体" w:cs="Times New Roman"/>
                      <w:color w:val="auto"/>
                      <w:sz w:val="20"/>
                      <w:szCs w:val="20"/>
                      <w:highlight w:val="none"/>
                      <w:lang w:val="en-US" w:eastAsia="zh-CN"/>
                    </w:rPr>
                  </w:pPr>
                </w:p>
              </w:tc>
              <w:tc>
                <w:tcPr>
                  <w:tcW w:w="778" w:type="pct"/>
                  <w:noWrap w:val="0"/>
                  <w:vAlign w:val="center"/>
                </w:tcPr>
                <w:p w14:paraId="3F133DFC">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废活性炭</w:t>
                  </w:r>
                  <w:r>
                    <w:rPr>
                      <w:rFonts w:hint="eastAsia" w:ascii="Times New Roman" w:hAnsi="Times New Roman" w:cs="Times New Roman"/>
                      <w:color w:val="auto"/>
                      <w:sz w:val="20"/>
                      <w:szCs w:val="20"/>
                      <w:highlight w:val="none"/>
                      <w:lang w:val="en-US" w:eastAsia="zh-CN"/>
                    </w:rPr>
                    <w:t>S9</w:t>
                  </w:r>
                </w:p>
              </w:tc>
              <w:tc>
                <w:tcPr>
                  <w:tcW w:w="771" w:type="pct"/>
                  <w:noWrap w:val="0"/>
                  <w:vAlign w:val="center"/>
                </w:tcPr>
                <w:p w14:paraId="1814594F">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HW49</w:t>
                  </w:r>
                </w:p>
              </w:tc>
              <w:tc>
                <w:tcPr>
                  <w:tcW w:w="673" w:type="pct"/>
                  <w:noWrap w:val="0"/>
                  <w:vAlign w:val="center"/>
                </w:tcPr>
                <w:p w14:paraId="7B4F5407">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900-039-49</w:t>
                  </w:r>
                </w:p>
              </w:tc>
              <w:tc>
                <w:tcPr>
                  <w:tcW w:w="429" w:type="pct"/>
                  <w:vMerge w:val="continue"/>
                  <w:noWrap w:val="0"/>
                  <w:vAlign w:val="center"/>
                </w:tcPr>
                <w:p w14:paraId="676B93D5">
                  <w:pPr>
                    <w:pStyle w:val="41"/>
                    <w:rPr>
                      <w:rFonts w:hint="eastAsia" w:ascii="Times New Roman" w:hAnsi="Times New Roman" w:eastAsia="宋体" w:cs="Times New Roman"/>
                      <w:color w:val="auto"/>
                      <w:sz w:val="20"/>
                      <w:szCs w:val="20"/>
                      <w:highlight w:val="none"/>
                      <w:lang w:val="en-US" w:eastAsia="zh-CN"/>
                    </w:rPr>
                  </w:pPr>
                </w:p>
              </w:tc>
              <w:tc>
                <w:tcPr>
                  <w:tcW w:w="401" w:type="pct"/>
                  <w:vMerge w:val="continue"/>
                  <w:noWrap w:val="0"/>
                  <w:vAlign w:val="center"/>
                </w:tcPr>
                <w:p w14:paraId="16AABF53">
                  <w:pPr>
                    <w:pStyle w:val="41"/>
                    <w:rPr>
                      <w:rFonts w:hint="eastAsia" w:ascii="Times New Roman" w:hAnsi="Times New Roman" w:eastAsia="宋体" w:cs="Times New Roman"/>
                      <w:color w:val="auto"/>
                      <w:sz w:val="20"/>
                      <w:szCs w:val="20"/>
                      <w:highlight w:val="none"/>
                      <w:lang w:val="en-US" w:eastAsia="zh-CN"/>
                    </w:rPr>
                  </w:pPr>
                </w:p>
              </w:tc>
              <w:tc>
                <w:tcPr>
                  <w:tcW w:w="428" w:type="pct"/>
                  <w:noWrap w:val="0"/>
                  <w:vAlign w:val="center"/>
                </w:tcPr>
                <w:p w14:paraId="0C7E7A0B">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桶装</w:t>
                  </w:r>
                </w:p>
              </w:tc>
              <w:tc>
                <w:tcPr>
                  <w:tcW w:w="422" w:type="pct"/>
                  <w:vMerge w:val="continue"/>
                  <w:noWrap w:val="0"/>
                  <w:vAlign w:val="center"/>
                </w:tcPr>
                <w:p w14:paraId="345BD497">
                  <w:pPr>
                    <w:pStyle w:val="41"/>
                    <w:rPr>
                      <w:rFonts w:hint="eastAsia" w:ascii="Times New Roman" w:hAnsi="Times New Roman" w:eastAsia="宋体" w:cs="Times New Roman"/>
                      <w:color w:val="auto"/>
                      <w:sz w:val="20"/>
                      <w:szCs w:val="20"/>
                      <w:highlight w:val="none"/>
                      <w:lang w:val="en-US" w:eastAsia="zh-CN"/>
                    </w:rPr>
                  </w:pPr>
                </w:p>
              </w:tc>
              <w:tc>
                <w:tcPr>
                  <w:tcW w:w="429" w:type="pct"/>
                  <w:noWrap w:val="0"/>
                  <w:vAlign w:val="center"/>
                </w:tcPr>
                <w:p w14:paraId="05B47C9B">
                  <w:pPr>
                    <w:pStyle w:val="41"/>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1年</w:t>
                  </w:r>
                </w:p>
              </w:tc>
            </w:tr>
          </w:tbl>
          <w:p w14:paraId="2A1C70B9">
            <w:pPr>
              <w:pStyle w:val="38"/>
              <w:bidi w:val="0"/>
              <w:rPr>
                <w:color w:val="auto"/>
                <w:highlight w:val="none"/>
              </w:rPr>
            </w:pPr>
            <w:r>
              <w:rPr>
                <w:color w:val="auto"/>
                <w:highlight w:val="none"/>
              </w:rPr>
              <w:t>本项目危险废物执行《危险废物贮存污染控制标准》</w:t>
            </w:r>
            <w:r>
              <w:rPr>
                <w:rFonts w:hint="eastAsia"/>
                <w:color w:val="auto"/>
                <w:highlight w:val="none"/>
              </w:rPr>
              <w:t>（</w:t>
            </w:r>
            <w:r>
              <w:rPr>
                <w:color w:val="auto"/>
                <w:highlight w:val="none"/>
              </w:rPr>
              <w:t>GB18597-2023</w:t>
            </w:r>
            <w:r>
              <w:rPr>
                <w:rFonts w:hint="eastAsia"/>
                <w:color w:val="auto"/>
                <w:highlight w:val="none"/>
              </w:rPr>
              <w:t>）</w:t>
            </w:r>
            <w:r>
              <w:rPr>
                <w:color w:val="auto"/>
                <w:highlight w:val="none"/>
              </w:rPr>
              <w:t>中标准要求</w:t>
            </w:r>
          </w:p>
          <w:p w14:paraId="13395343">
            <w:pPr>
              <w:pStyle w:val="38"/>
              <w:bidi w:val="0"/>
              <w:rPr>
                <w:color w:val="auto"/>
                <w:highlight w:val="none"/>
              </w:rPr>
            </w:pPr>
            <w:r>
              <w:rPr>
                <w:color w:val="auto"/>
                <w:highlight w:val="none"/>
              </w:rPr>
              <w:t>①贮存场所</w:t>
            </w:r>
          </w:p>
          <w:p w14:paraId="3D9EFCCE">
            <w:pPr>
              <w:pStyle w:val="38"/>
              <w:bidi w:val="0"/>
              <w:rPr>
                <w:color w:val="auto"/>
                <w:highlight w:val="none"/>
              </w:rPr>
            </w:pPr>
            <w:r>
              <w:rPr>
                <w:color w:val="auto"/>
                <w:highlight w:val="none"/>
              </w:rPr>
              <w:t>项目危废暂存间按照《危险废物贮存污染控制标准》</w:t>
            </w:r>
            <w:r>
              <w:rPr>
                <w:rFonts w:hint="eastAsia"/>
                <w:color w:val="auto"/>
                <w:highlight w:val="none"/>
                <w:lang w:eastAsia="zh-CN"/>
              </w:rPr>
              <w:t>（</w:t>
            </w:r>
            <w:r>
              <w:rPr>
                <w:color w:val="auto"/>
                <w:highlight w:val="none"/>
              </w:rPr>
              <w:t>GB18597-2023</w:t>
            </w:r>
            <w:r>
              <w:rPr>
                <w:rFonts w:hint="eastAsia"/>
                <w:color w:val="auto"/>
                <w:highlight w:val="none"/>
                <w:lang w:eastAsia="zh-CN"/>
              </w:rPr>
              <w:t>）</w:t>
            </w:r>
            <w:r>
              <w:rPr>
                <w:color w:val="auto"/>
                <w:highlight w:val="none"/>
              </w:rPr>
              <w:t>相关标准要求进行建设。贮存场地进行防渗处理，采用2毫米厚高密度聚乙烯，渗透系数&lt;10</w:t>
            </w:r>
            <w:r>
              <w:rPr>
                <w:rFonts w:hint="eastAsia"/>
                <w:color w:val="auto"/>
                <w:highlight w:val="none"/>
                <w:vertAlign w:val="superscript"/>
              </w:rPr>
              <w:t>-1</w:t>
            </w:r>
            <w:r>
              <w:rPr>
                <w:color w:val="auto"/>
                <w:highlight w:val="none"/>
                <w:vertAlign w:val="superscript"/>
              </w:rPr>
              <w:t>0</w:t>
            </w:r>
            <w:r>
              <w:rPr>
                <w:color w:val="auto"/>
                <w:highlight w:val="none"/>
              </w:rPr>
              <w:t>cm/s，且做到防雨和防晒。</w:t>
            </w:r>
          </w:p>
          <w:p w14:paraId="58C9A713">
            <w:pPr>
              <w:pStyle w:val="38"/>
              <w:bidi w:val="0"/>
              <w:rPr>
                <w:color w:val="auto"/>
                <w:highlight w:val="none"/>
              </w:rPr>
            </w:pPr>
            <w:r>
              <w:rPr>
                <w:color w:val="auto"/>
                <w:highlight w:val="none"/>
              </w:rPr>
              <w:t>项目危险废物贮存采取单独分类收集、独自通过桶装/袋装密闭储存。危废库内设置危废分区和桶架，并设置废液收集导流措施，用于各自桶装危废堆存。禁止混合收集、贮存、运输、处置性质不相容而未经安全性处置的危险废物。</w:t>
            </w:r>
          </w:p>
          <w:p w14:paraId="008B94BE">
            <w:pPr>
              <w:pStyle w:val="38"/>
              <w:bidi w:val="0"/>
              <w:rPr>
                <w:color w:val="auto"/>
                <w:highlight w:val="none"/>
              </w:rPr>
            </w:pPr>
            <w:r>
              <w:rPr>
                <w:color w:val="auto"/>
                <w:highlight w:val="none"/>
              </w:rPr>
              <w:t>对危险废物的容器和包装物以及收集、贮存处置危险废物的设施、场所，必须设置危险废物识别标志、标识，危险废物容器和包装袋上设立危险废物明显标志。处置单位应及时将固废运走，危险废物在厂内存储不超过一年。</w:t>
            </w:r>
          </w:p>
          <w:p w14:paraId="5FEBA8FB">
            <w:pPr>
              <w:pStyle w:val="38"/>
              <w:bidi w:val="0"/>
              <w:rPr>
                <w:rFonts w:hint="eastAsia" w:eastAsia="宋体"/>
                <w:color w:val="auto"/>
                <w:highlight w:val="none"/>
                <w:lang w:eastAsia="zh-CN"/>
              </w:rPr>
            </w:pPr>
            <w:r>
              <w:rPr>
                <w:color w:val="auto"/>
                <w:highlight w:val="none"/>
              </w:rPr>
              <w:t>危险废物暂存场所</w:t>
            </w:r>
            <w:r>
              <w:rPr>
                <w:rFonts w:hint="eastAsia"/>
                <w:color w:val="auto"/>
                <w:highlight w:val="none"/>
              </w:rPr>
              <w:t>（</w:t>
            </w:r>
            <w:r>
              <w:rPr>
                <w:color w:val="auto"/>
                <w:highlight w:val="none"/>
              </w:rPr>
              <w:t>危废间</w:t>
            </w:r>
            <w:r>
              <w:rPr>
                <w:rFonts w:hint="eastAsia"/>
                <w:color w:val="auto"/>
                <w:highlight w:val="none"/>
              </w:rPr>
              <w:t>）</w:t>
            </w:r>
            <w:r>
              <w:rPr>
                <w:color w:val="auto"/>
                <w:highlight w:val="none"/>
              </w:rPr>
              <w:t>应满足</w:t>
            </w:r>
            <w:r>
              <w:rPr>
                <w:rFonts w:hint="eastAsia"/>
                <w:color w:val="auto"/>
                <w:highlight w:val="none"/>
                <w:lang w:eastAsia="zh-CN"/>
              </w:rPr>
              <w:t>“</w:t>
            </w:r>
            <w:r>
              <w:rPr>
                <w:color w:val="auto"/>
                <w:highlight w:val="none"/>
              </w:rPr>
              <w:t>四防</w:t>
            </w:r>
            <w:r>
              <w:rPr>
                <w:rFonts w:hint="eastAsia"/>
                <w:color w:val="auto"/>
                <w:highlight w:val="none"/>
                <w:lang w:eastAsia="zh-CN"/>
              </w:rPr>
              <w:t>”</w:t>
            </w:r>
            <w:r>
              <w:rPr>
                <w:rFonts w:hint="eastAsia"/>
                <w:color w:val="auto"/>
                <w:highlight w:val="none"/>
              </w:rPr>
              <w:t>（</w:t>
            </w:r>
            <w:r>
              <w:rPr>
                <w:color w:val="auto"/>
                <w:highlight w:val="none"/>
              </w:rPr>
              <w:t>防风、防雨、防晒、防渗漏</w:t>
            </w:r>
            <w:r>
              <w:rPr>
                <w:rFonts w:hint="eastAsia"/>
                <w:color w:val="auto"/>
                <w:highlight w:val="none"/>
              </w:rPr>
              <w:t>）</w:t>
            </w:r>
            <w:r>
              <w:rPr>
                <w:color w:val="auto"/>
                <w:highlight w:val="none"/>
              </w:rPr>
              <w:t>要求，采取防渗措施和渗漏收集措施，并设置警示标示。在采取严格防治措施的前提下，危险废物贮存场所不会造成不利环境影响</w:t>
            </w:r>
            <w:r>
              <w:rPr>
                <w:rFonts w:hint="eastAsia"/>
                <w:color w:val="auto"/>
                <w:highlight w:val="none"/>
                <w:lang w:eastAsia="zh-CN"/>
              </w:rPr>
              <w:t>。</w:t>
            </w:r>
          </w:p>
          <w:p w14:paraId="763E8DCE">
            <w:pPr>
              <w:pStyle w:val="38"/>
              <w:bidi w:val="0"/>
              <w:rPr>
                <w:rFonts w:hint="default" w:eastAsia="宋体"/>
                <w:color w:val="FF0000"/>
                <w:highlight w:val="none"/>
                <w:lang w:val="en-US" w:eastAsia="zh-CN"/>
              </w:rPr>
            </w:pPr>
            <w:r>
              <w:rPr>
                <w:rFonts w:hint="eastAsia"/>
                <w:color w:val="FF0000"/>
                <w:highlight w:val="none"/>
                <w:lang w:eastAsia="zh-CN"/>
              </w:rPr>
              <w:t>企业正常运行情况下，在对废活性炭进行更换时提前安排生产计划并联系有资质单位进行更换，项目活性炭吸附箱采用抽拉式活性炭吸附箱，便于快速更换。更换后由有资质单位即刻转运处理。因此废活性炭一般不在企业危废暂存间暂存。危废暂存间储量少量废矿物油及废矿物油桶，采用密闭桶进行存放，且存放量很少，故挥发性废气挥发量极少，在做好环保管理前提下，厂界废气可实现达标排放。因此项目危废暂存间不再单独设置废气收集及处理设施。</w:t>
            </w:r>
          </w:p>
          <w:p w14:paraId="61636538">
            <w:pPr>
              <w:pStyle w:val="38"/>
              <w:bidi w:val="0"/>
              <w:rPr>
                <w:color w:val="auto"/>
                <w:highlight w:val="none"/>
              </w:rPr>
            </w:pPr>
            <w:r>
              <w:rPr>
                <w:color w:val="auto"/>
                <w:highlight w:val="none"/>
              </w:rPr>
              <w:t>②运输过程</w:t>
            </w:r>
          </w:p>
          <w:p w14:paraId="3A481494">
            <w:pPr>
              <w:pStyle w:val="38"/>
              <w:bidi w:val="0"/>
              <w:rPr>
                <w:color w:val="auto"/>
                <w:highlight w:val="none"/>
              </w:rPr>
            </w:pPr>
            <w:r>
              <w:rPr>
                <w:color w:val="auto"/>
                <w:highlight w:val="none"/>
              </w:rPr>
              <w:t>本项目危险废物产生及贮存场、运输通道均采取硬化和防腐防渗措施，因此危险废物从产生工艺环节运输到暂存场所的过程中产生散落和泄漏均会将影响控制在厂区内，不会对周边环境敏感点及地下水环境产生不利影响。</w:t>
            </w:r>
          </w:p>
          <w:p w14:paraId="113178BE">
            <w:pPr>
              <w:pStyle w:val="38"/>
              <w:bidi w:val="0"/>
              <w:rPr>
                <w:color w:val="auto"/>
                <w:highlight w:val="none"/>
              </w:rPr>
            </w:pPr>
            <w:r>
              <w:rPr>
                <w:color w:val="auto"/>
                <w:highlight w:val="none"/>
              </w:rPr>
              <w:t>③委托利用或者处置</w:t>
            </w:r>
          </w:p>
          <w:p w14:paraId="3D4DB6B9">
            <w:pPr>
              <w:pStyle w:val="38"/>
              <w:bidi w:val="0"/>
              <w:rPr>
                <w:color w:val="auto"/>
                <w:highlight w:val="none"/>
              </w:rPr>
            </w:pPr>
            <w:r>
              <w:rPr>
                <w:color w:val="auto"/>
                <w:highlight w:val="none"/>
              </w:rPr>
              <w:t>企业需建立完善危险废物管理台账，如实记录危险废物贮存、利用、处置相关情况，制定危险废物管理计划并报环保局备案，如实申报危险废物种类、产生量、流向、贮存、处置等有关情况。</w:t>
            </w:r>
          </w:p>
          <w:p w14:paraId="151A1510">
            <w:pPr>
              <w:pStyle w:val="38"/>
              <w:bidi w:val="0"/>
              <w:rPr>
                <w:color w:val="auto"/>
                <w:highlight w:val="none"/>
              </w:rPr>
            </w:pPr>
            <w:r>
              <w:rPr>
                <w:color w:val="auto"/>
                <w:highlight w:val="none"/>
              </w:rPr>
              <w:t>危险废物委托必须委托具有相应危险废物经营资质的单位利用处置，签订委托处理协议危险废物转移严格执行《危险废物转移管理办法》。</w:t>
            </w:r>
          </w:p>
          <w:p w14:paraId="222A6FC2">
            <w:pPr>
              <w:pStyle w:val="38"/>
              <w:bidi w:val="0"/>
              <w:rPr>
                <w:color w:val="auto"/>
                <w:highlight w:val="none"/>
              </w:rPr>
            </w:pPr>
            <w:r>
              <w:rPr>
                <w:color w:val="auto"/>
                <w:highlight w:val="none"/>
              </w:rPr>
              <w:t>本项目危险废物均委托有资质的单位进行处置，不会产生显著的环境影响。</w:t>
            </w:r>
          </w:p>
          <w:p w14:paraId="1F8C8472">
            <w:pPr>
              <w:pStyle w:val="38"/>
              <w:bidi w:val="0"/>
              <w:rPr>
                <w:color w:val="auto"/>
                <w:highlight w:val="none"/>
              </w:rPr>
            </w:pPr>
            <w:r>
              <w:rPr>
                <w:color w:val="auto"/>
                <w:highlight w:val="none"/>
              </w:rPr>
              <w:t>综上分析，项目运营期内严格落实本次评价提出的各项固废处理处置措施后，一般固体废物可满足《中华人民共和国固体废物污染环境防治法》</w:t>
            </w:r>
            <w:r>
              <w:rPr>
                <w:rFonts w:hint="eastAsia"/>
                <w:color w:val="auto"/>
                <w:highlight w:val="none"/>
              </w:rPr>
              <w:t>（</w:t>
            </w:r>
            <w:r>
              <w:rPr>
                <w:color w:val="auto"/>
                <w:highlight w:val="none"/>
              </w:rPr>
              <w:t>2020年4月29日修订</w:t>
            </w:r>
            <w:r>
              <w:rPr>
                <w:rFonts w:hint="eastAsia"/>
                <w:color w:val="auto"/>
                <w:highlight w:val="none"/>
              </w:rPr>
              <w:t>）</w:t>
            </w:r>
            <w:r>
              <w:rPr>
                <w:color w:val="auto"/>
                <w:highlight w:val="none"/>
              </w:rPr>
              <w:t>要求及《一般工业固体废物贮存和填埋污染控制标准》</w:t>
            </w:r>
            <w:r>
              <w:rPr>
                <w:rFonts w:hint="eastAsia"/>
                <w:color w:val="auto"/>
                <w:highlight w:val="none"/>
              </w:rPr>
              <w:t>（</w:t>
            </w:r>
            <w:r>
              <w:rPr>
                <w:color w:val="auto"/>
                <w:highlight w:val="none"/>
              </w:rPr>
              <w:t>GB18599-2020</w:t>
            </w:r>
            <w:r>
              <w:rPr>
                <w:rFonts w:hint="eastAsia"/>
                <w:color w:val="auto"/>
                <w:highlight w:val="none"/>
              </w:rPr>
              <w:t>）</w:t>
            </w:r>
            <w:r>
              <w:rPr>
                <w:color w:val="auto"/>
                <w:highlight w:val="none"/>
              </w:rPr>
              <w:t>中的相应规定</w:t>
            </w:r>
            <w:r>
              <w:rPr>
                <w:rFonts w:hint="eastAsia"/>
                <w:color w:val="auto"/>
                <w:highlight w:val="none"/>
              </w:rPr>
              <w:t>；</w:t>
            </w:r>
            <w:r>
              <w:rPr>
                <w:color w:val="auto"/>
                <w:highlight w:val="none"/>
              </w:rPr>
              <w:t>危险废物可满足《危险废物贮存污染控制标准》(GB18597-2023)中的相应规定，对周围环境影响不大</w:t>
            </w:r>
            <w:r>
              <w:rPr>
                <w:rFonts w:hint="eastAsia"/>
                <w:color w:val="auto"/>
                <w:highlight w:val="none"/>
              </w:rPr>
              <w:t>。</w:t>
            </w:r>
          </w:p>
          <w:p w14:paraId="15774E9A">
            <w:pPr>
              <w:pStyle w:val="38"/>
              <w:bidi w:val="0"/>
              <w:rPr>
                <w:rFonts w:hint="eastAsia"/>
                <w:color w:val="auto"/>
                <w:highlight w:val="none"/>
              </w:rPr>
            </w:pPr>
            <w:r>
              <w:rPr>
                <w:rFonts w:hint="eastAsia"/>
                <w:b/>
                <w:bCs/>
                <w:color w:val="auto"/>
                <w:highlight w:val="none"/>
              </w:rPr>
              <w:t>五、地下水、土壤</w:t>
            </w:r>
          </w:p>
          <w:p w14:paraId="4A127F39">
            <w:pPr>
              <w:pStyle w:val="38"/>
              <w:bidi w:val="0"/>
              <w:rPr>
                <w:color w:val="auto"/>
                <w:highlight w:val="none"/>
                <w:lang w:val="zh-CN"/>
              </w:rPr>
            </w:pPr>
            <w:r>
              <w:rPr>
                <w:color w:val="auto"/>
                <w:highlight w:val="none"/>
                <w:lang w:val="zh-CN"/>
              </w:rPr>
              <w:t>本项目位于</w:t>
            </w:r>
            <w:r>
              <w:rPr>
                <w:rFonts w:hint="eastAsia" w:cs="Times New Roman"/>
                <w:color w:val="auto"/>
                <w:sz w:val="21"/>
                <w:szCs w:val="21"/>
                <w:highlight w:val="none"/>
                <w:lang w:eastAsia="zh-CN"/>
              </w:rPr>
              <w:t>山东省淄博市淄博经济开发区傅家镇双杨管区天津路与梁牛路路口西150米路北院内东侧第二间车间</w:t>
            </w:r>
            <w:r>
              <w:rPr>
                <w:color w:val="auto"/>
                <w:highlight w:val="none"/>
                <w:lang w:val="zh-CN"/>
              </w:rPr>
              <w:t>，</w:t>
            </w:r>
            <w:r>
              <w:rPr>
                <w:rFonts w:hint="eastAsia"/>
                <w:color w:val="auto"/>
                <w:highlight w:val="none"/>
                <w:lang w:val="zh-CN"/>
              </w:rPr>
              <w:t>项目所在地</w:t>
            </w:r>
            <w:r>
              <w:rPr>
                <w:color w:val="auto"/>
                <w:highlight w:val="none"/>
                <w:lang w:val="zh-CN"/>
              </w:rPr>
              <w:t>不属于地下水水源地补给区，土壤环境敏感程度为不敏感。项目</w:t>
            </w:r>
            <w:r>
              <w:rPr>
                <w:rFonts w:hint="eastAsia"/>
                <w:color w:val="auto"/>
                <w:highlight w:val="none"/>
                <w:lang w:val="zh-CN"/>
              </w:rPr>
              <w:t>在</w:t>
            </w:r>
            <w:r>
              <w:rPr>
                <w:color w:val="auto"/>
                <w:highlight w:val="none"/>
                <w:lang w:val="zh-CN"/>
              </w:rPr>
              <w:t>做好原料仓库、危废暂存间、化粪池防渗</w:t>
            </w:r>
            <w:r>
              <w:rPr>
                <w:rFonts w:hint="eastAsia"/>
                <w:color w:val="auto"/>
                <w:highlight w:val="none"/>
                <w:lang w:val="zh-CN"/>
              </w:rPr>
              <w:t>前提下</w:t>
            </w:r>
            <w:r>
              <w:rPr>
                <w:color w:val="auto"/>
                <w:highlight w:val="none"/>
                <w:lang w:val="zh-CN"/>
              </w:rPr>
              <w:t>，项目对地下水、土壤的影响较小。为防止项目建成运营后对周围地下水、土壤环境造成污染，企业应加强对生产设施的管理和维护；制定环境管理制度，强化风险防范意识，加强环境保护工作。</w:t>
            </w:r>
          </w:p>
          <w:p w14:paraId="17642C2D">
            <w:pPr>
              <w:pStyle w:val="38"/>
              <w:bidi w:val="0"/>
              <w:rPr>
                <w:color w:val="auto"/>
                <w:highlight w:val="none"/>
              </w:rPr>
            </w:pPr>
            <w:r>
              <w:rPr>
                <w:color w:val="auto"/>
                <w:highlight w:val="none"/>
                <w:lang w:val="zh-CN"/>
              </w:rPr>
              <w:t>各区域采取的具体防渗措施见下表</w:t>
            </w:r>
            <w:r>
              <w:rPr>
                <w:rFonts w:hint="eastAsia"/>
                <w:color w:val="auto"/>
                <w:highlight w:val="none"/>
                <w:lang w:val="zh-CN"/>
              </w:rPr>
              <w:t>。</w:t>
            </w:r>
          </w:p>
          <w:p w14:paraId="11AAC21D">
            <w:pPr>
              <w:pStyle w:val="39"/>
              <w:rPr>
                <w:rFonts w:hint="eastAsia" w:ascii="Times New Roman" w:hAnsi="Times New Roman" w:cs="Times New Roman"/>
                <w:color w:val="auto"/>
                <w:highlight w:val="none"/>
              </w:rPr>
            </w:pPr>
            <w:r>
              <w:rPr>
                <w:rFonts w:hint="eastAsia" w:ascii="Times New Roman" w:hAnsi="Times New Roman" w:cs="Times New Roman"/>
                <w:color w:val="auto"/>
                <w:highlight w:val="none"/>
                <w:lang w:eastAsia="zh-CN"/>
              </w:rPr>
              <w:t>表</w:t>
            </w:r>
            <w:r>
              <w:rPr>
                <w:rFonts w:hint="eastAsia" w:ascii="Times New Roman" w:hAnsi="Times New Roman" w:cs="Times New Roman"/>
                <w:color w:val="auto"/>
                <w:highlight w:val="none"/>
                <w:lang w:val="en-US" w:eastAsia="zh-CN"/>
              </w:rPr>
              <w:t xml:space="preserve">35 </w:t>
            </w:r>
            <w:r>
              <w:rPr>
                <w:rFonts w:hint="eastAsia" w:ascii="Times New Roman" w:hAnsi="Times New Roman" w:cs="Times New Roman"/>
                <w:color w:val="auto"/>
                <w:highlight w:val="none"/>
              </w:rPr>
              <w:t>区域防渗措施一览表</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2"/>
              <w:gridCol w:w="1773"/>
              <w:gridCol w:w="5242"/>
            </w:tblGrid>
            <w:tr w14:paraId="5D585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pct"/>
                  <w:noWrap w:val="0"/>
                  <w:vAlign w:val="center"/>
                </w:tcPr>
                <w:p w14:paraId="68ADC497">
                  <w:pPr>
                    <w:pStyle w:val="41"/>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防渗分区</w:t>
                  </w:r>
                </w:p>
              </w:tc>
              <w:tc>
                <w:tcPr>
                  <w:tcW w:w="1013" w:type="pct"/>
                  <w:noWrap w:val="0"/>
                  <w:vAlign w:val="center"/>
                </w:tcPr>
                <w:p w14:paraId="4A249AC3">
                  <w:pPr>
                    <w:pStyle w:val="41"/>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厂区分布</w:t>
                  </w:r>
                </w:p>
              </w:tc>
              <w:tc>
                <w:tcPr>
                  <w:tcW w:w="2995" w:type="pct"/>
                  <w:noWrap w:val="0"/>
                  <w:vAlign w:val="center"/>
                </w:tcPr>
                <w:p w14:paraId="2DA2FF81">
                  <w:pPr>
                    <w:pStyle w:val="41"/>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防渗等级</w:t>
                  </w:r>
                </w:p>
              </w:tc>
            </w:tr>
            <w:tr w14:paraId="780CA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pct"/>
                  <w:noWrap w:val="0"/>
                  <w:vAlign w:val="center"/>
                </w:tcPr>
                <w:p w14:paraId="5DB95B66">
                  <w:pPr>
                    <w:pStyle w:val="41"/>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简单污染防治区</w:t>
                  </w:r>
                </w:p>
              </w:tc>
              <w:tc>
                <w:tcPr>
                  <w:tcW w:w="1013" w:type="pct"/>
                  <w:noWrap w:val="0"/>
                  <w:vAlign w:val="center"/>
                </w:tcPr>
                <w:p w14:paraId="64E50E9C">
                  <w:pPr>
                    <w:pStyle w:val="41"/>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办公区、道路等</w:t>
                  </w:r>
                </w:p>
              </w:tc>
              <w:tc>
                <w:tcPr>
                  <w:tcW w:w="2995" w:type="pct"/>
                  <w:noWrap w:val="0"/>
                  <w:vAlign w:val="center"/>
                </w:tcPr>
                <w:p w14:paraId="0E5083D7">
                  <w:pPr>
                    <w:pStyle w:val="41"/>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一般地面硬化</w:t>
                  </w:r>
                </w:p>
              </w:tc>
            </w:tr>
            <w:tr w14:paraId="565AF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pct"/>
                  <w:noWrap w:val="0"/>
                  <w:vAlign w:val="center"/>
                </w:tcPr>
                <w:p w14:paraId="2BC5B145">
                  <w:pPr>
                    <w:pStyle w:val="41"/>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一般污染防治区</w:t>
                  </w:r>
                </w:p>
              </w:tc>
              <w:tc>
                <w:tcPr>
                  <w:tcW w:w="1013" w:type="pct"/>
                  <w:noWrap w:val="0"/>
                  <w:vAlign w:val="center"/>
                </w:tcPr>
                <w:p w14:paraId="21085E2D">
                  <w:pPr>
                    <w:pStyle w:val="41"/>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生产车间、一般固废暂存区、化粪池</w:t>
                  </w:r>
                </w:p>
              </w:tc>
              <w:tc>
                <w:tcPr>
                  <w:tcW w:w="2995" w:type="pct"/>
                  <w:noWrap w:val="0"/>
                  <w:vAlign w:val="center"/>
                </w:tcPr>
                <w:p w14:paraId="60C3B1DE">
                  <w:pPr>
                    <w:pStyle w:val="41"/>
                    <w:rPr>
                      <w:rFonts w:hint="default" w:ascii="Times New Roman" w:hAnsi="Times New Roman" w:eastAsia="宋体" w:cs="Times New Roman"/>
                      <w:color w:val="auto"/>
                      <w:sz w:val="20"/>
                      <w:szCs w:val="20"/>
                      <w:highlight w:val="none"/>
                      <w:lang w:eastAsia="zh-CN"/>
                    </w:rPr>
                  </w:pPr>
                  <w:r>
                    <w:rPr>
                      <w:rFonts w:hint="default" w:ascii="Times New Roman" w:hAnsi="Times New Roman" w:eastAsia="宋体" w:cs="Times New Roman"/>
                      <w:color w:val="auto"/>
                      <w:sz w:val="20"/>
                      <w:szCs w:val="20"/>
                      <w:highlight w:val="none"/>
                      <w:lang w:val="zh-CN" w:eastAsia="zh-CN"/>
                    </w:rPr>
                    <w:t>地面防渗自上而下：①水泥砂浆结合层一道；②100mm厚c15混凝土随打随抹光；③</w:t>
                  </w:r>
                  <w:r>
                    <w:rPr>
                      <w:rFonts w:hint="eastAsia" w:ascii="Times New Roman" w:hAnsi="Times New Roman" w:eastAsia="宋体" w:cs="Times New Roman"/>
                      <w:color w:val="auto"/>
                      <w:sz w:val="20"/>
                      <w:szCs w:val="20"/>
                      <w:highlight w:val="none"/>
                      <w:lang w:eastAsia="zh-CN"/>
                    </w:rPr>
                    <w:t>3:7</w:t>
                  </w:r>
                  <w:r>
                    <w:rPr>
                      <w:rFonts w:hint="default" w:ascii="Times New Roman" w:hAnsi="Times New Roman" w:eastAsia="宋体" w:cs="Times New Roman"/>
                      <w:color w:val="auto"/>
                      <w:sz w:val="20"/>
                      <w:szCs w:val="20"/>
                      <w:highlight w:val="none"/>
                      <w:lang w:val="zh-CN" w:eastAsia="zh-CN"/>
                    </w:rPr>
                    <w:t>水泥土夯实</w:t>
                  </w:r>
                </w:p>
              </w:tc>
            </w:tr>
            <w:tr w14:paraId="2022B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pct"/>
                  <w:noWrap w:val="0"/>
                  <w:vAlign w:val="center"/>
                </w:tcPr>
                <w:p w14:paraId="1965866D">
                  <w:pPr>
                    <w:pStyle w:val="41"/>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重点污染防治区</w:t>
                  </w:r>
                </w:p>
              </w:tc>
              <w:tc>
                <w:tcPr>
                  <w:tcW w:w="1013" w:type="pct"/>
                  <w:noWrap w:val="0"/>
                  <w:vAlign w:val="center"/>
                </w:tcPr>
                <w:p w14:paraId="7D37C915">
                  <w:pPr>
                    <w:pStyle w:val="41"/>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危废暂存间</w:t>
                  </w:r>
                </w:p>
              </w:tc>
              <w:tc>
                <w:tcPr>
                  <w:tcW w:w="2995" w:type="pct"/>
                  <w:noWrap w:val="0"/>
                  <w:vAlign w:val="center"/>
                </w:tcPr>
                <w:p w14:paraId="76C87FBF">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采用2毫米厚高密度聚乙烯，渗透系数&lt;10</w:t>
                  </w:r>
                  <w:r>
                    <w:rPr>
                      <w:rFonts w:hint="eastAsia" w:ascii="Times New Roman" w:hAnsi="Times New Roman" w:eastAsia="宋体" w:cs="Times New Roman"/>
                      <w:color w:val="auto"/>
                      <w:sz w:val="20"/>
                      <w:szCs w:val="20"/>
                      <w:highlight w:val="none"/>
                      <w:vertAlign w:val="superscript"/>
                      <w:lang w:eastAsia="zh-CN"/>
                    </w:rPr>
                    <w:t>-10</w:t>
                  </w:r>
                  <w:r>
                    <w:rPr>
                      <w:rFonts w:hint="eastAsia" w:ascii="Times New Roman" w:hAnsi="Times New Roman" w:eastAsia="宋体" w:cs="Times New Roman"/>
                      <w:color w:val="auto"/>
                      <w:sz w:val="20"/>
                      <w:szCs w:val="20"/>
                      <w:highlight w:val="none"/>
                      <w:lang w:eastAsia="zh-CN"/>
                    </w:rPr>
                    <w:t>cm/s</w:t>
                  </w:r>
                </w:p>
              </w:tc>
            </w:tr>
          </w:tbl>
          <w:p w14:paraId="79A8BC6F">
            <w:pPr>
              <w:pStyle w:val="38"/>
              <w:bidi w:val="0"/>
              <w:rPr>
                <w:b/>
                <w:bCs/>
                <w:color w:val="auto"/>
                <w:highlight w:val="none"/>
              </w:rPr>
            </w:pPr>
            <w:r>
              <w:rPr>
                <w:b/>
                <w:bCs/>
                <w:color w:val="auto"/>
                <w:highlight w:val="none"/>
              </w:rPr>
              <w:t>六、生态</w:t>
            </w:r>
          </w:p>
          <w:p w14:paraId="6B526DB1">
            <w:pPr>
              <w:pStyle w:val="38"/>
              <w:bidi w:val="0"/>
              <w:rPr>
                <w:color w:val="auto"/>
                <w:highlight w:val="none"/>
                <w:lang w:val="zh-CN"/>
              </w:rPr>
            </w:pPr>
            <w:r>
              <w:rPr>
                <w:color w:val="auto"/>
                <w:highlight w:val="none"/>
              </w:rPr>
              <w:t>本项目位于</w:t>
            </w:r>
            <w:r>
              <w:rPr>
                <w:rFonts w:hint="eastAsia" w:cs="Times New Roman"/>
                <w:color w:val="auto"/>
                <w:sz w:val="21"/>
                <w:szCs w:val="21"/>
                <w:highlight w:val="none"/>
                <w:lang w:eastAsia="zh-CN"/>
              </w:rPr>
              <w:t>山东省淄博市淄博经济开发区傅家镇双杨管区天津路与梁牛路路口西150米路北院内东侧第二间车间</w:t>
            </w:r>
            <w:r>
              <w:rPr>
                <w:rFonts w:hint="eastAsia"/>
                <w:color w:val="auto"/>
                <w:highlight w:val="none"/>
                <w:lang w:val="zh-CN"/>
              </w:rPr>
              <w:t>内</w:t>
            </w:r>
            <w:r>
              <w:rPr>
                <w:color w:val="auto"/>
                <w:highlight w:val="none"/>
                <w:lang w:val="zh-CN"/>
              </w:rPr>
              <w:t>，</w:t>
            </w:r>
            <w:r>
              <w:rPr>
                <w:color w:val="auto"/>
                <w:highlight w:val="none"/>
              </w:rPr>
              <w:t>用地性质为工业用地，用地范围内无生态环境保护目标，本评价报告不再开展生态环境影响分析。</w:t>
            </w:r>
          </w:p>
          <w:p w14:paraId="5D462DDB">
            <w:pPr>
              <w:pStyle w:val="38"/>
              <w:bidi w:val="0"/>
              <w:rPr>
                <w:rFonts w:hint="eastAsia"/>
                <w:b/>
                <w:bCs/>
                <w:color w:val="auto"/>
                <w:highlight w:val="none"/>
              </w:rPr>
            </w:pPr>
            <w:r>
              <w:rPr>
                <w:rFonts w:hint="eastAsia"/>
                <w:b/>
                <w:bCs/>
                <w:color w:val="auto"/>
                <w:highlight w:val="none"/>
              </w:rPr>
              <w:t>七、环境风险</w:t>
            </w:r>
          </w:p>
          <w:p w14:paraId="235A719D">
            <w:pPr>
              <w:pStyle w:val="38"/>
              <w:bidi w:val="0"/>
              <w:rPr>
                <w:rFonts w:hint="eastAsia"/>
                <w:color w:val="auto"/>
                <w:highlight w:val="none"/>
                <w:lang w:val="zh-CN"/>
              </w:rPr>
            </w:pPr>
            <w:r>
              <w:rPr>
                <w:rFonts w:hint="eastAsia"/>
                <w:color w:val="auto"/>
                <w:highlight w:val="none"/>
                <w:lang w:val="zh-CN"/>
              </w:rPr>
              <w:t>按照《建设项目环境风险评价技术导则》（HJ169-2018）的要求，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根据《关于进一步加强环保设备设施安全生产工作的通知》（安委办明电〔2022〕17号），并结合安全监管要求，企业环保设施运行后尽快完成环保设施项目安全风险评估，设置安全监测监控系统和联锁保护装置、做好安全防范。</w:t>
            </w:r>
          </w:p>
          <w:p w14:paraId="1CF88199">
            <w:pPr>
              <w:pStyle w:val="38"/>
              <w:bidi w:val="0"/>
              <w:rPr>
                <w:rFonts w:hint="eastAsia"/>
                <w:color w:val="auto"/>
                <w:highlight w:val="none"/>
              </w:rPr>
            </w:pPr>
            <w:r>
              <w:rPr>
                <w:rFonts w:hint="eastAsia"/>
                <w:b/>
                <w:bCs/>
                <w:color w:val="auto"/>
                <w:highlight w:val="none"/>
                <w:lang w:val="en-US" w:eastAsia="zh-CN"/>
              </w:rPr>
              <w:t>1、</w:t>
            </w:r>
            <w:r>
              <w:rPr>
                <w:rFonts w:hint="eastAsia"/>
                <w:b/>
                <w:bCs/>
                <w:color w:val="auto"/>
                <w:highlight w:val="none"/>
              </w:rPr>
              <w:t>环境风险潜势初判</w:t>
            </w:r>
          </w:p>
          <w:p w14:paraId="10661283">
            <w:pPr>
              <w:pStyle w:val="38"/>
              <w:bidi w:val="0"/>
              <w:rPr>
                <w:color w:val="auto"/>
                <w:highlight w:val="none"/>
              </w:rPr>
            </w:pPr>
            <w:r>
              <w:rPr>
                <w:color w:val="auto"/>
                <w:highlight w:val="none"/>
              </w:rPr>
              <w:t>根据《建设项目环境风险评价技术导则》（HJ169-2018）附录C，当只涉及一种风险物质时，计算该物质的总量与其临界量比值，即为Q；当存在多种风险物质时，则按下式计算物质总量与其临界量比值（Q）：</w:t>
            </w:r>
          </w:p>
          <w:p w14:paraId="0712DE9C">
            <w:pPr>
              <w:bidi w:val="0"/>
              <w:rPr>
                <w:color w:val="auto"/>
                <w:highlight w:val="none"/>
              </w:rPr>
            </w:pPr>
            <w:r>
              <w:rPr>
                <w:color w:val="auto"/>
                <w:highlight w:val="none"/>
              </w:rPr>
              <w:pict>
                <v:shape id="_x0000_s2062" o:spid="_x0000_s2062" o:spt="75" type="#_x0000_t75" style="position:absolute;left:0pt;margin-left:105pt;margin-top:8.75pt;height:36.65pt;width:100.25pt;z-index:-251637760;mso-width-relative:page;mso-height-relative:page;" o:ole="t" filled="f" o:preferrelative="t" stroked="f" coordsize="21600,21600">
                  <v:path/>
                  <v:fill on="f" focussize="0,0"/>
                  <v:stroke on="f"/>
                  <v:imagedata r:id="rId42" o:title=""/>
                  <o:lock v:ext="edit" aspectratio="t"/>
                </v:shape>
                <o:OLEObject Type="Embed" ProgID="Equation.3" ShapeID="_x0000_s2062" DrawAspect="Content" ObjectID="_1468075728" r:id="rId41">
                  <o:LockedField>false</o:LockedField>
                </o:OLEObject>
              </w:pict>
            </w:r>
          </w:p>
          <w:p w14:paraId="3CB944CF">
            <w:pPr>
              <w:pStyle w:val="38"/>
              <w:bidi w:val="0"/>
              <w:rPr>
                <w:color w:val="auto"/>
                <w:highlight w:val="none"/>
              </w:rPr>
            </w:pPr>
          </w:p>
          <w:p w14:paraId="44268807">
            <w:pPr>
              <w:pStyle w:val="38"/>
              <w:bidi w:val="0"/>
              <w:rPr>
                <w:color w:val="auto"/>
                <w:highlight w:val="none"/>
              </w:rPr>
            </w:pPr>
          </w:p>
          <w:p w14:paraId="7A4FAD0E">
            <w:pPr>
              <w:pStyle w:val="38"/>
              <w:bidi w:val="0"/>
              <w:rPr>
                <w:color w:val="auto"/>
                <w:highlight w:val="none"/>
              </w:rPr>
            </w:pPr>
            <w:r>
              <w:rPr>
                <w:color w:val="auto"/>
                <w:highlight w:val="none"/>
              </w:rPr>
              <w:t>式中：q</w:t>
            </w:r>
            <w:r>
              <w:rPr>
                <w:color w:val="auto"/>
                <w:highlight w:val="none"/>
                <w:vertAlign w:val="subscript"/>
              </w:rPr>
              <w:t>1</w:t>
            </w:r>
            <w:r>
              <w:rPr>
                <w:color w:val="auto"/>
                <w:highlight w:val="none"/>
              </w:rPr>
              <w:t>，q</w:t>
            </w:r>
            <w:r>
              <w:rPr>
                <w:color w:val="auto"/>
                <w:highlight w:val="none"/>
                <w:vertAlign w:val="subscript"/>
              </w:rPr>
              <w:t>2</w:t>
            </w:r>
            <w:r>
              <w:rPr>
                <w:color w:val="auto"/>
                <w:highlight w:val="none"/>
              </w:rPr>
              <w:t>……q</w:t>
            </w:r>
            <w:r>
              <w:rPr>
                <w:color w:val="auto"/>
                <w:highlight w:val="none"/>
                <w:vertAlign w:val="subscript"/>
              </w:rPr>
              <w:t>n</w:t>
            </w:r>
            <w:r>
              <w:rPr>
                <w:color w:val="auto"/>
                <w:highlight w:val="none"/>
              </w:rPr>
              <w:t>—每种风险物质的最大存在量，t；</w:t>
            </w:r>
          </w:p>
          <w:p w14:paraId="40DAD46F">
            <w:pPr>
              <w:pStyle w:val="38"/>
              <w:bidi w:val="0"/>
              <w:ind w:firstLine="1050" w:firstLineChars="500"/>
              <w:rPr>
                <w:color w:val="auto"/>
                <w:highlight w:val="none"/>
              </w:rPr>
            </w:pPr>
            <w:r>
              <w:rPr>
                <w:color w:val="auto"/>
                <w:highlight w:val="none"/>
              </w:rPr>
              <w:t>Q</w:t>
            </w:r>
            <w:r>
              <w:rPr>
                <w:color w:val="auto"/>
                <w:highlight w:val="none"/>
                <w:vertAlign w:val="subscript"/>
              </w:rPr>
              <w:t>1</w:t>
            </w:r>
            <w:r>
              <w:rPr>
                <w:color w:val="auto"/>
                <w:highlight w:val="none"/>
              </w:rPr>
              <w:t>，Q</w:t>
            </w:r>
            <w:r>
              <w:rPr>
                <w:color w:val="auto"/>
                <w:highlight w:val="none"/>
                <w:vertAlign w:val="subscript"/>
              </w:rPr>
              <w:t>2</w:t>
            </w:r>
            <w:r>
              <w:rPr>
                <w:color w:val="auto"/>
                <w:highlight w:val="none"/>
              </w:rPr>
              <w:t>…Q</w:t>
            </w:r>
            <w:r>
              <w:rPr>
                <w:color w:val="auto"/>
                <w:highlight w:val="none"/>
                <w:vertAlign w:val="subscript"/>
              </w:rPr>
              <w:t>n</w:t>
            </w:r>
            <w:r>
              <w:rPr>
                <w:color w:val="auto"/>
                <w:highlight w:val="none"/>
              </w:rPr>
              <w:t>—每种风险物质的临界量，t。</w:t>
            </w:r>
          </w:p>
          <w:p w14:paraId="207C8E4B">
            <w:pPr>
              <w:pStyle w:val="38"/>
              <w:bidi w:val="0"/>
              <w:ind w:firstLine="1050" w:firstLineChars="500"/>
              <w:rPr>
                <w:color w:val="auto"/>
                <w:highlight w:val="none"/>
              </w:rPr>
            </w:pPr>
            <w:r>
              <w:rPr>
                <w:color w:val="auto"/>
                <w:highlight w:val="none"/>
              </w:rPr>
              <w:t>当Q&lt;1时，该项目环境风险潜势为I。</w:t>
            </w:r>
          </w:p>
          <w:p w14:paraId="74BDB26A">
            <w:pPr>
              <w:pStyle w:val="38"/>
              <w:bidi w:val="0"/>
              <w:ind w:firstLine="1050" w:firstLineChars="500"/>
              <w:rPr>
                <w:color w:val="auto"/>
                <w:highlight w:val="none"/>
              </w:rPr>
            </w:pPr>
            <w:r>
              <w:rPr>
                <w:color w:val="auto"/>
                <w:highlight w:val="none"/>
              </w:rPr>
              <w:t>当Q≧1时，将Q值划分为：（1）1≦Q&lt;10；（2）10≦Q&lt;100；（3）Q≧100。</w:t>
            </w:r>
          </w:p>
          <w:p w14:paraId="6ED870C0">
            <w:pPr>
              <w:pStyle w:val="38"/>
              <w:bidi w:val="0"/>
              <w:rPr>
                <w:rFonts w:hint="eastAsia" w:ascii="Times New Roman" w:hAnsi="Times New Roman" w:cs="Times New Roman"/>
                <w:color w:val="auto"/>
                <w:highlight w:val="none"/>
              </w:rPr>
            </w:pPr>
            <w:r>
              <w:rPr>
                <w:rFonts w:hint="eastAsia"/>
                <w:color w:val="auto"/>
                <w:highlight w:val="none"/>
              </w:rPr>
              <w:t>根据《建设项目环境风险评价技术导则》（HJ169-2018）附录B.1及《危险化学品重大危险源辨识》（GB18218-2018）。</w:t>
            </w:r>
          </w:p>
          <w:p w14:paraId="7A1C438F">
            <w:pPr>
              <w:pStyle w:val="39"/>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表</w:t>
            </w:r>
            <w:r>
              <w:rPr>
                <w:rFonts w:hint="eastAsia" w:ascii="Times New Roman" w:hAnsi="Times New Roman" w:cs="Times New Roman"/>
                <w:color w:val="auto"/>
                <w:highlight w:val="none"/>
                <w:lang w:val="en-US" w:eastAsia="zh-CN"/>
              </w:rPr>
              <w:t xml:space="preserve">36 </w:t>
            </w:r>
            <w:r>
              <w:rPr>
                <w:rFonts w:hint="eastAsia" w:ascii="Times New Roman" w:hAnsi="Times New Roman" w:cs="Times New Roman"/>
                <w:color w:val="auto"/>
                <w:highlight w:val="none"/>
              </w:rPr>
              <w:t>项目涉及风险物质Q值确定表</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3"/>
              <w:gridCol w:w="1669"/>
              <w:gridCol w:w="2778"/>
              <w:gridCol w:w="1479"/>
              <w:gridCol w:w="1558"/>
            </w:tblGrid>
            <w:tr w14:paraId="4DAB4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22" w:type="pct"/>
                  <w:noWrap w:val="0"/>
                  <w:vAlign w:val="center"/>
                </w:tcPr>
                <w:p w14:paraId="5EF77D17">
                  <w:pPr>
                    <w:pStyle w:val="41"/>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序号</w:t>
                  </w:r>
                </w:p>
              </w:tc>
              <w:tc>
                <w:tcPr>
                  <w:tcW w:w="954" w:type="pct"/>
                  <w:noWrap w:val="0"/>
                  <w:vAlign w:val="center"/>
                </w:tcPr>
                <w:p w14:paraId="181D7378">
                  <w:pPr>
                    <w:pStyle w:val="41"/>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名称</w:t>
                  </w:r>
                </w:p>
              </w:tc>
              <w:tc>
                <w:tcPr>
                  <w:tcW w:w="1587" w:type="pct"/>
                  <w:noWrap w:val="0"/>
                  <w:vAlign w:val="center"/>
                </w:tcPr>
                <w:p w14:paraId="598567C9">
                  <w:pPr>
                    <w:pStyle w:val="41"/>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最大储存量t</w:t>
                  </w:r>
                </w:p>
              </w:tc>
              <w:tc>
                <w:tcPr>
                  <w:tcW w:w="845" w:type="pct"/>
                  <w:noWrap w:val="0"/>
                  <w:vAlign w:val="center"/>
                </w:tcPr>
                <w:p w14:paraId="3291B204">
                  <w:pPr>
                    <w:pStyle w:val="41"/>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临界量t</w:t>
                  </w:r>
                </w:p>
              </w:tc>
              <w:tc>
                <w:tcPr>
                  <w:tcW w:w="890" w:type="pct"/>
                  <w:noWrap w:val="0"/>
                  <w:vAlign w:val="center"/>
                </w:tcPr>
                <w:p w14:paraId="5E3D58E5">
                  <w:pPr>
                    <w:pStyle w:val="41"/>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Q值</w:t>
                  </w:r>
                </w:p>
              </w:tc>
            </w:tr>
            <w:tr w14:paraId="58B32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22" w:type="pct"/>
                  <w:noWrap w:val="0"/>
                  <w:vAlign w:val="center"/>
                </w:tcPr>
                <w:p w14:paraId="0F70ABF4">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1</w:t>
                  </w:r>
                </w:p>
              </w:tc>
              <w:tc>
                <w:tcPr>
                  <w:tcW w:w="954" w:type="pct"/>
                  <w:noWrap w:val="0"/>
                  <w:vAlign w:val="center"/>
                </w:tcPr>
                <w:p w14:paraId="754860A1">
                  <w:pPr>
                    <w:pStyle w:val="41"/>
                    <w:rPr>
                      <w:rFonts w:hint="eastAsia"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废矿物油</w:t>
                  </w:r>
                </w:p>
              </w:tc>
              <w:tc>
                <w:tcPr>
                  <w:tcW w:w="1587" w:type="pct"/>
                  <w:noWrap w:val="0"/>
                  <w:vAlign w:val="center"/>
                </w:tcPr>
                <w:p w14:paraId="0374BD8B">
                  <w:pPr>
                    <w:pStyle w:val="41"/>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0.02</w:t>
                  </w:r>
                </w:p>
              </w:tc>
              <w:tc>
                <w:tcPr>
                  <w:tcW w:w="845" w:type="pct"/>
                  <w:noWrap w:val="0"/>
                  <w:vAlign w:val="center"/>
                </w:tcPr>
                <w:p w14:paraId="32347B92">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eastAsia="zh-CN"/>
                    </w:rPr>
                    <w:t>2500</w:t>
                  </w:r>
                </w:p>
              </w:tc>
              <w:tc>
                <w:tcPr>
                  <w:tcW w:w="890" w:type="pct"/>
                  <w:noWrap w:val="0"/>
                  <w:vAlign w:val="center"/>
                </w:tcPr>
                <w:p w14:paraId="54853B1E">
                  <w:pPr>
                    <w:pStyle w:val="41"/>
                    <w:rPr>
                      <w:rFonts w:hint="default" w:ascii="Times New Roman" w:hAnsi="Times New Roman" w:eastAsia="宋体" w:cs="Times New Roman"/>
                      <w:color w:val="auto"/>
                      <w:sz w:val="20"/>
                      <w:szCs w:val="20"/>
                      <w:highlight w:val="none"/>
                      <w:lang w:eastAsia="zh-CN"/>
                    </w:rPr>
                  </w:pPr>
                  <w:r>
                    <w:rPr>
                      <w:rFonts w:hint="eastAsia" w:ascii="Times New Roman" w:hAnsi="Times New Roman" w:eastAsia="宋体" w:cs="Times New Roman"/>
                      <w:color w:val="auto"/>
                      <w:sz w:val="20"/>
                      <w:szCs w:val="20"/>
                      <w:highlight w:val="none"/>
                      <w:lang w:val="en-US" w:eastAsia="zh-CN"/>
                    </w:rPr>
                    <w:t>8</w:t>
                  </w:r>
                  <w:r>
                    <w:rPr>
                      <w:rFonts w:hint="eastAsia" w:ascii="Times New Roman" w:hAnsi="Times New Roman" w:eastAsia="宋体" w:cs="Times New Roman"/>
                      <w:color w:val="auto"/>
                      <w:sz w:val="20"/>
                      <w:szCs w:val="20"/>
                      <w:highlight w:val="none"/>
                      <w:lang w:eastAsia="zh-CN"/>
                    </w:rPr>
                    <w:t>×10</w:t>
                  </w:r>
                  <w:r>
                    <w:rPr>
                      <w:rFonts w:hint="eastAsia" w:ascii="Times New Roman" w:hAnsi="Times New Roman" w:eastAsia="宋体" w:cs="Times New Roman"/>
                      <w:color w:val="auto"/>
                      <w:sz w:val="20"/>
                      <w:szCs w:val="20"/>
                      <w:highlight w:val="none"/>
                      <w:vertAlign w:val="superscript"/>
                      <w:lang w:eastAsia="zh-CN"/>
                    </w:rPr>
                    <w:t>-6</w:t>
                  </w:r>
                </w:p>
              </w:tc>
            </w:tr>
          </w:tbl>
          <w:p w14:paraId="1A3242AF">
            <w:pPr>
              <w:pStyle w:val="38"/>
              <w:bidi w:val="0"/>
              <w:rPr>
                <w:color w:val="auto"/>
                <w:highlight w:val="none"/>
              </w:rPr>
            </w:pPr>
            <w:r>
              <w:rPr>
                <w:color w:val="auto"/>
                <w:highlight w:val="none"/>
              </w:rPr>
              <w:t>本项目Q</w:t>
            </w:r>
            <w:r>
              <w:rPr>
                <w:rFonts w:hint="eastAsia"/>
                <w:color w:val="auto"/>
                <w:highlight w:val="none"/>
              </w:rPr>
              <w:t>＜1</w:t>
            </w:r>
            <w:r>
              <w:rPr>
                <w:color w:val="auto"/>
                <w:highlight w:val="none"/>
              </w:rPr>
              <w:t>，环境风险潜势为I，因此本项目只对环境风险进行简单分析。</w:t>
            </w:r>
          </w:p>
          <w:p w14:paraId="2ED0ABB1">
            <w:pPr>
              <w:pStyle w:val="38"/>
              <w:bidi w:val="0"/>
              <w:rPr>
                <w:color w:val="auto"/>
                <w:highlight w:val="none"/>
              </w:rPr>
            </w:pPr>
            <w:r>
              <w:rPr>
                <w:rFonts w:hint="eastAsia"/>
                <w:b/>
                <w:bCs/>
                <w:color w:val="auto"/>
                <w:highlight w:val="none"/>
                <w:lang w:val="en-US" w:eastAsia="zh-CN"/>
              </w:rPr>
              <w:t>2、</w:t>
            </w:r>
            <w:r>
              <w:rPr>
                <w:rFonts w:hint="default"/>
                <w:b/>
                <w:bCs/>
                <w:color w:val="auto"/>
                <w:highlight w:val="none"/>
                <w:lang w:val="zh-CN"/>
              </w:rPr>
              <w:t>环境风险物质及风险源分布情况</w:t>
            </w:r>
          </w:p>
          <w:p w14:paraId="2DC4A065">
            <w:pPr>
              <w:pStyle w:val="38"/>
              <w:bidi w:val="0"/>
              <w:rPr>
                <w:rFonts w:hint="default"/>
                <w:color w:val="auto"/>
                <w:highlight w:val="none"/>
              </w:rPr>
            </w:pPr>
            <w:r>
              <w:rPr>
                <w:rFonts w:hint="default"/>
                <w:color w:val="auto"/>
                <w:highlight w:val="none"/>
              </w:rPr>
              <w:t>根据项目生产用原辅材料及生产工艺分析</w:t>
            </w:r>
            <w:r>
              <w:rPr>
                <w:rFonts w:hint="default"/>
                <w:color w:val="auto"/>
                <w:highlight w:val="none"/>
                <w:lang w:eastAsia="zh-CN"/>
              </w:rPr>
              <w:t>，</w:t>
            </w:r>
            <w:r>
              <w:rPr>
                <w:rFonts w:hint="default"/>
                <w:color w:val="auto"/>
                <w:highlight w:val="none"/>
              </w:rPr>
              <w:t>本项目使用的原辅材料、产品及能耗中涉及《建设项目环境风险评价技术导则》（HJ169-2018）附录 B中的危险物质</w:t>
            </w:r>
            <w:r>
              <w:rPr>
                <w:rFonts w:hint="default"/>
                <w:color w:val="auto"/>
                <w:highlight w:val="none"/>
                <w:lang w:eastAsia="zh-CN"/>
              </w:rPr>
              <w:t>，</w:t>
            </w:r>
            <w:r>
              <w:rPr>
                <w:rFonts w:hint="default"/>
                <w:color w:val="auto"/>
                <w:highlight w:val="none"/>
              </w:rPr>
              <w:t>主要为</w:t>
            </w:r>
            <w:r>
              <w:rPr>
                <w:rFonts w:hint="eastAsia"/>
                <w:color w:val="auto"/>
                <w:highlight w:val="none"/>
                <w:lang w:val="zh-CN"/>
              </w:rPr>
              <w:t>废矿物油</w:t>
            </w:r>
            <w:r>
              <w:rPr>
                <w:rFonts w:hint="default"/>
                <w:color w:val="auto"/>
                <w:highlight w:val="none"/>
              </w:rPr>
              <w:t>。主要分布于</w:t>
            </w:r>
            <w:r>
              <w:rPr>
                <w:rFonts w:hint="eastAsia"/>
                <w:color w:val="auto"/>
                <w:highlight w:val="none"/>
                <w:lang w:val="en-US" w:eastAsia="zh-CN"/>
              </w:rPr>
              <w:t>生产车间和危废间</w:t>
            </w:r>
            <w:r>
              <w:rPr>
                <w:rFonts w:hint="default"/>
                <w:color w:val="auto"/>
                <w:highlight w:val="none"/>
              </w:rPr>
              <w:t>。</w:t>
            </w:r>
          </w:p>
          <w:p w14:paraId="4B06C3EC">
            <w:pPr>
              <w:pStyle w:val="38"/>
              <w:bidi w:val="0"/>
              <w:rPr>
                <w:color w:val="auto"/>
                <w:highlight w:val="none"/>
              </w:rPr>
            </w:pPr>
            <w:r>
              <w:rPr>
                <w:color w:val="auto"/>
                <w:highlight w:val="none"/>
              </w:rPr>
              <w:t>风险类型：根据有毒有害物质放散起因，分为火灾、爆炸和</w:t>
            </w:r>
            <w:r>
              <w:rPr>
                <w:rFonts w:hint="eastAsia"/>
                <w:color w:val="auto"/>
                <w:highlight w:val="none"/>
                <w:lang w:eastAsia="zh-CN"/>
              </w:rPr>
              <w:t>泄漏</w:t>
            </w:r>
            <w:r>
              <w:rPr>
                <w:color w:val="auto"/>
                <w:highlight w:val="none"/>
              </w:rPr>
              <w:t>三种类型。</w:t>
            </w:r>
          </w:p>
          <w:p w14:paraId="737FD3F3">
            <w:pPr>
              <w:pStyle w:val="38"/>
              <w:bidi w:val="0"/>
              <w:rPr>
                <w:color w:val="auto"/>
                <w:highlight w:val="none"/>
              </w:rPr>
            </w:pPr>
            <w:r>
              <w:rPr>
                <w:color w:val="auto"/>
                <w:highlight w:val="none"/>
              </w:rPr>
              <w:t>本项目涉及的风险物质为</w:t>
            </w:r>
            <w:r>
              <w:rPr>
                <w:rFonts w:hint="eastAsia"/>
                <w:color w:val="auto"/>
                <w:highlight w:val="none"/>
                <w:lang w:val="zh-CN"/>
              </w:rPr>
              <w:t>废矿物油</w:t>
            </w:r>
            <w:r>
              <w:rPr>
                <w:color w:val="auto"/>
                <w:highlight w:val="none"/>
              </w:rPr>
              <w:t>，生产设施风险识别：</w:t>
            </w:r>
          </w:p>
          <w:p w14:paraId="5D74D54E">
            <w:pPr>
              <w:pStyle w:val="38"/>
              <w:bidi w:val="0"/>
              <w:rPr>
                <w:color w:val="auto"/>
                <w:highlight w:val="none"/>
              </w:rPr>
            </w:pPr>
            <w:r>
              <w:rPr>
                <w:color w:val="auto"/>
                <w:highlight w:val="none"/>
              </w:rPr>
              <w:t>机油：设备维护时替换出的</w:t>
            </w:r>
            <w:r>
              <w:rPr>
                <w:rFonts w:hint="eastAsia"/>
                <w:color w:val="auto"/>
                <w:highlight w:val="none"/>
                <w:lang w:val="en-US" w:eastAsia="zh-CN"/>
              </w:rPr>
              <w:t>废</w:t>
            </w:r>
            <w:r>
              <w:rPr>
                <w:rFonts w:hint="default"/>
                <w:color w:val="auto"/>
                <w:highlight w:val="none"/>
                <w:lang w:val="en-US" w:eastAsia="zh-CN"/>
              </w:rPr>
              <w:t>机油</w:t>
            </w:r>
            <w:r>
              <w:rPr>
                <w:color w:val="auto"/>
                <w:highlight w:val="none"/>
              </w:rPr>
              <w:t>收集进入容器的过程中，运输、保存过程中，由于操作不当，储存容器倾倒、跌落，受到碰撞等破损，</w:t>
            </w:r>
            <w:r>
              <w:rPr>
                <w:rFonts w:hint="eastAsia"/>
                <w:color w:val="auto"/>
                <w:highlight w:val="none"/>
                <w:lang w:val="en-US" w:eastAsia="zh-CN"/>
              </w:rPr>
              <w:t>导致</w:t>
            </w:r>
            <w:r>
              <w:rPr>
                <w:color w:val="auto"/>
                <w:highlight w:val="none"/>
              </w:rPr>
              <w:t>泄漏，遇明火引发火灾</w:t>
            </w:r>
            <w:r>
              <w:rPr>
                <w:rFonts w:hint="eastAsia"/>
                <w:color w:val="auto"/>
                <w:highlight w:val="none"/>
                <w:lang w:val="en-US" w:eastAsia="zh-CN"/>
              </w:rPr>
              <w:t>事故</w:t>
            </w:r>
            <w:r>
              <w:rPr>
                <w:color w:val="auto"/>
                <w:highlight w:val="none"/>
              </w:rPr>
              <w:t>。</w:t>
            </w:r>
          </w:p>
          <w:p w14:paraId="68CCA860">
            <w:pPr>
              <w:pStyle w:val="38"/>
              <w:bidi w:val="0"/>
              <w:rPr>
                <w:rFonts w:hint="default"/>
                <w:color w:val="auto"/>
                <w:highlight w:val="none"/>
                <w:lang w:val="en-US" w:eastAsia="zh-CN"/>
              </w:rPr>
            </w:pPr>
            <w:r>
              <w:rPr>
                <w:rFonts w:hint="eastAsia"/>
                <w:color w:val="auto"/>
                <w:highlight w:val="none"/>
                <w:lang w:val="en-US" w:eastAsia="zh-CN"/>
              </w:rPr>
              <w:t>环保设备：设备出现故障导致污染物超标排放，对大气环境造成污染。</w:t>
            </w:r>
          </w:p>
          <w:p w14:paraId="1948A3C8">
            <w:pPr>
              <w:pStyle w:val="38"/>
              <w:bidi w:val="0"/>
              <w:rPr>
                <w:color w:val="auto"/>
                <w:highlight w:val="none"/>
              </w:rPr>
            </w:pPr>
            <w:r>
              <w:rPr>
                <w:rFonts w:hint="eastAsia"/>
                <w:b/>
                <w:bCs/>
                <w:color w:val="auto"/>
                <w:highlight w:val="none"/>
                <w:lang w:val="en-US" w:eastAsia="zh-CN"/>
              </w:rPr>
              <w:t>3、</w:t>
            </w:r>
            <w:r>
              <w:rPr>
                <w:b/>
                <w:bCs/>
                <w:color w:val="auto"/>
                <w:highlight w:val="none"/>
              </w:rPr>
              <w:t>环境风险可能影响途径</w:t>
            </w:r>
          </w:p>
          <w:p w14:paraId="0D1322B8">
            <w:pPr>
              <w:pStyle w:val="38"/>
              <w:bidi w:val="0"/>
              <w:rPr>
                <w:color w:val="auto"/>
                <w:highlight w:val="none"/>
              </w:rPr>
            </w:pPr>
            <w:r>
              <w:rPr>
                <w:rFonts w:hint="eastAsia"/>
                <w:color w:val="auto"/>
                <w:highlight w:val="none"/>
                <w:lang w:val="en-US" w:eastAsia="zh-CN"/>
              </w:rPr>
              <w:t>项目在发生火灾事故时辐射热、着火物质、燃烧不完全产生的有毒有害气体会对厂内工作人员和厂外环境敏感目标造成伤害，对人员健康和财产带来危害和损失。火灾伴生/次生的大气污染排放及污染治理设施非正常运行导致废气中各污染物排放浓度短期内大幅升高，将对周围大气环境和敏感目标造成一定程度影响。泄漏的物料收集不及时，收集不当，一旦流出车间、厂界，下渗则可能对厂区周边土壤、地下水造成污染</w:t>
            </w:r>
            <w:r>
              <w:rPr>
                <w:rFonts w:hint="eastAsia"/>
                <w:color w:val="auto"/>
                <w:highlight w:val="none"/>
              </w:rPr>
              <w:t>。</w:t>
            </w:r>
          </w:p>
          <w:p w14:paraId="0B484DD4">
            <w:pPr>
              <w:pStyle w:val="38"/>
              <w:bidi w:val="0"/>
              <w:rPr>
                <w:color w:val="auto"/>
                <w:highlight w:val="none"/>
              </w:rPr>
            </w:pPr>
            <w:r>
              <w:rPr>
                <w:rFonts w:hint="eastAsia"/>
                <w:b/>
                <w:bCs/>
                <w:color w:val="auto"/>
                <w:highlight w:val="none"/>
                <w:lang w:val="en-US" w:eastAsia="zh-CN"/>
              </w:rPr>
              <w:t>4、</w:t>
            </w:r>
            <w:r>
              <w:rPr>
                <w:b/>
                <w:bCs/>
                <w:color w:val="auto"/>
                <w:highlight w:val="none"/>
              </w:rPr>
              <w:t>环境风险防范措施</w:t>
            </w:r>
          </w:p>
          <w:p w14:paraId="73397014">
            <w:pPr>
              <w:pStyle w:val="38"/>
              <w:bidi w:val="0"/>
              <w:rPr>
                <w:color w:val="auto"/>
                <w:highlight w:val="none"/>
              </w:rPr>
            </w:pPr>
            <w:r>
              <w:rPr>
                <w:color w:val="auto"/>
                <w:highlight w:val="none"/>
              </w:rPr>
              <w:t>环境风险是由产生和控制风险的所有因素构成的系统性突发事件，突发性污染事故过程是由几个连续发展阶段构成：初因事件(系统故障、操作失误)—污染物溢出—向环境释放、迁移—暴露—危害，其性质复杂、形式多样、发生突然、危害严重、处理困难。</w:t>
            </w:r>
          </w:p>
          <w:p w14:paraId="382D7885">
            <w:pPr>
              <w:pStyle w:val="38"/>
              <w:bidi w:val="0"/>
              <w:rPr>
                <w:color w:val="auto"/>
                <w:highlight w:val="none"/>
              </w:rPr>
            </w:pPr>
            <w:r>
              <w:rPr>
                <w:color w:val="auto"/>
                <w:highlight w:val="none"/>
              </w:rPr>
              <w:t>本项目制定环境风险防范措施如下：</w:t>
            </w:r>
          </w:p>
          <w:p w14:paraId="64CD4F50">
            <w:pPr>
              <w:pStyle w:val="38"/>
              <w:bidi w:val="0"/>
              <w:rPr>
                <w:color w:val="auto"/>
                <w:highlight w:val="none"/>
              </w:rPr>
            </w:pPr>
            <w:r>
              <w:rPr>
                <w:rFonts w:hint="eastAsia"/>
                <w:color w:val="auto"/>
                <w:highlight w:val="none"/>
              </w:rPr>
              <w:t>①</w:t>
            </w:r>
            <w:r>
              <w:rPr>
                <w:color w:val="auto"/>
                <w:highlight w:val="none"/>
              </w:rPr>
              <w:t>在总图布置中，考虑各建筑物的防火间距，安全疏散以及自然条件等方面的问题，确保其符合国家的有关规定。完善相关消防设施，严格划分生产区和储存区。企业按照《建筑设计防火规范》（GB50016-2018）和《工业企业总平面布置设计规范》（GB51087-2012）等规范要求进行设计。</w:t>
            </w:r>
          </w:p>
          <w:p w14:paraId="1EB15575">
            <w:pPr>
              <w:pStyle w:val="38"/>
              <w:bidi w:val="0"/>
              <w:rPr>
                <w:color w:val="auto"/>
                <w:highlight w:val="none"/>
              </w:rPr>
            </w:pPr>
            <w:r>
              <w:rPr>
                <w:rFonts w:hint="eastAsia"/>
                <w:color w:val="auto"/>
                <w:highlight w:val="none"/>
              </w:rPr>
              <w:t>②</w:t>
            </w:r>
            <w:r>
              <w:rPr>
                <w:color w:val="auto"/>
                <w:highlight w:val="none"/>
              </w:rPr>
              <w:t>定期对职工进行安全防火和环保教育，提高操作工人的技术水平和责任感，降低误操作事故引发的环境风险；</w:t>
            </w:r>
          </w:p>
          <w:p w14:paraId="5E345071">
            <w:pPr>
              <w:pStyle w:val="38"/>
              <w:bidi w:val="0"/>
              <w:rPr>
                <w:color w:val="auto"/>
                <w:highlight w:val="none"/>
              </w:rPr>
            </w:pPr>
            <w:r>
              <w:rPr>
                <w:rFonts w:hint="eastAsia"/>
                <w:color w:val="auto"/>
                <w:highlight w:val="none"/>
              </w:rPr>
              <w:t>③</w:t>
            </w:r>
            <w:r>
              <w:rPr>
                <w:color w:val="auto"/>
                <w:highlight w:val="none"/>
              </w:rPr>
              <w:t>加强设备等的日常巡视与管理维护，记录各种设备的运行情况，备齐易损件的备件，发现问题及时处理。</w:t>
            </w:r>
          </w:p>
          <w:p w14:paraId="4B4FA4D2">
            <w:pPr>
              <w:pStyle w:val="38"/>
              <w:bidi w:val="0"/>
              <w:rPr>
                <w:color w:val="auto"/>
                <w:highlight w:val="none"/>
              </w:rPr>
            </w:pPr>
            <w:r>
              <w:rPr>
                <w:rFonts w:hint="eastAsia"/>
                <w:color w:val="auto"/>
                <w:highlight w:val="none"/>
              </w:rPr>
              <w:t>④</w:t>
            </w:r>
            <w:r>
              <w:rPr>
                <w:color w:val="auto"/>
                <w:highlight w:val="none"/>
              </w:rPr>
              <w:t>消防设备应该放置在</w:t>
            </w:r>
            <w:r>
              <w:rPr>
                <w:rFonts w:hint="eastAsia"/>
                <w:color w:val="auto"/>
                <w:highlight w:val="none"/>
              </w:rPr>
              <w:t>车间</w:t>
            </w:r>
            <w:r>
              <w:rPr>
                <w:color w:val="auto"/>
                <w:highlight w:val="none"/>
              </w:rPr>
              <w:t>内，灭火器要齐全。</w:t>
            </w:r>
          </w:p>
          <w:p w14:paraId="0E72CD9A">
            <w:pPr>
              <w:pStyle w:val="38"/>
              <w:bidi w:val="0"/>
              <w:rPr>
                <w:color w:val="auto"/>
                <w:highlight w:val="none"/>
              </w:rPr>
            </w:pPr>
            <w:r>
              <w:rPr>
                <w:rFonts w:hint="eastAsia"/>
                <w:color w:val="auto"/>
                <w:highlight w:val="none"/>
              </w:rPr>
              <w:t>⑤机油</w:t>
            </w:r>
            <w:r>
              <w:rPr>
                <w:color w:val="auto"/>
                <w:highlight w:val="none"/>
              </w:rPr>
              <w:t>转运时，要轻装轻卸，防止容器损坏泄漏。</w:t>
            </w:r>
          </w:p>
          <w:p w14:paraId="7B6E9C78">
            <w:pPr>
              <w:pStyle w:val="38"/>
              <w:bidi w:val="0"/>
              <w:rPr>
                <w:color w:val="auto"/>
                <w:highlight w:val="none"/>
              </w:rPr>
            </w:pPr>
            <w:r>
              <w:rPr>
                <w:rFonts w:hint="eastAsia"/>
                <w:color w:val="auto"/>
                <w:highlight w:val="none"/>
              </w:rPr>
              <w:t>⑥</w:t>
            </w:r>
            <w:r>
              <w:rPr>
                <w:color w:val="auto"/>
                <w:highlight w:val="none"/>
              </w:rPr>
              <w:t>为了防止火灾，公司必须在</w:t>
            </w:r>
            <w:r>
              <w:rPr>
                <w:rFonts w:hint="eastAsia"/>
                <w:color w:val="auto"/>
                <w:highlight w:val="none"/>
              </w:rPr>
              <w:t>车间</w:t>
            </w:r>
            <w:r>
              <w:rPr>
                <w:color w:val="auto"/>
                <w:highlight w:val="none"/>
              </w:rPr>
              <w:t>外设警示牌，禁止吸烟，严禁烟火。建立完善的安全管理制度，执行工业安全卫生、劳动保护、环保、消防等相关规定。</w:t>
            </w:r>
          </w:p>
          <w:p w14:paraId="70C470B2">
            <w:pPr>
              <w:pStyle w:val="38"/>
              <w:bidi w:val="0"/>
              <w:rPr>
                <w:color w:val="auto"/>
                <w:highlight w:val="none"/>
              </w:rPr>
            </w:pPr>
            <w:r>
              <w:rPr>
                <w:rFonts w:hint="eastAsia"/>
                <w:color w:val="auto"/>
                <w:highlight w:val="none"/>
              </w:rPr>
              <w:t>⑦</w:t>
            </w:r>
            <w:r>
              <w:rPr>
                <w:color w:val="auto"/>
                <w:highlight w:val="none"/>
              </w:rPr>
              <w:t>危废暂存间</w:t>
            </w:r>
            <w:r>
              <w:rPr>
                <w:rFonts w:hint="eastAsia"/>
                <w:color w:val="auto"/>
                <w:highlight w:val="none"/>
              </w:rPr>
              <w:t>废机油桶</w:t>
            </w:r>
            <w:r>
              <w:rPr>
                <w:color w:val="auto"/>
                <w:highlight w:val="none"/>
              </w:rPr>
              <w:t>底部加设防溢流托盘，构筑防溢围堤（沙袋封堵），一旦发生泄漏，无法收集的</w:t>
            </w:r>
            <w:r>
              <w:rPr>
                <w:rFonts w:hint="eastAsia"/>
                <w:color w:val="auto"/>
                <w:highlight w:val="none"/>
                <w:lang w:eastAsia="zh-CN"/>
              </w:rPr>
              <w:t>废矿物油</w:t>
            </w:r>
            <w:r>
              <w:rPr>
                <w:color w:val="auto"/>
                <w:highlight w:val="none"/>
              </w:rPr>
              <w:t>用吸附棉吸附后，送至有资质单位处理；消洗废水</w:t>
            </w:r>
            <w:r>
              <w:rPr>
                <w:rFonts w:hint="eastAsia"/>
                <w:color w:val="auto"/>
                <w:highlight w:val="none"/>
              </w:rPr>
              <w:t>通过罐车收集，</w:t>
            </w:r>
            <w:r>
              <w:rPr>
                <w:color w:val="auto"/>
                <w:highlight w:val="none"/>
              </w:rPr>
              <w:t>送至有资质单位处理。</w:t>
            </w:r>
          </w:p>
          <w:p w14:paraId="3E6FC604">
            <w:pPr>
              <w:pStyle w:val="38"/>
              <w:bidi w:val="0"/>
              <w:rPr>
                <w:color w:val="auto"/>
                <w:highlight w:val="none"/>
              </w:rPr>
            </w:pPr>
            <w:r>
              <w:rPr>
                <w:color w:val="auto"/>
                <w:highlight w:val="none"/>
              </w:rPr>
              <w:t>项目危废暂存间严格落实《危险废物贮存污染控制标准》（GB18597-2023）要求，需设置有泄漏液收集系统，且进行防渗处理，确保事故时</w:t>
            </w:r>
            <w:r>
              <w:rPr>
                <w:rFonts w:hint="eastAsia"/>
                <w:color w:val="auto"/>
                <w:highlight w:val="none"/>
              </w:rPr>
              <w:t>泄漏</w:t>
            </w:r>
            <w:r>
              <w:rPr>
                <w:color w:val="auto"/>
                <w:highlight w:val="none"/>
              </w:rPr>
              <w:t>物质不会通过渗透和地表径流污染地下水和地表水。</w:t>
            </w:r>
          </w:p>
          <w:p w14:paraId="0C3D4AC0">
            <w:pPr>
              <w:pStyle w:val="38"/>
              <w:bidi w:val="0"/>
              <w:rPr>
                <w:color w:val="auto"/>
                <w:highlight w:val="none"/>
              </w:rPr>
            </w:pPr>
            <w:r>
              <w:rPr>
                <w:rFonts w:hint="eastAsia"/>
                <w:b/>
                <w:bCs/>
                <w:color w:val="auto"/>
                <w:highlight w:val="none"/>
              </w:rPr>
              <w:t>八、</w:t>
            </w:r>
            <w:r>
              <w:rPr>
                <w:b/>
                <w:bCs/>
                <w:color w:val="auto"/>
                <w:highlight w:val="none"/>
              </w:rPr>
              <w:t>电磁辐射</w:t>
            </w:r>
          </w:p>
          <w:p w14:paraId="7CABB8DC">
            <w:pPr>
              <w:pStyle w:val="38"/>
              <w:bidi w:val="0"/>
              <w:rPr>
                <w:color w:val="auto"/>
                <w:highlight w:val="none"/>
              </w:rPr>
            </w:pPr>
            <w:r>
              <w:rPr>
                <w:color w:val="auto"/>
                <w:highlight w:val="none"/>
              </w:rPr>
              <w:t>本项目</w:t>
            </w:r>
            <w:r>
              <w:rPr>
                <w:rFonts w:hint="eastAsia"/>
                <w:color w:val="auto"/>
                <w:highlight w:val="none"/>
              </w:rPr>
              <w:t>不涉及电磁辐射影响</w:t>
            </w:r>
            <w:r>
              <w:rPr>
                <w:color w:val="auto"/>
                <w:highlight w:val="none"/>
              </w:rPr>
              <w:t>。</w:t>
            </w:r>
          </w:p>
          <w:p w14:paraId="53205C6E">
            <w:pPr>
              <w:pStyle w:val="38"/>
              <w:bidi w:val="0"/>
              <w:rPr>
                <w:rFonts w:hint="default"/>
                <w:color w:val="auto"/>
                <w:highlight w:val="none"/>
                <w:lang w:eastAsia="zh-CN"/>
              </w:rPr>
            </w:pPr>
          </w:p>
          <w:p w14:paraId="23ABE68E">
            <w:pPr>
              <w:pStyle w:val="38"/>
              <w:bidi w:val="0"/>
              <w:rPr>
                <w:rFonts w:hint="eastAsia"/>
                <w:color w:val="auto"/>
                <w:highlight w:val="none"/>
                <w:lang w:eastAsia="zh-CN"/>
              </w:rPr>
            </w:pPr>
          </w:p>
          <w:p w14:paraId="34DF75AA">
            <w:pPr>
              <w:rPr>
                <w:color w:val="auto"/>
                <w:highlight w:val="none"/>
              </w:rPr>
            </w:pPr>
          </w:p>
        </w:tc>
      </w:tr>
    </w:tbl>
    <w:p w14:paraId="5BF3423C">
      <w:pPr>
        <w:pStyle w:val="38"/>
        <w:bidi w:val="0"/>
        <w:ind w:left="0" w:leftChars="0" w:firstLine="0" w:firstLineChars="0"/>
        <w:rPr>
          <w:rFonts w:hint="eastAsia"/>
          <w:color w:val="auto"/>
          <w:highlight w:val="none"/>
        </w:rPr>
        <w:sectPr>
          <w:headerReference r:id="rId10" w:type="default"/>
          <w:footerReference r:id="rId11" w:type="default"/>
          <w:pgSz w:w="11906" w:h="16838"/>
          <w:pgMar w:top="1418" w:right="1247" w:bottom="1418" w:left="1247" w:header="851" w:footer="851" w:gutter="0"/>
          <w:pgBorders>
            <w:top w:val="none" w:sz="0" w:space="0"/>
            <w:left w:val="none" w:sz="0" w:space="0"/>
            <w:bottom w:val="none" w:sz="0" w:space="0"/>
            <w:right w:val="none" w:sz="0" w:space="0"/>
          </w:pgBorders>
          <w:cols w:space="720" w:num="1"/>
          <w:docGrid w:type="lines" w:linePitch="312" w:charSpace="0"/>
        </w:sectPr>
      </w:pPr>
    </w:p>
    <w:p w14:paraId="7E8A15E2">
      <w:pPr>
        <w:jc w:val="center"/>
        <w:outlineLvl w:val="0"/>
        <w:rPr>
          <w:rFonts w:hint="eastAsia"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五、</w:t>
      </w:r>
      <w:bookmarkStart w:id="17" w:name="_Hlk54167917"/>
      <w:r>
        <w:rPr>
          <w:rFonts w:hint="eastAsia" w:ascii="黑体" w:hAnsi="黑体" w:eastAsia="黑体"/>
          <w:snapToGrid w:val="0"/>
          <w:color w:val="auto"/>
          <w:sz w:val="30"/>
          <w:szCs w:val="30"/>
          <w:highlight w:val="none"/>
        </w:rPr>
        <w:t>环境保护措施监督检查清单</w:t>
      </w:r>
      <w:bookmarkEnd w:id="17"/>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1560"/>
        <w:gridCol w:w="1417"/>
        <w:gridCol w:w="1559"/>
        <w:gridCol w:w="3732"/>
      </w:tblGrid>
      <w:tr w14:paraId="0F1B03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4" w:type="dxa"/>
            <w:tcBorders>
              <w:tl2br w:val="single" w:color="auto" w:sz="4" w:space="0"/>
            </w:tcBorders>
          </w:tcPr>
          <w:p w14:paraId="1276732B">
            <w:pPr>
              <w:topLinePunct/>
              <w:spacing w:line="360" w:lineRule="exact"/>
              <w:jc w:val="righ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内容</w:t>
            </w:r>
          </w:p>
          <w:p w14:paraId="652CFA08">
            <w:pPr>
              <w:topLinePunct/>
              <w:spacing w:line="360" w:lineRule="exac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要素</w:t>
            </w:r>
          </w:p>
        </w:tc>
        <w:tc>
          <w:tcPr>
            <w:tcW w:w="1560" w:type="dxa"/>
            <w:vAlign w:val="center"/>
          </w:tcPr>
          <w:p w14:paraId="3338512B">
            <w:pPr>
              <w:topLinePunct/>
              <w:spacing w:line="360" w:lineRule="exac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排放口(编号、名称)/污染源</w:t>
            </w:r>
          </w:p>
        </w:tc>
        <w:tc>
          <w:tcPr>
            <w:tcW w:w="1417" w:type="dxa"/>
            <w:vAlign w:val="center"/>
          </w:tcPr>
          <w:p w14:paraId="128EA5CE">
            <w:pPr>
              <w:topLinePunct/>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污染物项目</w:t>
            </w:r>
          </w:p>
        </w:tc>
        <w:tc>
          <w:tcPr>
            <w:tcW w:w="1559" w:type="dxa"/>
            <w:tcBorders>
              <w:bottom w:val="single" w:color="auto" w:sz="4" w:space="0"/>
            </w:tcBorders>
            <w:vAlign w:val="center"/>
          </w:tcPr>
          <w:p w14:paraId="057B98BF">
            <w:pPr>
              <w:topLinePunct/>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环境保护措施</w:t>
            </w:r>
          </w:p>
        </w:tc>
        <w:tc>
          <w:tcPr>
            <w:tcW w:w="3732" w:type="dxa"/>
            <w:tcBorders>
              <w:bottom w:val="single" w:color="auto" w:sz="4" w:space="0"/>
            </w:tcBorders>
            <w:vAlign w:val="center"/>
          </w:tcPr>
          <w:p w14:paraId="719F80BF">
            <w:pPr>
              <w:topLinePunct/>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执行标准</w:t>
            </w:r>
          </w:p>
        </w:tc>
      </w:tr>
      <w:tr w14:paraId="6E82D6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4" w:type="dxa"/>
            <w:vMerge w:val="restart"/>
            <w:vAlign w:val="center"/>
          </w:tcPr>
          <w:p w14:paraId="1A5EE63B">
            <w:pPr>
              <w:topLinePunct/>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大气环境</w:t>
            </w:r>
          </w:p>
        </w:tc>
        <w:tc>
          <w:tcPr>
            <w:tcW w:w="1560" w:type="dxa"/>
            <w:vAlign w:val="center"/>
          </w:tcPr>
          <w:p w14:paraId="45B32E6A">
            <w:pPr>
              <w:topLinePunct/>
              <w:spacing w:line="360" w:lineRule="exact"/>
              <w:jc w:val="center"/>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板材封边</w:t>
            </w:r>
            <w:r>
              <w:rPr>
                <w:rFonts w:hint="default" w:ascii="Times New Roman" w:hAnsi="Times New Roman" w:eastAsia="宋体" w:cs="Times New Roman"/>
                <w:color w:val="auto"/>
                <w:szCs w:val="21"/>
                <w:highlight w:val="none"/>
              </w:rPr>
              <w:t>排气筒P1</w:t>
            </w:r>
          </w:p>
        </w:tc>
        <w:tc>
          <w:tcPr>
            <w:tcW w:w="1417" w:type="dxa"/>
            <w:tcBorders>
              <w:bottom w:val="single" w:color="auto" w:sz="4" w:space="0"/>
            </w:tcBorders>
            <w:vAlign w:val="center"/>
          </w:tcPr>
          <w:p w14:paraId="06086F34">
            <w:pPr>
              <w:topLinePunct/>
              <w:spacing w:line="360" w:lineRule="exact"/>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lang w:val="en-US" w:eastAsia="zh-CN"/>
              </w:rPr>
              <w:t>VOCs</w:t>
            </w:r>
          </w:p>
        </w:tc>
        <w:tc>
          <w:tcPr>
            <w:tcW w:w="1559" w:type="dxa"/>
            <w:vAlign w:val="center"/>
          </w:tcPr>
          <w:p w14:paraId="0C9ED770">
            <w:pPr>
              <w:topLinePunct/>
              <w:spacing w:line="360" w:lineRule="exact"/>
              <w:jc w:val="center"/>
              <w:rPr>
                <w:rFonts w:hint="default"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二级</w:t>
            </w:r>
            <w:r>
              <w:rPr>
                <w:rFonts w:hint="default" w:ascii="Times New Roman" w:hAnsi="Times New Roman" w:eastAsia="宋体" w:cs="Times New Roman"/>
                <w:color w:val="auto"/>
                <w:szCs w:val="21"/>
                <w:highlight w:val="none"/>
                <w:lang w:eastAsia="zh-CN"/>
              </w:rPr>
              <w:t>活性炭</w:t>
            </w:r>
            <w:r>
              <w:rPr>
                <w:rFonts w:hint="eastAsia" w:cs="Times New Roman"/>
                <w:color w:val="auto"/>
                <w:szCs w:val="21"/>
                <w:highlight w:val="none"/>
                <w:lang w:eastAsia="zh-CN"/>
              </w:rPr>
              <w:t>吸附</w:t>
            </w:r>
          </w:p>
        </w:tc>
        <w:tc>
          <w:tcPr>
            <w:tcW w:w="3732" w:type="dxa"/>
            <w:vAlign w:val="center"/>
          </w:tcPr>
          <w:p w14:paraId="44BBAA58">
            <w:pPr>
              <w:topLinePunct/>
              <w:spacing w:line="360" w:lineRule="exact"/>
              <w:jc w:val="center"/>
              <w:rPr>
                <w:rFonts w:hint="default"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 w:val="20"/>
                <w:szCs w:val="20"/>
                <w:highlight w:val="none"/>
                <w:lang w:val="en-US" w:eastAsia="zh-CN"/>
              </w:rPr>
              <w:t>《挥发性有机物排放标准 第3部分：家具制造业》（DB37/2801.3-2017）表1中</w:t>
            </w:r>
            <w:r>
              <w:rPr>
                <w:rFonts w:hint="eastAsia" w:ascii="Times New Roman" w:hAnsi="Times New Roman" w:eastAsia="宋体" w:cs="Times New Roman"/>
                <w:color w:val="auto"/>
                <w:sz w:val="20"/>
                <w:szCs w:val="20"/>
                <w:highlight w:val="none"/>
                <w:lang w:val="en-US" w:eastAsia="zh-CN"/>
              </w:rPr>
              <w:fldChar w:fldCharType="begin"/>
            </w:r>
            <w:r>
              <w:rPr>
                <w:rFonts w:hint="eastAsia" w:ascii="Times New Roman" w:hAnsi="Times New Roman" w:eastAsia="宋体" w:cs="Times New Roman"/>
                <w:color w:val="auto"/>
                <w:sz w:val="20"/>
                <w:szCs w:val="20"/>
                <w:highlight w:val="none"/>
                <w:lang w:val="en-US" w:eastAsia="zh-CN"/>
              </w:rPr>
              <w:instrText xml:space="preserve"> = 2 \* ROMAN \* MERGEFORMAT </w:instrText>
            </w:r>
            <w:r>
              <w:rPr>
                <w:rFonts w:hint="eastAsia" w:ascii="Times New Roman" w:hAnsi="Times New Roman" w:eastAsia="宋体" w:cs="Times New Roman"/>
                <w:color w:val="auto"/>
                <w:sz w:val="20"/>
                <w:szCs w:val="20"/>
                <w:highlight w:val="none"/>
                <w:lang w:val="en-US" w:eastAsia="zh-CN"/>
              </w:rPr>
              <w:fldChar w:fldCharType="separate"/>
            </w:r>
            <w:r>
              <w:rPr>
                <w:rFonts w:hint="eastAsia" w:ascii="Times New Roman" w:hAnsi="Times New Roman" w:eastAsia="宋体" w:cs="Times New Roman"/>
                <w:color w:val="auto"/>
                <w:sz w:val="20"/>
                <w:szCs w:val="20"/>
                <w:highlight w:val="none"/>
                <w:lang w:val="en-US" w:eastAsia="zh-CN"/>
              </w:rPr>
              <w:t>II</w:t>
            </w:r>
            <w:r>
              <w:rPr>
                <w:rFonts w:hint="eastAsia" w:ascii="Times New Roman" w:hAnsi="Times New Roman" w:eastAsia="宋体" w:cs="Times New Roman"/>
                <w:color w:val="auto"/>
                <w:sz w:val="20"/>
                <w:szCs w:val="20"/>
                <w:highlight w:val="none"/>
                <w:lang w:val="en-US" w:eastAsia="zh-CN"/>
              </w:rPr>
              <w:fldChar w:fldCharType="end"/>
            </w:r>
            <w:r>
              <w:rPr>
                <w:rFonts w:hint="eastAsia" w:ascii="Times New Roman" w:hAnsi="Times New Roman" w:eastAsia="宋体" w:cs="Times New Roman"/>
                <w:color w:val="auto"/>
                <w:sz w:val="20"/>
                <w:szCs w:val="20"/>
                <w:highlight w:val="none"/>
                <w:lang w:val="en-US" w:eastAsia="zh-CN"/>
              </w:rPr>
              <w:t>时段要求</w:t>
            </w:r>
          </w:p>
        </w:tc>
      </w:tr>
      <w:tr w14:paraId="0A5DAD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70" w:hRule="atLeast"/>
          <w:jc w:val="center"/>
        </w:trPr>
        <w:tc>
          <w:tcPr>
            <w:tcW w:w="1124" w:type="dxa"/>
            <w:vMerge w:val="continue"/>
            <w:vAlign w:val="center"/>
          </w:tcPr>
          <w:p w14:paraId="32BB7378">
            <w:pPr>
              <w:topLinePunct/>
              <w:spacing w:line="360" w:lineRule="exact"/>
              <w:jc w:val="center"/>
              <w:rPr>
                <w:rFonts w:hint="default" w:ascii="Times New Roman" w:hAnsi="Times New Roman" w:cs="Times New Roman"/>
                <w:color w:val="auto"/>
                <w:szCs w:val="21"/>
                <w:highlight w:val="none"/>
              </w:rPr>
            </w:pPr>
          </w:p>
        </w:tc>
        <w:tc>
          <w:tcPr>
            <w:tcW w:w="1560" w:type="dxa"/>
            <w:vAlign w:val="center"/>
          </w:tcPr>
          <w:p w14:paraId="520064ED">
            <w:pPr>
              <w:topLinePunct/>
              <w:spacing w:line="360" w:lineRule="exac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厂界</w:t>
            </w:r>
          </w:p>
        </w:tc>
        <w:tc>
          <w:tcPr>
            <w:tcW w:w="1417" w:type="dxa"/>
            <w:tcBorders>
              <w:bottom w:val="single" w:color="auto" w:sz="4" w:space="0"/>
            </w:tcBorders>
            <w:vAlign w:val="center"/>
          </w:tcPr>
          <w:p w14:paraId="64678090">
            <w:pPr>
              <w:topLinePunct/>
              <w:spacing w:line="360" w:lineRule="exact"/>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lang w:val="en-US" w:eastAsia="zh-CN"/>
              </w:rPr>
              <w:t>VOCs</w:t>
            </w:r>
            <w:r>
              <w:rPr>
                <w:rFonts w:hint="eastAsia" w:cs="Times New Roman"/>
                <w:color w:val="auto"/>
                <w:szCs w:val="21"/>
                <w:highlight w:val="none"/>
                <w:lang w:val="en-US" w:eastAsia="zh-CN"/>
              </w:rPr>
              <w:t>、颗粒物</w:t>
            </w:r>
          </w:p>
        </w:tc>
        <w:tc>
          <w:tcPr>
            <w:tcW w:w="1559" w:type="dxa"/>
            <w:vAlign w:val="center"/>
          </w:tcPr>
          <w:p w14:paraId="22786AAA">
            <w:pPr>
              <w:topLinePunct/>
              <w:spacing w:line="360" w:lineRule="exac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移动式布袋除尘器、移动焊烟净化器等</w:t>
            </w:r>
          </w:p>
        </w:tc>
        <w:tc>
          <w:tcPr>
            <w:tcW w:w="3732" w:type="dxa"/>
            <w:vAlign w:val="center"/>
          </w:tcPr>
          <w:p w14:paraId="1B5E43D9">
            <w:pPr>
              <w:topLinePunct/>
              <w:spacing w:line="360" w:lineRule="exact"/>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 w:val="20"/>
                <w:szCs w:val="20"/>
                <w:highlight w:val="none"/>
                <w:lang w:val="en-US" w:eastAsia="zh-CN"/>
              </w:rPr>
              <w:t>《挥发性有机物排放标准 第3部分：家具制造业》（DB37/2801.3-2017）表2厂界要求、《大气污染物综合排放标准》（GB16297-1996）表2要求</w:t>
            </w:r>
          </w:p>
        </w:tc>
      </w:tr>
      <w:tr w14:paraId="64EFAA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4" w:type="dxa"/>
            <w:vAlign w:val="center"/>
          </w:tcPr>
          <w:p w14:paraId="5549B20A">
            <w:pPr>
              <w:topLinePunct/>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地表水</w:t>
            </w:r>
          </w:p>
          <w:p w14:paraId="07400E44">
            <w:pPr>
              <w:topLinePunct/>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w:t>
            </w:r>
          </w:p>
        </w:tc>
        <w:tc>
          <w:tcPr>
            <w:tcW w:w="1560" w:type="dxa"/>
            <w:vAlign w:val="center"/>
          </w:tcPr>
          <w:p w14:paraId="3F6FF802">
            <w:pPr>
              <w:topLinePunct/>
              <w:spacing w:line="360" w:lineRule="exact"/>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w:t>
            </w:r>
          </w:p>
        </w:tc>
        <w:tc>
          <w:tcPr>
            <w:tcW w:w="1417" w:type="dxa"/>
            <w:vAlign w:val="center"/>
          </w:tcPr>
          <w:p w14:paraId="458A2C22">
            <w:pPr>
              <w:topLinePunct/>
              <w:spacing w:line="360" w:lineRule="exac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化学需氧量、氨氮、</w:t>
            </w:r>
            <w:r>
              <w:rPr>
                <w:rFonts w:hint="eastAsia" w:cs="Times New Roman"/>
                <w:color w:val="auto"/>
                <w:szCs w:val="21"/>
                <w:highlight w:val="none"/>
                <w:lang w:eastAsia="zh-CN"/>
              </w:rPr>
              <w:t>生化需氧量、</w:t>
            </w:r>
            <w:r>
              <w:rPr>
                <w:rFonts w:hint="default" w:ascii="Times New Roman" w:hAnsi="Times New Roman" w:eastAsia="宋体" w:cs="Times New Roman"/>
                <w:color w:val="auto"/>
                <w:szCs w:val="21"/>
                <w:highlight w:val="none"/>
              </w:rPr>
              <w:t>悬浮物等</w:t>
            </w:r>
          </w:p>
        </w:tc>
        <w:tc>
          <w:tcPr>
            <w:tcW w:w="1559" w:type="dxa"/>
            <w:vAlign w:val="center"/>
          </w:tcPr>
          <w:p w14:paraId="60CBF229">
            <w:pPr>
              <w:topLinePunct/>
              <w:spacing w:line="360" w:lineRule="exact"/>
              <w:jc w:val="center"/>
              <w:rPr>
                <w:rFonts w:hint="default" w:ascii="Times New Roman" w:hAnsi="Times New Roman" w:eastAsia="宋体" w:cs="Times New Roman"/>
                <w:color w:val="auto"/>
                <w:szCs w:val="21"/>
                <w:highlight w:val="none"/>
              </w:rPr>
            </w:pPr>
            <w:r>
              <w:rPr>
                <w:rFonts w:hint="eastAsia" w:cs="Times New Roman"/>
                <w:color w:val="auto"/>
                <w:szCs w:val="21"/>
                <w:highlight w:val="none"/>
                <w:lang w:eastAsia="zh-CN"/>
              </w:rPr>
              <w:t>化粪池</w:t>
            </w:r>
          </w:p>
        </w:tc>
        <w:tc>
          <w:tcPr>
            <w:tcW w:w="3732" w:type="dxa"/>
            <w:vAlign w:val="center"/>
          </w:tcPr>
          <w:p w14:paraId="0B15F89F">
            <w:pPr>
              <w:topLinePunct/>
              <w:spacing w:line="360" w:lineRule="exact"/>
              <w:jc w:val="center"/>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委托环卫部门定期清运</w:t>
            </w:r>
          </w:p>
        </w:tc>
      </w:tr>
      <w:tr w14:paraId="28897C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4" w:type="dxa"/>
            <w:vAlign w:val="center"/>
          </w:tcPr>
          <w:p w14:paraId="596EC54D">
            <w:pPr>
              <w:topLinePunct/>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w:t>
            </w:r>
          </w:p>
        </w:tc>
        <w:tc>
          <w:tcPr>
            <w:tcW w:w="1560" w:type="dxa"/>
            <w:vAlign w:val="center"/>
          </w:tcPr>
          <w:p w14:paraId="09941243">
            <w:pPr>
              <w:topLinePunct/>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机械设备</w:t>
            </w:r>
          </w:p>
        </w:tc>
        <w:tc>
          <w:tcPr>
            <w:tcW w:w="1417" w:type="dxa"/>
            <w:vAlign w:val="center"/>
          </w:tcPr>
          <w:p w14:paraId="108D4E6A">
            <w:pPr>
              <w:topLinePunct/>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w:t>
            </w:r>
          </w:p>
        </w:tc>
        <w:tc>
          <w:tcPr>
            <w:tcW w:w="1559" w:type="dxa"/>
            <w:vAlign w:val="center"/>
          </w:tcPr>
          <w:p w14:paraId="1805E338">
            <w:pPr>
              <w:topLinePunct/>
              <w:spacing w:line="360" w:lineRule="exac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采取隔声和消声等措施</w:t>
            </w:r>
          </w:p>
        </w:tc>
        <w:tc>
          <w:tcPr>
            <w:tcW w:w="3732" w:type="dxa"/>
            <w:vAlign w:val="center"/>
          </w:tcPr>
          <w:p w14:paraId="34EAA35A">
            <w:pPr>
              <w:wordWrap w:val="0"/>
              <w:topLinePunct/>
              <w:spacing w:line="360" w:lineRule="exac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执行《工业企业厂界环境噪声排放标准》（GB 12348-2008）3类标准</w:t>
            </w:r>
          </w:p>
        </w:tc>
      </w:tr>
      <w:tr w14:paraId="7507C7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4" w:type="dxa"/>
            <w:vAlign w:val="center"/>
          </w:tcPr>
          <w:p w14:paraId="3D7B0FCC">
            <w:pPr>
              <w:topLinePunct/>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电磁辐射</w:t>
            </w:r>
          </w:p>
        </w:tc>
        <w:tc>
          <w:tcPr>
            <w:tcW w:w="1560" w:type="dxa"/>
            <w:vAlign w:val="center"/>
          </w:tcPr>
          <w:p w14:paraId="3519ED43">
            <w:pPr>
              <w:topLinePunct/>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417" w:type="dxa"/>
            <w:vAlign w:val="center"/>
          </w:tcPr>
          <w:p w14:paraId="3EAFE940">
            <w:pPr>
              <w:topLinePunct/>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559" w:type="dxa"/>
            <w:vAlign w:val="center"/>
          </w:tcPr>
          <w:p w14:paraId="7D9401C8">
            <w:pPr>
              <w:topLinePunct/>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3732" w:type="dxa"/>
            <w:vAlign w:val="center"/>
          </w:tcPr>
          <w:p w14:paraId="32154513">
            <w:pPr>
              <w:topLinePunct/>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196088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4" w:type="dxa"/>
            <w:vAlign w:val="center"/>
          </w:tcPr>
          <w:p w14:paraId="46829AF8">
            <w:pPr>
              <w:topLinePunct/>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固体废物</w:t>
            </w:r>
          </w:p>
        </w:tc>
        <w:tc>
          <w:tcPr>
            <w:tcW w:w="8268" w:type="dxa"/>
            <w:gridSpan w:val="4"/>
            <w:vAlign w:val="center"/>
          </w:tcPr>
          <w:p w14:paraId="71EFBD1A">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t>项目一般固体废物须满足《中华人民共和国固体废物污染环境防治法》中防扬散、防流失、防渗漏相关要求及《一般工业固体废物管理台账制定指南（试行）》（公告2021年第82号）要求。</w:t>
            </w:r>
          </w:p>
          <w:p w14:paraId="1B800585">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危险废物执行《危险废物贮存污染控制标准》(GB 18597-2023)的规定。</w:t>
            </w:r>
          </w:p>
        </w:tc>
      </w:tr>
      <w:tr w14:paraId="0FCE3C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4" w:type="dxa"/>
            <w:vAlign w:val="center"/>
          </w:tcPr>
          <w:p w14:paraId="276521C9">
            <w:pPr>
              <w:topLinePunct/>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土壤及地下水污染防治措施</w:t>
            </w:r>
          </w:p>
        </w:tc>
        <w:tc>
          <w:tcPr>
            <w:tcW w:w="8268" w:type="dxa"/>
            <w:gridSpan w:val="4"/>
            <w:vAlign w:val="center"/>
          </w:tcPr>
          <w:p w14:paraId="6DCDEB71">
            <w:pPr>
              <w:pStyle w:val="38"/>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按照防污性能和污染物控制难易程度，本项目拟采取分区防渗。其中危废间为重点防渗区。防渗层要求达到等效黏土防渗层厚度6米以上、渗透系数不大于10</w:t>
            </w:r>
            <w:r>
              <w:rPr>
                <w:rFonts w:hint="default" w:ascii="Times New Roman" w:hAnsi="Times New Roman" w:cs="Times New Roman"/>
                <w:color w:val="auto"/>
                <w:highlight w:val="none"/>
                <w:vertAlign w:val="superscript"/>
              </w:rPr>
              <w:t>-7</w:t>
            </w:r>
            <w:r>
              <w:rPr>
                <w:rFonts w:hint="default" w:ascii="Times New Roman" w:hAnsi="Times New Roman" w:cs="Times New Roman"/>
                <w:color w:val="auto"/>
                <w:highlight w:val="none"/>
              </w:rPr>
              <w:t>cm/s；或参照GB 18598执行防渗处理。生产车间、仓库等为一般防渗区，防渗层要求达到等效黏土防渗层厚度1.5米以上、渗透系数不大于10</w:t>
            </w:r>
            <w:r>
              <w:rPr>
                <w:rFonts w:hint="default" w:ascii="Times New Roman" w:hAnsi="Times New Roman" w:cs="Times New Roman"/>
                <w:color w:val="auto"/>
                <w:highlight w:val="none"/>
                <w:vertAlign w:val="superscript"/>
              </w:rPr>
              <w:t>-7</w:t>
            </w:r>
            <w:r>
              <w:rPr>
                <w:rFonts w:hint="default" w:ascii="Times New Roman" w:hAnsi="Times New Roman" w:cs="Times New Roman"/>
                <w:color w:val="auto"/>
                <w:highlight w:val="none"/>
              </w:rPr>
              <w:t>cm/s，或参照GB 16889执行防渗处理。</w:t>
            </w:r>
          </w:p>
        </w:tc>
      </w:tr>
      <w:tr w14:paraId="41D705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4" w:type="dxa"/>
            <w:vAlign w:val="center"/>
          </w:tcPr>
          <w:p w14:paraId="75F683E1">
            <w:pPr>
              <w:topLinePunct/>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生态保护措施</w:t>
            </w:r>
          </w:p>
        </w:tc>
        <w:tc>
          <w:tcPr>
            <w:tcW w:w="8268" w:type="dxa"/>
            <w:gridSpan w:val="4"/>
            <w:vAlign w:val="center"/>
          </w:tcPr>
          <w:p w14:paraId="0D2E3C96">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22303B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4" w:type="dxa"/>
            <w:vAlign w:val="center"/>
          </w:tcPr>
          <w:p w14:paraId="70E9DD9F">
            <w:pPr>
              <w:topLinePunct/>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环境风险防范措施</w:t>
            </w:r>
          </w:p>
        </w:tc>
        <w:tc>
          <w:tcPr>
            <w:tcW w:w="8268" w:type="dxa"/>
            <w:gridSpan w:val="4"/>
            <w:vAlign w:val="center"/>
          </w:tcPr>
          <w:p w14:paraId="0CC5BDF0">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t>①定期对矿物油储存场所、危废仓库</w:t>
            </w:r>
            <w:r>
              <w:rPr>
                <w:rFonts w:hint="default" w:ascii="Times New Roman" w:hAnsi="Times New Roman" w:cs="Times New Roman"/>
                <w:color w:val="auto"/>
                <w:highlight w:val="none"/>
                <w:lang w:eastAsia="zh-CN"/>
              </w:rPr>
              <w:t>等重点场所部位</w:t>
            </w:r>
            <w:r>
              <w:rPr>
                <w:rFonts w:hint="default" w:ascii="Times New Roman" w:hAnsi="Times New Roman" w:cs="Times New Roman"/>
                <w:color w:val="auto"/>
                <w:highlight w:val="none"/>
              </w:rPr>
              <w:t>进行检查，重点检查是否存在储料桶破损、车间及危废仓库内电路电线是否完好；</w:t>
            </w:r>
          </w:p>
          <w:p w14:paraId="19146B1E">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t>②加强企业管理，可有效避免环境风险事故的发生；加大宣传教育力度，增强工作人员的整体消防安全意识参加社会消防安全知识培训，提高广大职工的消防安全意识，使其掌握防火、灭火、逃生的基础知识；</w:t>
            </w:r>
          </w:p>
          <w:p w14:paraId="3F5E29F3">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t>③制定安全生产管理制度，车间及仓库内严禁烟火；加强管理，严格操作规范，杜绝因操作失误导致事故发生；对厂内电路电线和相关设备加强检查和维修，所有照明灯具也应采用密闭型；</w:t>
            </w:r>
          </w:p>
          <w:p w14:paraId="56E82069">
            <w:pPr>
              <w:pStyle w:val="38"/>
              <w:rPr>
                <w:rFonts w:hint="default" w:ascii="Times New Roman" w:hAnsi="Times New Roman" w:cs="Times New Roman"/>
                <w:color w:val="auto"/>
                <w:highlight w:val="none"/>
              </w:rPr>
            </w:pPr>
            <w:r>
              <w:rPr>
                <w:rFonts w:hint="default" w:ascii="Times New Roman" w:hAnsi="Times New Roman" w:cs="Times New Roman"/>
                <w:color w:val="auto"/>
                <w:highlight w:val="none"/>
              </w:rPr>
              <w:t>④加强消防设施建设，应配置灭火器等消防器材，如引水带、灭火器、水桶、砂土等；厂区内必须有值班人员24小时全天候值班，并经常性检修保养，确保设施完好可用。</w:t>
            </w:r>
          </w:p>
        </w:tc>
      </w:tr>
      <w:tr w14:paraId="1BC19A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055" w:hRule="atLeast"/>
          <w:jc w:val="center"/>
        </w:trPr>
        <w:tc>
          <w:tcPr>
            <w:tcW w:w="1124" w:type="dxa"/>
            <w:vAlign w:val="center"/>
          </w:tcPr>
          <w:p w14:paraId="2F688CA6">
            <w:pPr>
              <w:topLinePunct/>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其他环境管理要求</w:t>
            </w:r>
          </w:p>
        </w:tc>
        <w:tc>
          <w:tcPr>
            <w:tcW w:w="8268" w:type="dxa"/>
            <w:gridSpan w:val="4"/>
            <w:vAlign w:val="center"/>
          </w:tcPr>
          <w:p w14:paraId="0BFF2D2A">
            <w:pPr>
              <w:pStyle w:val="38"/>
              <w:bidi w:val="0"/>
              <w:rPr>
                <w:rFonts w:hint="default"/>
                <w:color w:val="auto"/>
                <w:highlight w:val="none"/>
                <w:lang w:val="zh-CN" w:eastAsia="zh-CN"/>
              </w:rPr>
            </w:pPr>
            <w:r>
              <w:rPr>
                <w:rFonts w:hint="default"/>
                <w:color w:val="auto"/>
                <w:highlight w:val="none"/>
                <w:lang w:val="zh-CN" w:eastAsia="zh-CN"/>
              </w:rPr>
              <w:t>1、管理制度</w:t>
            </w:r>
          </w:p>
          <w:p w14:paraId="6B1F632F">
            <w:pPr>
              <w:pStyle w:val="38"/>
              <w:bidi w:val="0"/>
              <w:rPr>
                <w:rFonts w:hint="default"/>
                <w:color w:val="auto"/>
                <w:highlight w:val="none"/>
                <w:lang w:val="zh-CN" w:eastAsia="zh-CN"/>
              </w:rPr>
            </w:pPr>
            <w:r>
              <w:rPr>
                <w:rFonts w:hint="default"/>
                <w:color w:val="auto"/>
                <w:highlight w:val="none"/>
                <w:lang w:val="zh-CN" w:eastAsia="zh-CN"/>
              </w:rPr>
              <w:t>为了缓解建设项目生产运行期对环境构成的不良影响，在采取环保治理工程措施解决建设项目环境影响的同时，必须制定全面的企业环境管理计划，同时要加强对管理人员的环保培训，不断提高管理水平。</w:t>
            </w:r>
          </w:p>
          <w:p w14:paraId="53F48EBC">
            <w:pPr>
              <w:pStyle w:val="38"/>
              <w:bidi w:val="0"/>
              <w:rPr>
                <w:rFonts w:hint="default"/>
                <w:color w:val="auto"/>
                <w:highlight w:val="none"/>
                <w:lang w:val="zh-CN" w:eastAsia="zh-CN"/>
              </w:rPr>
            </w:pPr>
            <w:r>
              <w:rPr>
                <w:rFonts w:hint="default"/>
                <w:color w:val="auto"/>
                <w:highlight w:val="none"/>
                <w:lang w:val="zh-CN" w:eastAsia="zh-CN"/>
              </w:rPr>
              <w:t>企业排污发生重大变化、污染治理设施改变或生产运行计划改变等都必须向当地环保部门申报，经审批同意后方可实施。对污染治理设施和管理必须与生产经营活动一起纳入企业的日常管理中，要建立岗位责任制，制定操作规程，建立管理台帐。</w:t>
            </w:r>
          </w:p>
          <w:p w14:paraId="21D12EB2">
            <w:pPr>
              <w:pStyle w:val="38"/>
              <w:bidi w:val="0"/>
              <w:rPr>
                <w:rFonts w:hint="default"/>
                <w:color w:val="auto"/>
                <w:highlight w:val="none"/>
                <w:lang w:val="zh-CN" w:eastAsia="zh-CN"/>
              </w:rPr>
            </w:pPr>
            <w:r>
              <w:rPr>
                <w:rFonts w:hint="default"/>
                <w:color w:val="auto"/>
                <w:highlight w:val="none"/>
                <w:lang w:val="zh-CN" w:eastAsia="zh-CN"/>
              </w:rPr>
              <w:t>2、建设项目竣工环境保护验收</w:t>
            </w:r>
          </w:p>
          <w:p w14:paraId="03FB2CE0">
            <w:pPr>
              <w:pStyle w:val="38"/>
              <w:bidi w:val="0"/>
              <w:rPr>
                <w:rFonts w:hint="default"/>
                <w:color w:val="auto"/>
                <w:highlight w:val="none"/>
                <w:lang w:val="zh-CN" w:eastAsia="zh-CN"/>
              </w:rPr>
            </w:pPr>
            <w:r>
              <w:rPr>
                <w:rFonts w:hint="default"/>
                <w:color w:val="auto"/>
                <w:highlight w:val="none"/>
                <w:lang w:val="zh-CN" w:eastAsia="zh-CN"/>
              </w:rPr>
              <w:t>根据《建设项目环境保护管理条例》要求，编制环境影响报告表的建设项目竣工后，建设单位应当按照国务院环境保护行政主管部门规定的标准和程序，对配套建设的环境保护设施进行验收，编制验收报告。建设单位在环境保护设施验收过程中，应当如实查验、监测、记载建设项目环境保护设施的建设和调试情况，不得弄虚作假。除按照国家规定需要保密的情形外，建设单位应当依法向社会公开验收报告。编制环境影响报告表的建设项目，其配套建设的环境保护设施经验收合格，方可投入生产或者使用；未经验收或者验收不合格的，不得投入生产或者使用。</w:t>
            </w:r>
          </w:p>
          <w:p w14:paraId="41A3386A">
            <w:pPr>
              <w:pStyle w:val="38"/>
              <w:bidi w:val="0"/>
              <w:rPr>
                <w:rFonts w:hint="default"/>
                <w:color w:val="auto"/>
                <w:highlight w:val="none"/>
                <w:lang w:val="zh-CN" w:eastAsia="zh-CN"/>
              </w:rPr>
            </w:pPr>
            <w:r>
              <w:rPr>
                <w:rFonts w:hint="default"/>
                <w:color w:val="auto"/>
                <w:highlight w:val="none"/>
                <w:lang w:val="zh-CN" w:eastAsia="zh-CN"/>
              </w:rPr>
              <w:t>3、排放口信息化、规范化</w:t>
            </w:r>
          </w:p>
          <w:p w14:paraId="575DC0F5">
            <w:pPr>
              <w:pStyle w:val="38"/>
              <w:bidi w:val="0"/>
              <w:rPr>
                <w:rFonts w:hint="eastAsia"/>
                <w:color w:val="auto"/>
                <w:highlight w:val="none"/>
                <w:lang w:val="zh-CN" w:eastAsia="zh-CN"/>
              </w:rPr>
            </w:pPr>
            <w:r>
              <w:rPr>
                <w:rFonts w:hint="eastAsia"/>
                <w:color w:val="auto"/>
                <w:highlight w:val="none"/>
                <w:lang w:val="zh-CN" w:eastAsia="zh-CN"/>
              </w:rPr>
              <w:t>根据国家《环境保护图形标志》（GB15562.1-1995）的规定，在污染物排放口处设置国家环保总局统一制作的环境保护图形标志牌，标志牌应设置在靠近采样点的醒目处。在废气排放源、废水排放口、固体废物贮存处置场、噪声产生点应设置环境保护图形标志，图形符号分为提示图形和警告图形符号两种，分别按GB15562.1-1995、GB15562.2-1995及其修改单执行。</w:t>
            </w:r>
          </w:p>
          <w:p w14:paraId="0E6F8EF2">
            <w:pPr>
              <w:pStyle w:val="38"/>
              <w:bidi w:val="0"/>
              <w:rPr>
                <w:rFonts w:hint="eastAsia"/>
                <w:color w:val="auto"/>
                <w:highlight w:val="none"/>
                <w:lang w:val="zh-CN" w:eastAsia="zh-CN"/>
              </w:rPr>
            </w:pPr>
            <w:r>
              <w:rPr>
                <w:rFonts w:hint="eastAsia"/>
                <w:color w:val="auto"/>
                <w:highlight w:val="none"/>
                <w:lang w:val="zh-CN" w:eastAsia="zh-CN"/>
              </w:rPr>
              <w:t>按照《固定污染源废气监测点位设置技术规范》（DB37/T 3535-2019）、《污水监测技术规范》（HJ91.1-2019）要求，环保设施应设符合规范的进、出采样口及采样孔、采样平台和爬梯。</w:t>
            </w:r>
          </w:p>
          <w:p w14:paraId="3B112597">
            <w:pPr>
              <w:pStyle w:val="38"/>
              <w:bidi w:val="0"/>
              <w:rPr>
                <w:rFonts w:hint="default"/>
                <w:color w:val="auto"/>
                <w:highlight w:val="none"/>
                <w:lang w:val="zh-CN" w:eastAsia="zh-CN"/>
              </w:rPr>
            </w:pPr>
            <w:r>
              <w:rPr>
                <w:rFonts w:hint="default"/>
                <w:color w:val="auto"/>
                <w:highlight w:val="none"/>
                <w:lang w:val="zh-CN" w:eastAsia="zh-CN"/>
              </w:rPr>
              <w:t>4、排污许可分析</w:t>
            </w:r>
          </w:p>
          <w:p w14:paraId="487C8D31">
            <w:pPr>
              <w:pStyle w:val="38"/>
              <w:bidi w:val="0"/>
              <w:rPr>
                <w:rFonts w:hint="default"/>
                <w:color w:val="auto"/>
                <w:highlight w:val="none"/>
                <w:lang w:val="zh-CN" w:eastAsia="zh-CN"/>
              </w:rPr>
            </w:pPr>
            <w:r>
              <w:rPr>
                <w:rFonts w:hint="default"/>
                <w:color w:val="auto"/>
                <w:highlight w:val="none"/>
                <w:lang w:val="zh-CN" w:eastAsia="zh-CN"/>
              </w:rPr>
              <w:t>根据《控制污染物排放许可制实施方案》（国办发[2016]81号）、《排污许可证管理暂行规定》（环水体[2016]186号）、《排污许可管理条例（国务院令第736号）》等文件，“排污单位应当依法持有排污许可证，并按照排污许可证的规定排放污染物”。</w:t>
            </w:r>
          </w:p>
          <w:p w14:paraId="72271641">
            <w:pPr>
              <w:pStyle w:val="38"/>
              <w:bidi w:val="0"/>
              <w:rPr>
                <w:rFonts w:hint="default"/>
                <w:color w:val="auto"/>
                <w:highlight w:val="none"/>
                <w:lang w:val="zh-CN" w:eastAsia="zh-CN"/>
              </w:rPr>
            </w:pPr>
            <w:r>
              <w:rPr>
                <w:rFonts w:hint="default"/>
                <w:color w:val="auto"/>
                <w:highlight w:val="none"/>
                <w:lang w:val="zh-CN" w:eastAsia="zh-CN"/>
              </w:rPr>
              <w:t>根据《控制污染物排放许可制实施方案》（国办发[2016]81号，2016年11月11日）、《关于印发&lt;排污许可证管理暂行规定&gt;的通知》（环水体[2016]186号，2016年12月23日）、《排污许可管理条例（国务院令第736号）》等文件，环境影响评价制度是建设项目的环境准入门槛，排污许可制是企事业单位生产运营期排污的法律依据，必须做好充分衔接，实现从污染预防到污染治理和排放控制的全过程监管。</w:t>
            </w:r>
          </w:p>
          <w:p w14:paraId="4861BC48">
            <w:pPr>
              <w:pStyle w:val="39"/>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表37 本项目排污许可证分类管理名录一览表</w:t>
            </w:r>
          </w:p>
          <w:tbl>
            <w:tblPr>
              <w:tblStyle w:val="29"/>
              <w:tblW w:w="499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627"/>
              <w:gridCol w:w="1751"/>
              <w:gridCol w:w="2448"/>
              <w:gridCol w:w="2205"/>
            </w:tblGrid>
            <w:tr w14:paraId="67AB1DA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013" w:type="pct"/>
                  <w:tcBorders>
                    <w:tl2br w:val="nil"/>
                    <w:tr2bl w:val="nil"/>
                  </w:tcBorders>
                  <w:noWrap w:val="0"/>
                  <w:vAlign w:val="center"/>
                </w:tcPr>
                <w:p w14:paraId="35964ADF">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项目类别</w:t>
                  </w:r>
                </w:p>
              </w:tc>
              <w:tc>
                <w:tcPr>
                  <w:tcW w:w="1090" w:type="pct"/>
                  <w:tcBorders>
                    <w:tl2br w:val="nil"/>
                    <w:tr2bl w:val="nil"/>
                  </w:tcBorders>
                  <w:noWrap w:val="0"/>
                  <w:vAlign w:val="center"/>
                </w:tcPr>
                <w:p w14:paraId="7FB9D29D">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 xml:space="preserve">重点管理 </w:t>
                  </w:r>
                </w:p>
              </w:tc>
              <w:tc>
                <w:tcPr>
                  <w:tcW w:w="1524" w:type="pct"/>
                  <w:tcBorders>
                    <w:tl2br w:val="nil"/>
                    <w:tr2bl w:val="nil"/>
                  </w:tcBorders>
                  <w:noWrap w:val="0"/>
                  <w:vAlign w:val="center"/>
                </w:tcPr>
                <w:p w14:paraId="33458208">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简化管理</w:t>
                  </w:r>
                </w:p>
              </w:tc>
              <w:tc>
                <w:tcPr>
                  <w:tcW w:w="1371" w:type="pct"/>
                  <w:tcBorders>
                    <w:tl2br w:val="nil"/>
                    <w:tr2bl w:val="nil"/>
                  </w:tcBorders>
                  <w:noWrap w:val="0"/>
                  <w:vAlign w:val="center"/>
                </w:tcPr>
                <w:p w14:paraId="772F4644">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登记管理</w:t>
                  </w:r>
                </w:p>
              </w:tc>
            </w:tr>
            <w:tr w14:paraId="18C6719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000" w:type="pct"/>
                  <w:gridSpan w:val="4"/>
                  <w:tcBorders>
                    <w:tl2br w:val="nil"/>
                    <w:tr2bl w:val="nil"/>
                  </w:tcBorders>
                  <w:noWrap w:val="0"/>
                  <w:vAlign w:val="center"/>
                </w:tcPr>
                <w:p w14:paraId="1C9F0F37">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十六、家具制造业21-</w:t>
                  </w:r>
                  <w:r>
                    <w:rPr>
                      <w:rFonts w:hint="default" w:ascii="Times New Roman" w:hAnsi="Times New Roman" w:eastAsia="宋体" w:cs="Times New Roman"/>
                      <w:color w:val="auto"/>
                      <w:sz w:val="20"/>
                      <w:szCs w:val="20"/>
                      <w:highlight w:val="none"/>
                      <w:lang w:val="en-US" w:eastAsia="zh-CN"/>
                    </w:rPr>
                    <w:t>35</w:t>
                  </w:r>
                  <w:r>
                    <w:rPr>
                      <w:rFonts w:hint="eastAsia" w:ascii="Times New Roman" w:hAnsi="Times New Roman" w:eastAsia="宋体" w:cs="Times New Roman"/>
                      <w:color w:val="auto"/>
                      <w:sz w:val="20"/>
                      <w:szCs w:val="20"/>
                      <w:highlight w:val="none"/>
                      <w:lang w:val="en-US" w:eastAsia="zh-CN"/>
                    </w:rPr>
                    <w:t>金属</w:t>
                  </w:r>
                  <w:r>
                    <w:rPr>
                      <w:rFonts w:hint="default" w:ascii="Times New Roman" w:hAnsi="Times New Roman" w:eastAsia="宋体" w:cs="Times New Roman"/>
                      <w:color w:val="auto"/>
                      <w:sz w:val="20"/>
                      <w:szCs w:val="20"/>
                      <w:highlight w:val="none"/>
                      <w:lang w:val="en-US" w:eastAsia="zh-CN"/>
                    </w:rPr>
                    <w:t>家具制造21</w:t>
                  </w:r>
                  <w:r>
                    <w:rPr>
                      <w:rFonts w:hint="eastAsia" w:ascii="Times New Roman" w:hAnsi="Times New Roman" w:eastAsia="宋体" w:cs="Times New Roman"/>
                      <w:color w:val="auto"/>
                      <w:sz w:val="20"/>
                      <w:szCs w:val="20"/>
                      <w:highlight w:val="none"/>
                      <w:lang w:val="en-US" w:eastAsia="zh-CN"/>
                    </w:rPr>
                    <w:t>3</w:t>
                  </w:r>
                </w:p>
              </w:tc>
            </w:tr>
            <w:tr w14:paraId="5A63FB5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10" w:hRule="atLeast"/>
                <w:jc w:val="center"/>
              </w:trPr>
              <w:tc>
                <w:tcPr>
                  <w:tcW w:w="1013" w:type="pct"/>
                  <w:tcBorders>
                    <w:tl2br w:val="nil"/>
                    <w:tr2bl w:val="nil"/>
                  </w:tcBorders>
                  <w:noWrap w:val="0"/>
                  <w:vAlign w:val="center"/>
                </w:tcPr>
                <w:p w14:paraId="72F1B1B6">
                  <w:pPr>
                    <w:pStyle w:val="41"/>
                    <w:jc w:val="center"/>
                    <w:rPr>
                      <w:rFonts w:hint="default"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C2130金属家具制造</w:t>
                  </w:r>
                </w:p>
              </w:tc>
              <w:tc>
                <w:tcPr>
                  <w:tcW w:w="1090" w:type="pct"/>
                  <w:tcBorders>
                    <w:tl2br w:val="nil"/>
                    <w:tr2bl w:val="nil"/>
                  </w:tcBorders>
                  <w:noWrap w:val="0"/>
                  <w:vAlign w:val="center"/>
                </w:tcPr>
                <w:p w14:paraId="11296224">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纳入重点排污单位名录的</w:t>
                  </w:r>
                </w:p>
              </w:tc>
              <w:tc>
                <w:tcPr>
                  <w:tcW w:w="1524" w:type="pct"/>
                  <w:tcBorders>
                    <w:tl2br w:val="nil"/>
                    <w:tr2bl w:val="nil"/>
                  </w:tcBorders>
                  <w:noWrap w:val="0"/>
                  <w:vAlign w:val="center"/>
                </w:tcPr>
                <w:p w14:paraId="1F39F78B">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除重点管理以外的年使用10吨及以上溶剂型涂料或者胶粘剂（含稀释剂、固化剂）的、年使用20吨及以上水性涂料或者胶粘剂的、有磷化表面处理工艺的</w:t>
                  </w:r>
                </w:p>
              </w:tc>
              <w:tc>
                <w:tcPr>
                  <w:tcW w:w="1371" w:type="pct"/>
                  <w:tcBorders>
                    <w:tl2br w:val="nil"/>
                    <w:tr2bl w:val="nil"/>
                  </w:tcBorders>
                  <w:noWrap w:val="0"/>
                  <w:vAlign w:val="center"/>
                </w:tcPr>
                <w:p w14:paraId="09D85CB6">
                  <w:pPr>
                    <w:pStyle w:val="41"/>
                    <w:jc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color w:val="auto"/>
                      <w:sz w:val="20"/>
                      <w:szCs w:val="20"/>
                      <w:highlight w:val="none"/>
                      <w:lang w:val="en-US" w:eastAsia="zh-CN"/>
                    </w:rPr>
                    <w:t>其他</w:t>
                  </w:r>
                </w:p>
              </w:tc>
            </w:tr>
          </w:tbl>
          <w:p w14:paraId="6247A1AC">
            <w:pPr>
              <w:pStyle w:val="38"/>
              <w:bidi w:val="0"/>
              <w:rPr>
                <w:rFonts w:hint="default"/>
                <w:color w:val="auto"/>
                <w:highlight w:val="none"/>
                <w:lang w:val="zh-CN" w:eastAsia="zh-CN"/>
              </w:rPr>
            </w:pPr>
            <w:r>
              <w:rPr>
                <w:rFonts w:hint="default"/>
                <w:color w:val="auto"/>
                <w:highlight w:val="none"/>
                <w:lang w:val="zh-CN" w:eastAsia="zh-CN"/>
              </w:rPr>
              <w:t>根据《固定污染源排污许可分类管理名录（2019年版）》（环办环评函【2020】9号，2020年01月06日），本项目</w:t>
            </w:r>
            <w:r>
              <w:rPr>
                <w:rFonts w:hint="eastAsia"/>
                <w:color w:val="auto"/>
                <w:highlight w:val="none"/>
                <w:lang w:val="en-US" w:eastAsia="zh-CN"/>
              </w:rPr>
              <w:t>用的封边胶不属于“含稀释剂、固化剂的胶黏剂”，则本项目</w:t>
            </w:r>
            <w:r>
              <w:rPr>
                <w:rFonts w:hint="default"/>
                <w:color w:val="auto"/>
                <w:highlight w:val="none"/>
                <w:lang w:val="zh-CN" w:eastAsia="zh-CN"/>
              </w:rPr>
              <w:t>属于</w:t>
            </w:r>
            <w:r>
              <w:rPr>
                <w:rFonts w:hint="eastAsia"/>
                <w:color w:val="auto"/>
                <w:highlight w:val="none"/>
                <w:lang w:val="zh-CN" w:eastAsia="zh-CN"/>
              </w:rPr>
              <w:t>“</w:t>
            </w:r>
            <w:r>
              <w:rPr>
                <w:rFonts w:hint="default"/>
                <w:color w:val="auto"/>
                <w:highlight w:val="none"/>
                <w:lang w:val="zh-CN" w:eastAsia="zh-CN"/>
              </w:rPr>
              <w:t>十</w:t>
            </w:r>
            <w:r>
              <w:rPr>
                <w:rFonts w:hint="eastAsia"/>
                <w:color w:val="auto"/>
                <w:highlight w:val="none"/>
                <w:lang w:val="zh-CN" w:eastAsia="zh-CN"/>
              </w:rPr>
              <w:t>六</w:t>
            </w:r>
            <w:r>
              <w:rPr>
                <w:rFonts w:hint="default"/>
                <w:color w:val="auto"/>
                <w:highlight w:val="none"/>
                <w:lang w:val="zh-CN" w:eastAsia="zh-CN"/>
              </w:rPr>
              <w:t>、家具制造业21</w:t>
            </w:r>
            <w:r>
              <w:rPr>
                <w:rFonts w:hint="eastAsia"/>
                <w:color w:val="auto"/>
                <w:highlight w:val="none"/>
                <w:lang w:val="zh-CN" w:eastAsia="zh-CN"/>
              </w:rPr>
              <w:t>”</w:t>
            </w:r>
            <w:r>
              <w:rPr>
                <w:rFonts w:hint="default"/>
                <w:color w:val="auto"/>
                <w:highlight w:val="none"/>
                <w:lang w:val="zh-CN" w:eastAsia="zh-CN"/>
              </w:rPr>
              <w:t>中</w:t>
            </w:r>
            <w:r>
              <w:rPr>
                <w:rFonts w:hint="eastAsia"/>
                <w:color w:val="auto"/>
                <w:highlight w:val="none"/>
                <w:lang w:val="zh-CN" w:eastAsia="zh-CN"/>
              </w:rPr>
              <w:t>“</w:t>
            </w:r>
            <w:r>
              <w:rPr>
                <w:rFonts w:hint="default"/>
                <w:color w:val="auto"/>
                <w:highlight w:val="none"/>
                <w:lang w:val="zh-CN" w:eastAsia="zh-CN"/>
              </w:rPr>
              <w:t>3</w:t>
            </w:r>
            <w:r>
              <w:rPr>
                <w:rFonts w:hint="eastAsia"/>
                <w:color w:val="auto"/>
                <w:highlight w:val="none"/>
                <w:lang w:val="zh-CN" w:eastAsia="zh-CN"/>
              </w:rPr>
              <w:t>5金属</w:t>
            </w:r>
            <w:r>
              <w:rPr>
                <w:rFonts w:hint="default"/>
                <w:color w:val="auto"/>
                <w:highlight w:val="none"/>
                <w:lang w:val="zh-CN" w:eastAsia="zh-CN"/>
              </w:rPr>
              <w:t>家具制造21</w:t>
            </w:r>
            <w:r>
              <w:rPr>
                <w:rFonts w:hint="eastAsia"/>
                <w:color w:val="auto"/>
                <w:highlight w:val="none"/>
                <w:lang w:val="en-US" w:eastAsia="zh-CN"/>
              </w:rPr>
              <w:t>3</w:t>
            </w:r>
            <w:r>
              <w:rPr>
                <w:rFonts w:hint="eastAsia"/>
                <w:color w:val="auto"/>
                <w:highlight w:val="none"/>
                <w:lang w:val="zh-CN" w:eastAsia="zh-CN"/>
              </w:rPr>
              <w:t>”</w:t>
            </w:r>
            <w:r>
              <w:rPr>
                <w:rFonts w:hint="default"/>
                <w:color w:val="auto"/>
                <w:highlight w:val="none"/>
                <w:lang w:val="zh-CN" w:eastAsia="zh-CN"/>
              </w:rPr>
              <w:t>的</w:t>
            </w:r>
            <w:r>
              <w:rPr>
                <w:rFonts w:hint="eastAsia"/>
                <w:color w:val="auto"/>
                <w:highlight w:val="none"/>
                <w:lang w:val="zh-CN" w:eastAsia="zh-CN"/>
              </w:rPr>
              <w:t>“</w:t>
            </w:r>
            <w:r>
              <w:rPr>
                <w:rFonts w:hint="default"/>
                <w:color w:val="auto"/>
                <w:highlight w:val="none"/>
                <w:lang w:val="zh-CN" w:eastAsia="zh-CN"/>
              </w:rPr>
              <w:t>其他</w:t>
            </w:r>
            <w:r>
              <w:rPr>
                <w:rFonts w:hint="eastAsia"/>
                <w:color w:val="auto"/>
                <w:highlight w:val="none"/>
                <w:lang w:val="zh-CN" w:eastAsia="zh-CN"/>
              </w:rPr>
              <w:t>”</w:t>
            </w:r>
            <w:r>
              <w:rPr>
                <w:rFonts w:hint="default"/>
                <w:color w:val="auto"/>
                <w:highlight w:val="none"/>
                <w:lang w:val="zh-CN" w:eastAsia="zh-CN"/>
              </w:rPr>
              <w:t>类，因此需进行登记管理。</w:t>
            </w:r>
          </w:p>
          <w:p w14:paraId="119F30EE">
            <w:pPr>
              <w:pStyle w:val="38"/>
              <w:bidi w:val="0"/>
              <w:rPr>
                <w:rFonts w:hint="default"/>
                <w:color w:val="auto"/>
                <w:highlight w:val="none"/>
                <w:lang w:val="zh-CN" w:eastAsia="zh-CN"/>
              </w:rPr>
            </w:pPr>
            <w:r>
              <w:rPr>
                <w:rFonts w:hint="default"/>
                <w:color w:val="auto"/>
                <w:highlight w:val="none"/>
                <w:lang w:val="zh-CN" w:eastAsia="zh-CN"/>
              </w:rPr>
              <w:t>5、环境管理台账</w:t>
            </w:r>
          </w:p>
          <w:p w14:paraId="5D8FFA66">
            <w:pPr>
              <w:pStyle w:val="38"/>
              <w:bidi w:val="0"/>
              <w:rPr>
                <w:rFonts w:hint="default"/>
                <w:color w:val="auto"/>
                <w:highlight w:val="none"/>
                <w:lang w:val="zh-CN" w:eastAsia="zh-CN"/>
              </w:rPr>
            </w:pPr>
            <w:r>
              <w:rPr>
                <w:rFonts w:hint="default"/>
                <w:color w:val="auto"/>
                <w:highlight w:val="none"/>
                <w:lang w:val="zh-CN" w:eastAsia="zh-CN"/>
              </w:rPr>
              <w:t>企业应按照行业排污许可管理要求制度</w:t>
            </w:r>
            <w:r>
              <w:rPr>
                <w:rFonts w:hint="eastAsia"/>
                <w:color w:val="auto"/>
                <w:highlight w:val="none"/>
                <w:lang w:val="zh-CN" w:eastAsia="zh-CN"/>
              </w:rPr>
              <w:t>管理</w:t>
            </w:r>
            <w:r>
              <w:rPr>
                <w:rFonts w:hint="default"/>
                <w:color w:val="auto"/>
                <w:highlight w:val="none"/>
                <w:lang w:val="zh-CN" w:eastAsia="zh-CN"/>
              </w:rPr>
              <w:t>台账，落实环境管理台账记录的责任部门和责任人，明确工作职责，包括台账的记录、整理、维护和管理等，并对台账记录结果的真实性、完整性和规范性负责，台账保存期限不得少于</w:t>
            </w:r>
            <w:r>
              <w:rPr>
                <w:rFonts w:hint="eastAsia"/>
                <w:color w:val="auto"/>
                <w:highlight w:val="none"/>
                <w:lang w:val="zh-CN" w:eastAsia="zh-CN"/>
              </w:rPr>
              <w:t>五</w:t>
            </w:r>
            <w:r>
              <w:rPr>
                <w:rFonts w:hint="default"/>
                <w:color w:val="auto"/>
                <w:highlight w:val="none"/>
                <w:lang w:val="zh-CN" w:eastAsia="zh-CN"/>
              </w:rPr>
              <w:t>年。</w:t>
            </w:r>
          </w:p>
          <w:p w14:paraId="0B81D6BB">
            <w:pPr>
              <w:pStyle w:val="38"/>
              <w:bidi w:val="0"/>
              <w:rPr>
                <w:rFonts w:hint="default"/>
                <w:color w:val="auto"/>
                <w:highlight w:val="none"/>
                <w:lang w:val="en-US" w:eastAsia="zh-CN"/>
              </w:rPr>
            </w:pPr>
            <w:r>
              <w:rPr>
                <w:rFonts w:hint="default"/>
                <w:color w:val="auto"/>
                <w:highlight w:val="none"/>
                <w:lang w:val="en-US" w:eastAsia="zh-CN"/>
              </w:rPr>
              <w:t>6、</w:t>
            </w:r>
            <w:bookmarkStart w:id="18" w:name="_Toc24533165"/>
            <w:bookmarkStart w:id="19" w:name="_Toc23949184"/>
            <w:r>
              <w:rPr>
                <w:rFonts w:hint="default"/>
                <w:color w:val="auto"/>
                <w:highlight w:val="none"/>
                <w:lang w:val="en-US" w:eastAsia="zh-CN"/>
              </w:rPr>
              <w:t>环保信息公开</w:t>
            </w:r>
            <w:bookmarkEnd w:id="18"/>
            <w:bookmarkEnd w:id="19"/>
          </w:p>
          <w:p w14:paraId="649065A6">
            <w:pPr>
              <w:pStyle w:val="38"/>
              <w:bidi w:val="0"/>
              <w:rPr>
                <w:rFonts w:hint="default"/>
                <w:color w:val="auto"/>
                <w:highlight w:val="none"/>
                <w:lang w:val="en-US" w:eastAsia="zh-CN"/>
              </w:rPr>
            </w:pPr>
            <w:r>
              <w:rPr>
                <w:rFonts w:hint="default"/>
                <w:color w:val="auto"/>
                <w:highlight w:val="none"/>
                <w:lang w:val="en-US" w:eastAsia="zh-CN"/>
              </w:rPr>
              <w:t>要求根据</w:t>
            </w:r>
            <w:r>
              <w:rPr>
                <w:rFonts w:hint="eastAsia"/>
                <w:color w:val="auto"/>
                <w:highlight w:val="none"/>
                <w:lang w:val="en-US" w:eastAsia="zh-CN"/>
              </w:rPr>
              <w:t>《企业环境信息依法披露管理办法》（部令第24号）</w:t>
            </w:r>
            <w:r>
              <w:rPr>
                <w:rFonts w:hint="default"/>
                <w:color w:val="auto"/>
                <w:highlight w:val="none"/>
                <w:lang w:val="en-US" w:eastAsia="zh-CN"/>
              </w:rPr>
              <w:t>，企业事业单位应当按照强制公开和自愿公开相结合的原则，及时、如实地公开其环境信息。企业事业单位应当建立健全本单位环境信息公开制度，指定机构负责本单位环境信息公开日常工作，排污单位应当公开以下信息：</w:t>
            </w:r>
          </w:p>
          <w:p w14:paraId="64599E05">
            <w:pPr>
              <w:pStyle w:val="38"/>
              <w:bidi w:val="0"/>
              <w:rPr>
                <w:rFonts w:hint="default"/>
                <w:color w:val="auto"/>
                <w:highlight w:val="none"/>
                <w:lang w:val="en-US" w:eastAsia="zh-CN"/>
              </w:rPr>
            </w:pPr>
            <w:r>
              <w:rPr>
                <w:rFonts w:hint="eastAsia"/>
                <w:color w:val="auto"/>
                <w:highlight w:val="none"/>
                <w:lang w:val="en-US" w:eastAsia="zh-CN"/>
              </w:rPr>
              <w:t>（1）</w:t>
            </w:r>
            <w:r>
              <w:rPr>
                <w:rFonts w:hint="default"/>
                <w:color w:val="auto"/>
                <w:highlight w:val="none"/>
                <w:lang w:val="en-US" w:eastAsia="zh-CN"/>
              </w:rPr>
              <w:t>基础信息，包括单位名称、组织机构代码、法定代表人、生产地址、联系方式，以及生产经营和管理服务的主要内容、产品及规模；</w:t>
            </w:r>
          </w:p>
          <w:p w14:paraId="0D4466DF">
            <w:pPr>
              <w:pStyle w:val="38"/>
              <w:bidi w:val="0"/>
              <w:rPr>
                <w:rFonts w:hint="default"/>
                <w:color w:val="auto"/>
                <w:highlight w:val="none"/>
                <w:lang w:val="en-US" w:eastAsia="zh-CN"/>
              </w:rPr>
            </w:pPr>
            <w:r>
              <w:rPr>
                <w:rFonts w:hint="eastAsia"/>
                <w:color w:val="auto"/>
                <w:highlight w:val="none"/>
                <w:lang w:val="en-US" w:eastAsia="zh-CN"/>
              </w:rPr>
              <w:t>（2）</w:t>
            </w:r>
            <w:r>
              <w:rPr>
                <w:rFonts w:hint="default"/>
                <w:color w:val="auto"/>
                <w:highlight w:val="none"/>
                <w:lang w:val="en-US" w:eastAsia="zh-CN"/>
              </w:rPr>
              <w:t>排污信息，包括主要污染物及其他污染物的名称、排放方式、排放口数量和分布情况、排放浓度和总量、超标情况，以及执行的污染物排放标准、核定的排放总量；</w:t>
            </w:r>
          </w:p>
          <w:p w14:paraId="686F9F6A">
            <w:pPr>
              <w:pStyle w:val="38"/>
              <w:bidi w:val="0"/>
              <w:rPr>
                <w:rFonts w:hint="default"/>
                <w:color w:val="auto"/>
                <w:highlight w:val="none"/>
                <w:lang w:val="en-US" w:eastAsia="zh-CN"/>
              </w:rPr>
            </w:pPr>
            <w:r>
              <w:rPr>
                <w:rFonts w:hint="eastAsia"/>
                <w:color w:val="auto"/>
                <w:highlight w:val="none"/>
                <w:lang w:val="en-US" w:eastAsia="zh-CN"/>
              </w:rPr>
              <w:t>（3）</w:t>
            </w:r>
            <w:r>
              <w:rPr>
                <w:rFonts w:hint="default"/>
                <w:color w:val="auto"/>
                <w:highlight w:val="none"/>
                <w:lang w:val="en-US" w:eastAsia="zh-CN"/>
              </w:rPr>
              <w:t>防治污染设施的建设和运行情况；</w:t>
            </w:r>
          </w:p>
          <w:p w14:paraId="0DB7E37A">
            <w:pPr>
              <w:pStyle w:val="38"/>
              <w:bidi w:val="0"/>
              <w:rPr>
                <w:rFonts w:hint="default"/>
                <w:color w:val="auto"/>
                <w:highlight w:val="none"/>
                <w:lang w:val="en-US" w:eastAsia="zh-CN"/>
              </w:rPr>
            </w:pPr>
            <w:r>
              <w:rPr>
                <w:rFonts w:hint="eastAsia"/>
                <w:color w:val="auto"/>
                <w:highlight w:val="none"/>
                <w:lang w:val="en-US" w:eastAsia="zh-CN"/>
              </w:rPr>
              <w:t>（4）</w:t>
            </w:r>
            <w:r>
              <w:rPr>
                <w:rFonts w:hint="default"/>
                <w:color w:val="auto"/>
                <w:highlight w:val="none"/>
                <w:lang w:val="en-US" w:eastAsia="zh-CN"/>
              </w:rPr>
              <w:t>建设项目环境影响评价及其他环境保护行政许可情况；</w:t>
            </w:r>
          </w:p>
          <w:p w14:paraId="7F1E9862">
            <w:pPr>
              <w:pStyle w:val="38"/>
              <w:bidi w:val="0"/>
              <w:rPr>
                <w:rFonts w:hint="default"/>
                <w:color w:val="auto"/>
                <w:highlight w:val="none"/>
                <w:lang w:val="en-US" w:eastAsia="zh-CN"/>
              </w:rPr>
            </w:pPr>
            <w:r>
              <w:rPr>
                <w:rFonts w:hint="eastAsia"/>
                <w:color w:val="auto"/>
                <w:highlight w:val="none"/>
                <w:lang w:val="en-US" w:eastAsia="zh-CN"/>
              </w:rPr>
              <w:t>（5）</w:t>
            </w:r>
            <w:r>
              <w:rPr>
                <w:rFonts w:hint="default"/>
                <w:color w:val="auto"/>
                <w:highlight w:val="none"/>
                <w:lang w:val="en-US" w:eastAsia="zh-CN"/>
              </w:rPr>
              <w:t>其他应当公开的环境信息；</w:t>
            </w:r>
          </w:p>
          <w:p w14:paraId="18F0150B">
            <w:pPr>
              <w:pStyle w:val="38"/>
              <w:bidi w:val="0"/>
              <w:rPr>
                <w:rFonts w:hint="default"/>
                <w:color w:val="auto"/>
                <w:highlight w:val="none"/>
                <w:lang w:val="en-US" w:eastAsia="zh-CN"/>
              </w:rPr>
            </w:pPr>
            <w:r>
              <w:rPr>
                <w:rFonts w:hint="default"/>
                <w:color w:val="auto"/>
                <w:highlight w:val="none"/>
                <w:lang w:val="en-US" w:eastAsia="zh-CN"/>
              </w:rPr>
              <w:t>列入国家重点监控企业名单的重点排污单位还应当公开其环境自行监测方案。</w:t>
            </w:r>
          </w:p>
          <w:p w14:paraId="3E798BE6">
            <w:pPr>
              <w:pStyle w:val="38"/>
              <w:bidi w:val="0"/>
              <w:rPr>
                <w:rFonts w:hint="default"/>
                <w:color w:val="auto"/>
                <w:highlight w:val="none"/>
                <w:lang w:val="en-US" w:eastAsia="zh-CN"/>
              </w:rPr>
            </w:pPr>
            <w:r>
              <w:rPr>
                <w:rFonts w:hint="default"/>
                <w:color w:val="auto"/>
                <w:highlight w:val="none"/>
                <w:lang w:val="en-US" w:eastAsia="zh-CN"/>
              </w:rPr>
              <w:t>建设单位应按照上述要求公开建设项目的相关信息，采取的信息公开途径可包括：</w:t>
            </w:r>
            <w:r>
              <w:rPr>
                <w:rFonts w:hint="eastAsia"/>
                <w:color w:val="auto"/>
                <w:highlight w:val="none"/>
                <w:lang w:val="en-US" w:eastAsia="zh-CN"/>
              </w:rPr>
              <w:t>①</w:t>
            </w:r>
            <w:r>
              <w:rPr>
                <w:rFonts w:hint="default"/>
                <w:color w:val="auto"/>
                <w:highlight w:val="none"/>
                <w:lang w:val="en-US" w:eastAsia="zh-CN"/>
              </w:rPr>
              <w:t>公告或者公开发行的信息专刊；</w:t>
            </w:r>
            <w:r>
              <w:rPr>
                <w:rFonts w:hint="eastAsia"/>
                <w:color w:val="auto"/>
                <w:highlight w:val="none"/>
                <w:lang w:val="en-US" w:eastAsia="zh-CN"/>
              </w:rPr>
              <w:t>②</w:t>
            </w:r>
            <w:r>
              <w:rPr>
                <w:rFonts w:hint="default"/>
                <w:color w:val="auto"/>
                <w:highlight w:val="none"/>
                <w:lang w:val="en-US" w:eastAsia="zh-CN"/>
              </w:rPr>
              <w:t>广播、电视等新闻媒体；</w:t>
            </w:r>
            <w:r>
              <w:rPr>
                <w:rFonts w:hint="eastAsia"/>
                <w:color w:val="auto"/>
                <w:highlight w:val="none"/>
                <w:lang w:val="en-US" w:eastAsia="zh-CN"/>
              </w:rPr>
              <w:t>③</w:t>
            </w:r>
            <w:r>
              <w:rPr>
                <w:rFonts w:hint="default"/>
                <w:color w:val="auto"/>
                <w:highlight w:val="none"/>
                <w:lang w:val="en-US" w:eastAsia="zh-CN"/>
              </w:rPr>
              <w:t>信息公开服务、监督热线电话；</w:t>
            </w:r>
            <w:r>
              <w:rPr>
                <w:rFonts w:hint="eastAsia"/>
                <w:color w:val="auto"/>
                <w:highlight w:val="none"/>
                <w:lang w:val="en-US" w:eastAsia="zh-CN"/>
              </w:rPr>
              <w:t>④</w:t>
            </w:r>
            <w:r>
              <w:rPr>
                <w:rFonts w:hint="default"/>
                <w:color w:val="auto"/>
                <w:highlight w:val="none"/>
                <w:lang w:val="en-US" w:eastAsia="zh-CN"/>
              </w:rPr>
              <w:t>本单位的资料索取点、信息公开栏、信息亭、电子屏幕、电子触摸屏等场所或者设施；</w:t>
            </w:r>
            <w:r>
              <w:rPr>
                <w:rFonts w:hint="eastAsia"/>
                <w:color w:val="auto"/>
                <w:highlight w:val="none"/>
                <w:lang w:val="en-US" w:eastAsia="zh-CN"/>
              </w:rPr>
              <w:t>⑤</w:t>
            </w:r>
            <w:r>
              <w:rPr>
                <w:rFonts w:hint="default"/>
                <w:color w:val="auto"/>
                <w:highlight w:val="none"/>
                <w:lang w:val="en-US" w:eastAsia="zh-CN"/>
              </w:rPr>
              <w:t>其他便于公众及时、准确获得信息的方式。</w:t>
            </w:r>
          </w:p>
          <w:p w14:paraId="7E910033">
            <w:pPr>
              <w:pStyle w:val="38"/>
              <w:bidi w:val="0"/>
              <w:rPr>
                <w:rFonts w:hint="default" w:ascii="Times New Roman" w:hAnsi="Times New Roman" w:cs="Times New Roman"/>
                <w:color w:val="auto"/>
                <w:highlight w:val="none"/>
              </w:rPr>
            </w:pPr>
          </w:p>
        </w:tc>
      </w:tr>
    </w:tbl>
    <w:p w14:paraId="2BA0DA27">
      <w:pPr>
        <w:rPr>
          <w:color w:val="auto"/>
          <w:highlight w:val="none"/>
        </w:rPr>
        <w:sectPr>
          <w:pgSz w:w="11906" w:h="16838"/>
          <w:pgMar w:top="1418" w:right="1247" w:bottom="1418" w:left="1247" w:header="851" w:footer="851" w:gutter="0"/>
          <w:pgBorders>
            <w:top w:val="none" w:sz="0" w:space="0"/>
            <w:left w:val="none" w:sz="0" w:space="0"/>
            <w:bottom w:val="none" w:sz="0" w:space="0"/>
            <w:right w:val="none" w:sz="0" w:space="0"/>
          </w:pgBorders>
          <w:cols w:space="720" w:num="1"/>
          <w:docGrid w:type="lines" w:linePitch="312" w:charSpace="0"/>
        </w:sectPr>
      </w:pPr>
    </w:p>
    <w:p w14:paraId="6D5B1CF4">
      <w:pPr>
        <w:jc w:val="center"/>
        <w:outlineLvl w:val="0"/>
        <w:rPr>
          <w:rFonts w:hint="eastAsia"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六、结论</w:t>
      </w:r>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392"/>
      </w:tblGrid>
      <w:tr w14:paraId="59AFB4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23" w:hRule="atLeast"/>
          <w:jc w:val="center"/>
        </w:trPr>
        <w:tc>
          <w:tcPr>
            <w:tcW w:w="0" w:type="auto"/>
            <w:vAlign w:val="center"/>
          </w:tcPr>
          <w:p w14:paraId="5B72AEFB">
            <w:pPr>
              <w:pStyle w:val="38"/>
              <w:ind w:firstLine="480"/>
              <w:rPr>
                <w:rFonts w:hint="eastAsia"/>
                <w:color w:val="auto"/>
                <w:sz w:val="24"/>
                <w:szCs w:val="24"/>
                <w:highlight w:val="none"/>
              </w:rPr>
            </w:pPr>
            <w:r>
              <w:rPr>
                <w:rFonts w:hint="eastAsia"/>
                <w:color w:val="auto"/>
                <w:sz w:val="24"/>
                <w:szCs w:val="24"/>
                <w:highlight w:val="none"/>
              </w:rPr>
              <w:t>综上所述，</w:t>
            </w:r>
            <w:r>
              <w:rPr>
                <w:color w:val="auto"/>
                <w:sz w:val="24"/>
                <w:szCs w:val="24"/>
                <w:highlight w:val="none"/>
              </w:rPr>
              <w:t>本项目</w:t>
            </w:r>
            <w:r>
              <w:rPr>
                <w:rFonts w:hint="eastAsia"/>
                <w:color w:val="auto"/>
                <w:sz w:val="24"/>
                <w:szCs w:val="24"/>
                <w:highlight w:val="none"/>
              </w:rPr>
              <w:t>符合国家产业政策要求，项目选址符合当地规划；严格落实本报告提出的各项污染治理措施后，</w:t>
            </w:r>
            <w:r>
              <w:rPr>
                <w:color w:val="auto"/>
                <w:sz w:val="24"/>
                <w:szCs w:val="24"/>
                <w:highlight w:val="none"/>
              </w:rPr>
              <w:t>污染物</w:t>
            </w:r>
            <w:r>
              <w:rPr>
                <w:rFonts w:hint="eastAsia"/>
                <w:color w:val="auto"/>
                <w:sz w:val="24"/>
                <w:szCs w:val="24"/>
                <w:highlight w:val="none"/>
              </w:rPr>
              <w:t>可</w:t>
            </w:r>
            <w:r>
              <w:rPr>
                <w:color w:val="auto"/>
                <w:sz w:val="24"/>
                <w:szCs w:val="24"/>
                <w:highlight w:val="none"/>
              </w:rPr>
              <w:t>达标排放</w:t>
            </w:r>
            <w:r>
              <w:rPr>
                <w:rFonts w:hint="eastAsia"/>
                <w:color w:val="auto"/>
                <w:sz w:val="24"/>
                <w:szCs w:val="24"/>
                <w:highlight w:val="none"/>
              </w:rPr>
              <w:t>，项目满足当地环境功能要求，满足淄博市分区管控要求；</w:t>
            </w:r>
            <w:r>
              <w:rPr>
                <w:color w:val="auto"/>
                <w:sz w:val="24"/>
                <w:szCs w:val="24"/>
                <w:highlight w:val="none"/>
              </w:rPr>
              <w:t>从环保角度分析</w:t>
            </w:r>
            <w:r>
              <w:rPr>
                <w:rFonts w:hint="eastAsia"/>
                <w:color w:val="auto"/>
                <w:sz w:val="24"/>
                <w:szCs w:val="24"/>
                <w:highlight w:val="none"/>
              </w:rPr>
              <w:t>，在满足总量控制要求并落实报告提出的环境保护措施后，项目选址合理、</w:t>
            </w:r>
            <w:r>
              <w:rPr>
                <w:color w:val="auto"/>
                <w:sz w:val="24"/>
                <w:szCs w:val="24"/>
                <w:highlight w:val="none"/>
              </w:rPr>
              <w:t>建设可行。</w:t>
            </w:r>
          </w:p>
        </w:tc>
      </w:tr>
    </w:tbl>
    <w:p w14:paraId="44A18470">
      <w:pPr>
        <w:rPr>
          <w:color w:val="auto"/>
          <w:highlight w:val="none"/>
        </w:rPr>
        <w:sectPr>
          <w:pgSz w:w="11906" w:h="16838"/>
          <w:pgMar w:top="1418" w:right="1247" w:bottom="1418" w:left="1247" w:header="851" w:footer="851" w:gutter="0"/>
          <w:pgBorders>
            <w:top w:val="none" w:sz="0" w:space="0"/>
            <w:left w:val="none" w:sz="0" w:space="0"/>
            <w:bottom w:val="none" w:sz="0" w:space="0"/>
            <w:right w:val="none" w:sz="0" w:space="0"/>
          </w:pgBorders>
          <w:cols w:space="720" w:num="1"/>
          <w:docGrid w:type="lines" w:linePitch="312" w:charSpace="0"/>
        </w:sectPr>
      </w:pPr>
    </w:p>
    <w:p w14:paraId="539690C6">
      <w:pPr>
        <w:pStyle w:val="25"/>
        <w:adjustRightInd w:val="0"/>
        <w:snapToGrid w:val="0"/>
        <w:spacing w:before="0" w:beforeAutospacing="0" w:after="0" w:afterAutospacing="0" w:line="360" w:lineRule="auto"/>
        <w:outlineLvl w:val="0"/>
        <w:rPr>
          <w:rFonts w:hint="default" w:ascii="Times New Roman" w:hAnsi="Times New Roman" w:eastAsia="黑体" w:cs="Times New Roman"/>
          <w:snapToGrid w:val="0"/>
          <w:color w:val="auto"/>
          <w:sz w:val="32"/>
          <w:szCs w:val="32"/>
          <w:highlight w:val="none"/>
        </w:rPr>
      </w:pPr>
      <w:r>
        <w:rPr>
          <w:rFonts w:hint="default" w:ascii="Times New Roman" w:hAnsi="Times New Roman" w:eastAsia="黑体" w:cs="Times New Roman"/>
          <w:snapToGrid w:val="0"/>
          <w:color w:val="auto"/>
          <w:sz w:val="32"/>
          <w:szCs w:val="32"/>
          <w:highlight w:val="none"/>
        </w:rPr>
        <w:t>附表</w:t>
      </w:r>
    </w:p>
    <w:p w14:paraId="4A8A61BC">
      <w:pPr>
        <w:pStyle w:val="25"/>
        <w:adjustRightInd w:val="0"/>
        <w:snapToGrid w:val="0"/>
        <w:spacing w:before="0" w:beforeAutospacing="0" w:after="0" w:afterAutospacing="0" w:line="360" w:lineRule="auto"/>
        <w:jc w:val="center"/>
        <w:outlineLvl w:val="0"/>
        <w:rPr>
          <w:rFonts w:hint="default" w:ascii="Times New Roman" w:hAnsi="Times New Roman" w:eastAsia="方正小标宋_GBK" w:cs="Times New Roman"/>
          <w:snapToGrid w:val="0"/>
          <w:color w:val="auto"/>
          <w:sz w:val="38"/>
          <w:szCs w:val="38"/>
          <w:highlight w:val="none"/>
        </w:rPr>
      </w:pPr>
      <w:r>
        <w:rPr>
          <w:rFonts w:hint="default" w:ascii="Times New Roman" w:hAnsi="Times New Roman" w:eastAsia="方正小标宋_GBK" w:cs="Times New Roman"/>
          <w:snapToGrid w:val="0"/>
          <w:color w:val="auto"/>
          <w:sz w:val="38"/>
          <w:szCs w:val="38"/>
          <w:highlight w:val="none"/>
        </w:rPr>
        <w:t>建设项目污染物排放量汇总表</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2"/>
        <w:gridCol w:w="1901"/>
        <w:gridCol w:w="1553"/>
        <w:gridCol w:w="1276"/>
        <w:gridCol w:w="1701"/>
        <w:gridCol w:w="1559"/>
        <w:gridCol w:w="1566"/>
        <w:gridCol w:w="1842"/>
        <w:gridCol w:w="1138"/>
      </w:tblGrid>
      <w:tr w14:paraId="733AF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252" w:type="dxa"/>
            <w:tcBorders>
              <w:tl2br w:val="single" w:color="auto" w:sz="4" w:space="0"/>
            </w:tcBorders>
            <w:noWrap w:val="0"/>
            <w:tcMar>
              <w:left w:w="28" w:type="dxa"/>
              <w:right w:w="28" w:type="dxa"/>
            </w:tcMar>
            <w:vAlign w:val="center"/>
          </w:tcPr>
          <w:p w14:paraId="66743DE3">
            <w:pPr>
              <w:pStyle w:val="71"/>
              <w:spacing w:beforeLines="0" w:afterLines="0" w:line="240" w:lineRule="auto"/>
              <w:jc w:val="right"/>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项目</w:t>
            </w:r>
          </w:p>
          <w:p w14:paraId="039544B1">
            <w:pPr>
              <w:pStyle w:val="71"/>
              <w:spacing w:beforeLines="0" w:afterLines="0" w:line="240" w:lineRule="auto"/>
              <w:jc w:val="left"/>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分类</w:t>
            </w:r>
          </w:p>
        </w:tc>
        <w:tc>
          <w:tcPr>
            <w:tcW w:w="1901" w:type="dxa"/>
            <w:noWrap w:val="0"/>
            <w:tcMar>
              <w:left w:w="28" w:type="dxa"/>
              <w:right w:w="28" w:type="dxa"/>
            </w:tcMar>
            <w:vAlign w:val="center"/>
          </w:tcPr>
          <w:p w14:paraId="10DAFAAA">
            <w:pPr>
              <w:pStyle w:val="71"/>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污染物名称</w:t>
            </w:r>
          </w:p>
        </w:tc>
        <w:tc>
          <w:tcPr>
            <w:tcW w:w="1553" w:type="dxa"/>
            <w:noWrap w:val="0"/>
            <w:tcMar>
              <w:left w:w="28" w:type="dxa"/>
              <w:right w:w="28" w:type="dxa"/>
            </w:tcMar>
            <w:vAlign w:val="center"/>
          </w:tcPr>
          <w:p w14:paraId="0533CCD1">
            <w:pPr>
              <w:pStyle w:val="71"/>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14:paraId="7F466F6B">
            <w:pPr>
              <w:pStyle w:val="71"/>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1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①</w:t>
            </w:r>
            <w:r>
              <w:rPr>
                <w:rFonts w:hint="default" w:ascii="Times New Roman" w:hAnsi="Times New Roman" w:eastAsia="黑体" w:cs="Times New Roman"/>
                <w:snapToGrid w:val="0"/>
                <w:color w:val="auto"/>
                <w:spacing w:val="-6"/>
                <w:kern w:val="21"/>
                <w:sz w:val="21"/>
                <w:szCs w:val="21"/>
                <w:highlight w:val="none"/>
              </w:rPr>
              <w:fldChar w:fldCharType="end"/>
            </w:r>
          </w:p>
        </w:tc>
        <w:tc>
          <w:tcPr>
            <w:tcW w:w="1276" w:type="dxa"/>
            <w:noWrap w:val="0"/>
            <w:tcMar>
              <w:left w:w="28" w:type="dxa"/>
              <w:right w:w="28" w:type="dxa"/>
            </w:tcMar>
            <w:vAlign w:val="center"/>
          </w:tcPr>
          <w:p w14:paraId="2306D2ED">
            <w:pPr>
              <w:pStyle w:val="71"/>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14:paraId="6D536D97">
            <w:pPr>
              <w:pStyle w:val="71"/>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许可排放量</w:t>
            </w:r>
          </w:p>
          <w:p w14:paraId="55391EB9">
            <w:pPr>
              <w:pStyle w:val="71"/>
              <w:spacing w:beforeLines="0" w:afterLine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2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snapToGrid w:val="0"/>
                <w:color w:val="auto"/>
                <w:spacing w:val="-6"/>
                <w:kern w:val="21"/>
                <w:sz w:val="21"/>
                <w:szCs w:val="21"/>
                <w:highlight w:val="none"/>
              </w:rPr>
              <w:t>②</w:t>
            </w:r>
            <w:r>
              <w:rPr>
                <w:rFonts w:hint="default" w:ascii="Times New Roman" w:hAnsi="Times New Roman" w:eastAsia="黑体" w:cs="Times New Roman"/>
                <w:snapToGrid w:val="0"/>
                <w:color w:val="auto"/>
                <w:spacing w:val="-6"/>
                <w:kern w:val="21"/>
                <w:sz w:val="21"/>
                <w:szCs w:val="21"/>
                <w:highlight w:val="none"/>
              </w:rPr>
              <w:fldChar w:fldCharType="end"/>
            </w:r>
          </w:p>
        </w:tc>
        <w:tc>
          <w:tcPr>
            <w:tcW w:w="1701" w:type="dxa"/>
            <w:noWrap w:val="0"/>
            <w:tcMar>
              <w:left w:w="28" w:type="dxa"/>
              <w:right w:w="28" w:type="dxa"/>
            </w:tcMar>
            <w:vAlign w:val="center"/>
          </w:tcPr>
          <w:p w14:paraId="44448BB8">
            <w:pPr>
              <w:pStyle w:val="71"/>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eastAsia" w:ascii="Times New Roman" w:hAnsi="Times New Roman" w:eastAsia="黑体" w:cs="Times New Roman"/>
                <w:snapToGrid w:val="0"/>
                <w:color w:val="auto"/>
                <w:spacing w:val="-6"/>
                <w:kern w:val="21"/>
                <w:sz w:val="21"/>
                <w:szCs w:val="21"/>
                <w:highlight w:val="none"/>
                <w:lang w:eastAsia="zh-CN"/>
              </w:rPr>
              <w:t>在建</w:t>
            </w:r>
            <w:r>
              <w:rPr>
                <w:rFonts w:hint="default" w:ascii="Times New Roman" w:hAnsi="Times New Roman" w:eastAsia="黑体" w:cs="Times New Roman"/>
                <w:snapToGrid w:val="0"/>
                <w:color w:val="auto"/>
                <w:spacing w:val="-6"/>
                <w:kern w:val="21"/>
                <w:sz w:val="21"/>
                <w:szCs w:val="21"/>
                <w:highlight w:val="none"/>
              </w:rPr>
              <w:t>工程</w:t>
            </w:r>
          </w:p>
          <w:p w14:paraId="3E5B3FA4">
            <w:pPr>
              <w:pStyle w:val="71"/>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3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③</w:t>
            </w:r>
            <w:r>
              <w:rPr>
                <w:rFonts w:hint="default" w:ascii="Times New Roman" w:hAnsi="Times New Roman" w:eastAsia="黑体" w:cs="Times New Roman"/>
                <w:snapToGrid w:val="0"/>
                <w:color w:val="auto"/>
                <w:spacing w:val="-6"/>
                <w:kern w:val="21"/>
                <w:sz w:val="21"/>
                <w:szCs w:val="21"/>
                <w:highlight w:val="none"/>
              </w:rPr>
              <w:fldChar w:fldCharType="end"/>
            </w:r>
          </w:p>
        </w:tc>
        <w:tc>
          <w:tcPr>
            <w:tcW w:w="1559" w:type="dxa"/>
            <w:noWrap w:val="0"/>
            <w:tcMar>
              <w:left w:w="28" w:type="dxa"/>
              <w:right w:w="28" w:type="dxa"/>
            </w:tcMar>
            <w:vAlign w:val="center"/>
          </w:tcPr>
          <w:p w14:paraId="69EAF00F">
            <w:pPr>
              <w:pStyle w:val="71"/>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本项目</w:t>
            </w:r>
          </w:p>
          <w:p w14:paraId="34FE4386">
            <w:pPr>
              <w:pStyle w:val="71"/>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4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④</w:t>
            </w:r>
            <w:r>
              <w:rPr>
                <w:rFonts w:hint="default" w:ascii="Times New Roman" w:hAnsi="Times New Roman" w:eastAsia="黑体" w:cs="Times New Roman"/>
                <w:snapToGrid w:val="0"/>
                <w:color w:val="auto"/>
                <w:spacing w:val="-6"/>
                <w:kern w:val="21"/>
                <w:sz w:val="21"/>
                <w:szCs w:val="21"/>
                <w:highlight w:val="none"/>
              </w:rPr>
              <w:fldChar w:fldCharType="end"/>
            </w:r>
          </w:p>
        </w:tc>
        <w:tc>
          <w:tcPr>
            <w:tcW w:w="1566" w:type="dxa"/>
            <w:noWrap w:val="0"/>
            <w:tcMar>
              <w:left w:w="28" w:type="dxa"/>
              <w:right w:w="28" w:type="dxa"/>
            </w:tcMar>
            <w:vAlign w:val="center"/>
          </w:tcPr>
          <w:p w14:paraId="5DF09633">
            <w:pPr>
              <w:pStyle w:val="71"/>
              <w:spacing w:beforeLines="0" w:afterLines="0" w:line="240" w:lineRule="auto"/>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以新带老削减量</w:t>
            </w:r>
          </w:p>
          <w:p w14:paraId="765F5883">
            <w:pPr>
              <w:pStyle w:val="71"/>
              <w:spacing w:beforeLines="0" w:afterLines="0" w:line="240" w:lineRule="auto"/>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（新建项目不填）</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5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⑤</w:t>
            </w:r>
            <w:r>
              <w:rPr>
                <w:rFonts w:hint="default" w:ascii="Times New Roman" w:hAnsi="Times New Roman" w:eastAsia="黑体" w:cs="Times New Roman"/>
                <w:snapToGrid w:val="0"/>
                <w:color w:val="auto"/>
                <w:spacing w:val="-16"/>
                <w:kern w:val="21"/>
                <w:sz w:val="21"/>
                <w:szCs w:val="21"/>
                <w:highlight w:val="none"/>
              </w:rPr>
              <w:fldChar w:fldCharType="end"/>
            </w:r>
          </w:p>
        </w:tc>
        <w:tc>
          <w:tcPr>
            <w:tcW w:w="1842" w:type="dxa"/>
            <w:noWrap w:val="0"/>
            <w:tcMar>
              <w:left w:w="28" w:type="dxa"/>
              <w:right w:w="28" w:type="dxa"/>
            </w:tcMar>
            <w:vAlign w:val="center"/>
          </w:tcPr>
          <w:p w14:paraId="5625A963">
            <w:pPr>
              <w:pStyle w:val="71"/>
              <w:spacing w:beforeLines="0" w:afterLines="0" w:line="240" w:lineRule="auto"/>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本项目建成后</w:t>
            </w:r>
          </w:p>
          <w:p w14:paraId="1EFAD93A">
            <w:pPr>
              <w:pStyle w:val="71"/>
              <w:spacing w:beforeLines="0" w:afterLines="0" w:line="240" w:lineRule="auto"/>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全厂排放量（固体废物产生量）</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6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⑥</w:t>
            </w:r>
            <w:r>
              <w:rPr>
                <w:rFonts w:hint="default" w:ascii="Times New Roman" w:hAnsi="Times New Roman" w:eastAsia="黑体" w:cs="Times New Roman"/>
                <w:snapToGrid w:val="0"/>
                <w:color w:val="auto"/>
                <w:spacing w:val="-16"/>
                <w:kern w:val="21"/>
                <w:sz w:val="21"/>
                <w:szCs w:val="21"/>
                <w:highlight w:val="none"/>
              </w:rPr>
              <w:fldChar w:fldCharType="end"/>
            </w:r>
          </w:p>
        </w:tc>
        <w:tc>
          <w:tcPr>
            <w:tcW w:w="1138" w:type="dxa"/>
            <w:noWrap w:val="0"/>
            <w:tcMar>
              <w:left w:w="28" w:type="dxa"/>
              <w:right w:w="28" w:type="dxa"/>
            </w:tcMar>
            <w:vAlign w:val="center"/>
          </w:tcPr>
          <w:p w14:paraId="63F655BC">
            <w:pPr>
              <w:pStyle w:val="71"/>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变化量</w:t>
            </w:r>
          </w:p>
          <w:p w14:paraId="3A5E50D5">
            <w:pPr>
              <w:pStyle w:val="71"/>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7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⑦</w:t>
            </w:r>
            <w:r>
              <w:rPr>
                <w:rFonts w:hint="default" w:ascii="Times New Roman" w:hAnsi="Times New Roman" w:eastAsia="黑体" w:cs="Times New Roman"/>
                <w:snapToGrid w:val="0"/>
                <w:color w:val="auto"/>
                <w:spacing w:val="-6"/>
                <w:kern w:val="21"/>
                <w:sz w:val="21"/>
                <w:szCs w:val="21"/>
                <w:highlight w:val="none"/>
              </w:rPr>
              <w:fldChar w:fldCharType="end"/>
            </w:r>
          </w:p>
        </w:tc>
      </w:tr>
      <w:tr w14:paraId="64025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2" w:type="dxa"/>
            <w:vMerge w:val="restart"/>
            <w:noWrap w:val="0"/>
            <w:vAlign w:val="center"/>
          </w:tcPr>
          <w:p w14:paraId="225570B5">
            <w:pPr>
              <w:pStyle w:val="71"/>
              <w:spacing w:beforeLines="0" w:afterLines="0" w:line="240" w:lineRule="auto"/>
              <w:rPr>
                <w:rFonts w:hint="eastAsia" w:ascii="黑体" w:hAnsi="黑体" w:eastAsia="黑体" w:cs="黑体"/>
                <w:snapToGrid w:val="0"/>
                <w:color w:val="auto"/>
                <w:kern w:val="21"/>
                <w:sz w:val="21"/>
                <w:szCs w:val="21"/>
                <w:highlight w:val="none"/>
              </w:rPr>
            </w:pPr>
            <w:r>
              <w:rPr>
                <w:rFonts w:hint="eastAsia" w:ascii="黑体" w:hAnsi="黑体" w:eastAsia="黑体" w:cs="黑体"/>
                <w:snapToGrid w:val="0"/>
                <w:color w:val="auto"/>
                <w:kern w:val="21"/>
                <w:sz w:val="21"/>
                <w:szCs w:val="21"/>
                <w:highlight w:val="none"/>
              </w:rPr>
              <w:t>废气</w:t>
            </w:r>
          </w:p>
        </w:tc>
        <w:tc>
          <w:tcPr>
            <w:tcW w:w="1901" w:type="dxa"/>
            <w:shd w:val="clear" w:color="auto" w:fill="auto"/>
            <w:noWrap w:val="0"/>
            <w:vAlign w:val="center"/>
          </w:tcPr>
          <w:p w14:paraId="3CD08037">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VOCs</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pacing w:val="-20"/>
                <w:sz w:val="21"/>
                <w:szCs w:val="21"/>
                <w:highlight w:val="none"/>
              </w:rPr>
              <w:t>t/a</w:t>
            </w:r>
            <w:r>
              <w:rPr>
                <w:rFonts w:hint="default" w:ascii="Times New Roman" w:hAnsi="Times New Roman" w:eastAsia="宋体" w:cs="Times New Roman"/>
                <w:color w:val="auto"/>
                <w:sz w:val="21"/>
                <w:szCs w:val="21"/>
                <w:highlight w:val="none"/>
              </w:rPr>
              <w:t>）</w:t>
            </w:r>
          </w:p>
        </w:tc>
        <w:tc>
          <w:tcPr>
            <w:tcW w:w="1553" w:type="dxa"/>
            <w:shd w:val="clear" w:color="auto" w:fill="auto"/>
            <w:noWrap w:val="0"/>
            <w:vAlign w:val="center"/>
          </w:tcPr>
          <w:p w14:paraId="7B0D1599">
            <w:pPr>
              <w:autoSpaceDE w:val="0"/>
              <w:autoSpaceDN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276" w:type="dxa"/>
            <w:shd w:val="clear" w:color="auto" w:fill="auto"/>
            <w:noWrap w:val="0"/>
            <w:vAlign w:val="center"/>
          </w:tcPr>
          <w:p w14:paraId="1A55AC26">
            <w:pPr>
              <w:widowControl/>
              <w:tabs>
                <w:tab w:val="left" w:pos="1680"/>
              </w:tabs>
              <w:spacing w:line="24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701" w:type="dxa"/>
            <w:shd w:val="clear" w:color="auto" w:fill="auto"/>
            <w:noWrap w:val="0"/>
            <w:vAlign w:val="center"/>
          </w:tcPr>
          <w:p w14:paraId="27018ABE">
            <w:pPr>
              <w:autoSpaceDE w:val="0"/>
              <w:autoSpaceDN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559" w:type="dxa"/>
            <w:shd w:val="clear" w:color="auto" w:fill="auto"/>
            <w:noWrap w:val="0"/>
            <w:vAlign w:val="center"/>
          </w:tcPr>
          <w:p w14:paraId="377DBCAD">
            <w:pPr>
              <w:autoSpaceDE w:val="0"/>
              <w:autoSpaceDN w:val="0"/>
              <w:jc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0.0042</w:t>
            </w:r>
          </w:p>
        </w:tc>
        <w:tc>
          <w:tcPr>
            <w:tcW w:w="1566" w:type="dxa"/>
            <w:shd w:val="clear" w:color="auto" w:fill="auto"/>
            <w:noWrap w:val="0"/>
            <w:vAlign w:val="center"/>
          </w:tcPr>
          <w:p w14:paraId="2A8BC8C9">
            <w:pPr>
              <w:widowControl/>
              <w:tabs>
                <w:tab w:val="left" w:pos="1680"/>
              </w:tabs>
              <w:spacing w:line="24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842" w:type="dxa"/>
            <w:shd w:val="clear" w:color="auto" w:fill="auto"/>
            <w:noWrap w:val="0"/>
            <w:vAlign w:val="center"/>
          </w:tcPr>
          <w:p w14:paraId="4DB59898">
            <w:pPr>
              <w:autoSpaceDE w:val="0"/>
              <w:autoSpaceDN w:val="0"/>
              <w:jc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Cs w:val="21"/>
                <w:highlight w:val="none"/>
                <w:lang w:val="en-US" w:eastAsia="zh-CN" w:bidi="ar"/>
              </w:rPr>
              <w:t>0.0042</w:t>
            </w:r>
          </w:p>
        </w:tc>
        <w:tc>
          <w:tcPr>
            <w:tcW w:w="1138" w:type="dxa"/>
            <w:shd w:val="clear" w:color="auto" w:fill="auto"/>
            <w:noWrap w:val="0"/>
            <w:vAlign w:val="center"/>
          </w:tcPr>
          <w:p w14:paraId="743DBE37">
            <w:pPr>
              <w:autoSpaceDE w:val="0"/>
              <w:autoSpaceDN w:val="0"/>
              <w:jc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Cs w:val="21"/>
                <w:highlight w:val="none"/>
                <w:lang w:val="en-US" w:eastAsia="zh-CN" w:bidi="ar"/>
              </w:rPr>
              <w:t>+0.0042</w:t>
            </w:r>
          </w:p>
        </w:tc>
      </w:tr>
      <w:tr w14:paraId="4B6D8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252" w:type="dxa"/>
            <w:vMerge w:val="continue"/>
            <w:noWrap w:val="0"/>
            <w:vAlign w:val="center"/>
          </w:tcPr>
          <w:p w14:paraId="01B32305">
            <w:pPr>
              <w:pStyle w:val="71"/>
              <w:spacing w:beforeLines="0" w:afterLines="0" w:line="240" w:lineRule="auto"/>
              <w:rPr>
                <w:rFonts w:hint="eastAsia" w:ascii="黑体" w:hAnsi="黑体" w:eastAsia="黑体" w:cs="黑体"/>
                <w:snapToGrid w:val="0"/>
                <w:color w:val="auto"/>
                <w:kern w:val="21"/>
                <w:sz w:val="21"/>
                <w:szCs w:val="21"/>
                <w:highlight w:val="none"/>
              </w:rPr>
            </w:pPr>
          </w:p>
        </w:tc>
        <w:tc>
          <w:tcPr>
            <w:tcW w:w="1901" w:type="dxa"/>
            <w:shd w:val="clear" w:color="auto" w:fill="auto"/>
            <w:noWrap w:val="0"/>
            <w:vAlign w:val="center"/>
          </w:tcPr>
          <w:p w14:paraId="097C7361">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color w:val="auto"/>
                <w:szCs w:val="21"/>
                <w:highlight w:val="none"/>
                <w:lang w:val="en-US" w:eastAsia="zh-CN"/>
              </w:rPr>
              <w:t>颗粒物</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pacing w:val="-20"/>
                <w:sz w:val="21"/>
                <w:szCs w:val="21"/>
                <w:highlight w:val="none"/>
              </w:rPr>
              <w:t>t/a</w:t>
            </w:r>
            <w:r>
              <w:rPr>
                <w:rFonts w:hint="default" w:ascii="Times New Roman" w:hAnsi="Times New Roman" w:eastAsia="宋体" w:cs="Times New Roman"/>
                <w:color w:val="auto"/>
                <w:sz w:val="21"/>
                <w:szCs w:val="21"/>
                <w:highlight w:val="none"/>
              </w:rPr>
              <w:t>）</w:t>
            </w:r>
          </w:p>
        </w:tc>
        <w:tc>
          <w:tcPr>
            <w:tcW w:w="1553" w:type="dxa"/>
            <w:shd w:val="clear" w:color="auto" w:fill="auto"/>
            <w:noWrap w:val="0"/>
            <w:vAlign w:val="center"/>
          </w:tcPr>
          <w:p w14:paraId="78B38E3D">
            <w:pPr>
              <w:autoSpaceDE w:val="0"/>
              <w:autoSpaceDN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276" w:type="dxa"/>
            <w:shd w:val="clear" w:color="auto" w:fill="auto"/>
            <w:noWrap w:val="0"/>
            <w:vAlign w:val="center"/>
          </w:tcPr>
          <w:p w14:paraId="554769A0">
            <w:pPr>
              <w:widowControl/>
              <w:tabs>
                <w:tab w:val="left" w:pos="1680"/>
              </w:tabs>
              <w:spacing w:line="24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701" w:type="dxa"/>
            <w:shd w:val="clear" w:color="auto" w:fill="auto"/>
            <w:noWrap w:val="0"/>
            <w:vAlign w:val="center"/>
          </w:tcPr>
          <w:p w14:paraId="13A13A79">
            <w:pPr>
              <w:autoSpaceDE w:val="0"/>
              <w:autoSpaceDN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559" w:type="dxa"/>
            <w:shd w:val="clear" w:color="auto" w:fill="auto"/>
            <w:noWrap w:val="0"/>
            <w:vAlign w:val="center"/>
          </w:tcPr>
          <w:p w14:paraId="502BE47A">
            <w:pPr>
              <w:autoSpaceDE w:val="0"/>
              <w:autoSpaceDN w:val="0"/>
              <w:jc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0.0037</w:t>
            </w:r>
          </w:p>
        </w:tc>
        <w:tc>
          <w:tcPr>
            <w:tcW w:w="1566" w:type="dxa"/>
            <w:shd w:val="clear" w:color="auto" w:fill="auto"/>
            <w:noWrap w:val="0"/>
            <w:vAlign w:val="center"/>
          </w:tcPr>
          <w:p w14:paraId="1E278245">
            <w:pPr>
              <w:autoSpaceDE w:val="0"/>
              <w:autoSpaceDN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842" w:type="dxa"/>
            <w:shd w:val="clear" w:color="auto" w:fill="auto"/>
            <w:noWrap w:val="0"/>
            <w:vAlign w:val="center"/>
          </w:tcPr>
          <w:p w14:paraId="456154C8">
            <w:pPr>
              <w:autoSpaceDE w:val="0"/>
              <w:autoSpaceDN w:val="0"/>
              <w:jc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Cs w:val="21"/>
                <w:highlight w:val="none"/>
                <w:lang w:val="en-US" w:eastAsia="zh-CN" w:bidi="ar"/>
              </w:rPr>
              <w:t>0.0037</w:t>
            </w:r>
          </w:p>
        </w:tc>
        <w:tc>
          <w:tcPr>
            <w:tcW w:w="1138" w:type="dxa"/>
            <w:shd w:val="clear" w:color="auto" w:fill="auto"/>
            <w:noWrap w:val="0"/>
            <w:vAlign w:val="center"/>
          </w:tcPr>
          <w:p w14:paraId="6BB30D3D">
            <w:pPr>
              <w:autoSpaceDE w:val="0"/>
              <w:autoSpaceDN w:val="0"/>
              <w:jc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Cs w:val="21"/>
                <w:highlight w:val="none"/>
                <w:lang w:val="en-US" w:eastAsia="zh-CN" w:bidi="ar"/>
              </w:rPr>
              <w:t>+0.0037</w:t>
            </w:r>
          </w:p>
        </w:tc>
      </w:tr>
      <w:tr w14:paraId="6677A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2" w:type="dxa"/>
            <w:vMerge w:val="restart"/>
            <w:noWrap w:val="0"/>
            <w:vAlign w:val="center"/>
          </w:tcPr>
          <w:p w14:paraId="4B8E785F">
            <w:pPr>
              <w:pStyle w:val="71"/>
              <w:spacing w:before="24" w:after="24" w:line="240" w:lineRule="auto"/>
              <w:rPr>
                <w:rFonts w:hint="eastAsia" w:ascii="黑体" w:hAnsi="黑体" w:eastAsia="黑体" w:cs="黑体"/>
                <w:snapToGrid w:val="0"/>
                <w:color w:val="auto"/>
                <w:kern w:val="21"/>
                <w:sz w:val="21"/>
                <w:szCs w:val="21"/>
                <w:highlight w:val="none"/>
              </w:rPr>
            </w:pPr>
            <w:r>
              <w:rPr>
                <w:rFonts w:hint="eastAsia" w:ascii="黑体" w:hAnsi="黑体" w:eastAsia="黑体" w:cs="黑体"/>
                <w:snapToGrid w:val="0"/>
                <w:color w:val="auto"/>
                <w:kern w:val="21"/>
                <w:sz w:val="21"/>
                <w:szCs w:val="21"/>
                <w:highlight w:val="none"/>
              </w:rPr>
              <w:t>废水</w:t>
            </w:r>
          </w:p>
        </w:tc>
        <w:tc>
          <w:tcPr>
            <w:tcW w:w="1901" w:type="dxa"/>
            <w:noWrap w:val="0"/>
            <w:vAlign w:val="center"/>
          </w:tcPr>
          <w:p w14:paraId="317C83E3">
            <w:pPr>
              <w:pStyle w:val="71"/>
              <w:spacing w:beforeLines="0" w:afterLines="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废水总量</w:t>
            </w:r>
          </w:p>
          <w:p w14:paraId="7CEBE69F">
            <w:pPr>
              <w:pStyle w:val="71"/>
              <w:spacing w:beforeLines="0" w:afterLines="0" w:line="240" w:lineRule="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color w:val="auto"/>
                <w:sz w:val="21"/>
                <w:szCs w:val="21"/>
                <w:highlight w:val="none"/>
              </w:rPr>
              <w:t>（万</w:t>
            </w:r>
            <w:r>
              <w:rPr>
                <w:rFonts w:hint="default" w:ascii="Times New Roman" w:hAnsi="Times New Roman" w:eastAsia="宋体" w:cs="Times New Roman"/>
                <w:color w:val="auto"/>
                <w:spacing w:val="-20"/>
                <w:sz w:val="21"/>
                <w:szCs w:val="21"/>
                <w:highlight w:val="none"/>
              </w:rPr>
              <w:t>m</w:t>
            </w:r>
            <w:r>
              <w:rPr>
                <w:rFonts w:hint="default" w:ascii="Times New Roman" w:hAnsi="Times New Roman" w:eastAsia="宋体" w:cs="Times New Roman"/>
                <w:color w:val="auto"/>
                <w:spacing w:val="-20"/>
                <w:sz w:val="21"/>
                <w:szCs w:val="21"/>
                <w:highlight w:val="none"/>
                <w:vertAlign w:val="superscript"/>
              </w:rPr>
              <w:t>3</w:t>
            </w:r>
            <w:r>
              <w:rPr>
                <w:rFonts w:hint="default" w:ascii="Times New Roman" w:hAnsi="Times New Roman" w:eastAsia="宋体" w:cs="Times New Roman"/>
                <w:color w:val="auto"/>
                <w:spacing w:val="-20"/>
                <w:sz w:val="21"/>
                <w:szCs w:val="21"/>
                <w:highlight w:val="none"/>
              </w:rPr>
              <w:t>/a</w:t>
            </w:r>
            <w:r>
              <w:rPr>
                <w:rFonts w:hint="default" w:ascii="Times New Roman" w:hAnsi="Times New Roman" w:eastAsia="宋体" w:cs="Times New Roman"/>
                <w:color w:val="auto"/>
                <w:sz w:val="21"/>
                <w:szCs w:val="21"/>
                <w:highlight w:val="none"/>
              </w:rPr>
              <w:t>）</w:t>
            </w:r>
          </w:p>
        </w:tc>
        <w:tc>
          <w:tcPr>
            <w:tcW w:w="1553" w:type="dxa"/>
            <w:noWrap w:val="0"/>
            <w:vAlign w:val="center"/>
          </w:tcPr>
          <w:p w14:paraId="29281C86">
            <w:pPr>
              <w:autoSpaceDE w:val="0"/>
              <w:autoSpaceDN w:val="0"/>
              <w:jc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276" w:type="dxa"/>
            <w:noWrap w:val="0"/>
            <w:vAlign w:val="center"/>
          </w:tcPr>
          <w:p w14:paraId="00370088">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701" w:type="dxa"/>
            <w:noWrap w:val="0"/>
            <w:vAlign w:val="center"/>
          </w:tcPr>
          <w:p w14:paraId="233754C4">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559" w:type="dxa"/>
            <w:noWrap w:val="0"/>
            <w:vAlign w:val="center"/>
          </w:tcPr>
          <w:p w14:paraId="3C5160F2">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566" w:type="dxa"/>
            <w:noWrap w:val="0"/>
            <w:vAlign w:val="center"/>
          </w:tcPr>
          <w:p w14:paraId="6E456A63">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842" w:type="dxa"/>
            <w:noWrap w:val="0"/>
            <w:vAlign w:val="center"/>
          </w:tcPr>
          <w:p w14:paraId="36C1E59D">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138" w:type="dxa"/>
            <w:noWrap w:val="0"/>
            <w:vAlign w:val="center"/>
          </w:tcPr>
          <w:p w14:paraId="465250D1">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r>
      <w:tr w14:paraId="27F85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2" w:type="dxa"/>
            <w:vMerge w:val="continue"/>
            <w:noWrap w:val="0"/>
            <w:vAlign w:val="center"/>
          </w:tcPr>
          <w:p w14:paraId="04E47C46">
            <w:pPr>
              <w:pStyle w:val="71"/>
              <w:spacing w:beforeLines="0" w:afterLines="0" w:line="240" w:lineRule="auto"/>
              <w:rPr>
                <w:rFonts w:hint="eastAsia" w:ascii="黑体" w:hAnsi="黑体" w:eastAsia="黑体" w:cs="黑体"/>
                <w:snapToGrid w:val="0"/>
                <w:color w:val="auto"/>
                <w:kern w:val="21"/>
                <w:sz w:val="21"/>
                <w:szCs w:val="21"/>
                <w:highlight w:val="none"/>
              </w:rPr>
            </w:pPr>
          </w:p>
        </w:tc>
        <w:tc>
          <w:tcPr>
            <w:tcW w:w="1901" w:type="dxa"/>
            <w:noWrap w:val="0"/>
            <w:vAlign w:val="center"/>
          </w:tcPr>
          <w:p w14:paraId="2F5233D6">
            <w:pPr>
              <w:pStyle w:val="71"/>
              <w:spacing w:beforeLines="0" w:afterLines="0" w:line="240" w:lineRule="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color w:val="auto"/>
                <w:sz w:val="21"/>
                <w:szCs w:val="21"/>
                <w:highlight w:val="none"/>
              </w:rPr>
              <w:t>COD（</w:t>
            </w:r>
            <w:r>
              <w:rPr>
                <w:rFonts w:hint="default" w:ascii="Times New Roman" w:hAnsi="Times New Roman" w:eastAsia="宋体" w:cs="Times New Roman"/>
                <w:color w:val="auto"/>
                <w:spacing w:val="-20"/>
                <w:sz w:val="21"/>
                <w:szCs w:val="21"/>
                <w:highlight w:val="none"/>
              </w:rPr>
              <w:t>t/a</w:t>
            </w:r>
            <w:r>
              <w:rPr>
                <w:rFonts w:hint="default" w:ascii="Times New Roman" w:hAnsi="Times New Roman" w:eastAsia="宋体" w:cs="Times New Roman"/>
                <w:color w:val="auto"/>
                <w:sz w:val="21"/>
                <w:szCs w:val="21"/>
                <w:highlight w:val="none"/>
              </w:rPr>
              <w:t>）</w:t>
            </w:r>
          </w:p>
        </w:tc>
        <w:tc>
          <w:tcPr>
            <w:tcW w:w="1553" w:type="dxa"/>
            <w:noWrap w:val="0"/>
            <w:vAlign w:val="center"/>
          </w:tcPr>
          <w:p w14:paraId="28256944">
            <w:pPr>
              <w:autoSpaceDE w:val="0"/>
              <w:autoSpaceDN w:val="0"/>
              <w:jc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276" w:type="dxa"/>
            <w:noWrap w:val="0"/>
            <w:vAlign w:val="center"/>
          </w:tcPr>
          <w:p w14:paraId="4C8ACD75">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701" w:type="dxa"/>
            <w:noWrap w:val="0"/>
            <w:vAlign w:val="center"/>
          </w:tcPr>
          <w:p w14:paraId="72D3CD2C">
            <w:pPr>
              <w:jc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559" w:type="dxa"/>
            <w:noWrap w:val="0"/>
            <w:vAlign w:val="center"/>
          </w:tcPr>
          <w:p w14:paraId="570A2965">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566" w:type="dxa"/>
            <w:noWrap w:val="0"/>
            <w:vAlign w:val="center"/>
          </w:tcPr>
          <w:p w14:paraId="24CDB9AF">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842" w:type="dxa"/>
            <w:noWrap w:val="0"/>
            <w:vAlign w:val="center"/>
          </w:tcPr>
          <w:p w14:paraId="410C9A79">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138" w:type="dxa"/>
            <w:noWrap w:val="0"/>
            <w:vAlign w:val="center"/>
          </w:tcPr>
          <w:p w14:paraId="175171C9">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r>
      <w:tr w14:paraId="27E13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2" w:type="dxa"/>
            <w:vMerge w:val="continue"/>
            <w:noWrap w:val="0"/>
            <w:vAlign w:val="center"/>
          </w:tcPr>
          <w:p w14:paraId="04CDFA2C">
            <w:pPr>
              <w:pStyle w:val="71"/>
              <w:spacing w:beforeLines="0" w:afterLines="0" w:line="240" w:lineRule="auto"/>
              <w:rPr>
                <w:rFonts w:hint="eastAsia" w:ascii="黑体" w:hAnsi="黑体" w:eastAsia="黑体" w:cs="黑体"/>
                <w:snapToGrid w:val="0"/>
                <w:color w:val="auto"/>
                <w:kern w:val="21"/>
                <w:sz w:val="21"/>
                <w:szCs w:val="21"/>
                <w:highlight w:val="none"/>
              </w:rPr>
            </w:pPr>
          </w:p>
        </w:tc>
        <w:tc>
          <w:tcPr>
            <w:tcW w:w="1901" w:type="dxa"/>
            <w:noWrap w:val="0"/>
            <w:vAlign w:val="center"/>
          </w:tcPr>
          <w:p w14:paraId="29906A32">
            <w:pPr>
              <w:pStyle w:val="71"/>
              <w:spacing w:beforeLines="0" w:afterLines="0" w:line="240" w:lineRule="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color w:val="auto"/>
                <w:sz w:val="21"/>
                <w:szCs w:val="21"/>
                <w:highlight w:val="none"/>
              </w:rPr>
              <w:t>氨氮（</w:t>
            </w:r>
            <w:r>
              <w:rPr>
                <w:rFonts w:hint="default" w:ascii="Times New Roman" w:hAnsi="Times New Roman" w:eastAsia="宋体" w:cs="Times New Roman"/>
                <w:color w:val="auto"/>
                <w:spacing w:val="-20"/>
                <w:sz w:val="21"/>
                <w:szCs w:val="21"/>
                <w:highlight w:val="none"/>
              </w:rPr>
              <w:t>t/a</w:t>
            </w:r>
            <w:r>
              <w:rPr>
                <w:rFonts w:hint="default" w:ascii="Times New Roman" w:hAnsi="Times New Roman" w:eastAsia="宋体" w:cs="Times New Roman"/>
                <w:color w:val="auto"/>
                <w:sz w:val="21"/>
                <w:szCs w:val="21"/>
                <w:highlight w:val="none"/>
              </w:rPr>
              <w:t>）</w:t>
            </w:r>
          </w:p>
        </w:tc>
        <w:tc>
          <w:tcPr>
            <w:tcW w:w="1553" w:type="dxa"/>
            <w:noWrap w:val="0"/>
            <w:vAlign w:val="center"/>
          </w:tcPr>
          <w:p w14:paraId="7A8E9791">
            <w:pPr>
              <w:autoSpaceDE w:val="0"/>
              <w:autoSpaceDN w:val="0"/>
              <w:jc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276" w:type="dxa"/>
            <w:noWrap w:val="0"/>
            <w:vAlign w:val="center"/>
          </w:tcPr>
          <w:p w14:paraId="1AEF19C2">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701" w:type="dxa"/>
            <w:noWrap w:val="0"/>
            <w:vAlign w:val="center"/>
          </w:tcPr>
          <w:p w14:paraId="1990E9C7">
            <w:pPr>
              <w:jc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559" w:type="dxa"/>
            <w:noWrap w:val="0"/>
            <w:vAlign w:val="center"/>
          </w:tcPr>
          <w:p w14:paraId="00F42EAF">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566" w:type="dxa"/>
            <w:noWrap w:val="0"/>
            <w:vAlign w:val="center"/>
          </w:tcPr>
          <w:p w14:paraId="7C61FCC6">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842" w:type="dxa"/>
            <w:noWrap w:val="0"/>
            <w:vAlign w:val="center"/>
          </w:tcPr>
          <w:p w14:paraId="7EAF6C0B">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138" w:type="dxa"/>
            <w:noWrap w:val="0"/>
            <w:vAlign w:val="center"/>
          </w:tcPr>
          <w:p w14:paraId="356C7BF7">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r>
      <w:tr w14:paraId="600E7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2" w:type="dxa"/>
            <w:vMerge w:val="restart"/>
            <w:noWrap w:val="0"/>
            <w:vAlign w:val="center"/>
          </w:tcPr>
          <w:p w14:paraId="687C3717">
            <w:pPr>
              <w:pStyle w:val="71"/>
              <w:spacing w:beforeLines="0" w:afterLines="0" w:line="240" w:lineRule="auto"/>
              <w:rPr>
                <w:rFonts w:hint="eastAsia" w:ascii="黑体" w:hAnsi="黑体" w:eastAsia="黑体" w:cs="黑体"/>
                <w:snapToGrid w:val="0"/>
                <w:color w:val="auto"/>
                <w:kern w:val="21"/>
                <w:sz w:val="21"/>
                <w:szCs w:val="21"/>
                <w:highlight w:val="none"/>
              </w:rPr>
            </w:pPr>
            <w:r>
              <w:rPr>
                <w:rFonts w:hint="eastAsia" w:ascii="黑体" w:hAnsi="黑体" w:eastAsia="黑体" w:cs="黑体"/>
                <w:snapToGrid w:val="0"/>
                <w:color w:val="auto"/>
                <w:kern w:val="21"/>
                <w:sz w:val="21"/>
                <w:szCs w:val="21"/>
                <w:highlight w:val="none"/>
              </w:rPr>
              <w:t>一般工业</w:t>
            </w:r>
          </w:p>
          <w:p w14:paraId="0172B6AD">
            <w:pPr>
              <w:pStyle w:val="71"/>
              <w:spacing w:before="24" w:after="24" w:line="240" w:lineRule="auto"/>
              <w:rPr>
                <w:rFonts w:hint="eastAsia" w:ascii="黑体" w:hAnsi="黑体" w:eastAsia="黑体" w:cs="黑体"/>
                <w:snapToGrid w:val="0"/>
                <w:color w:val="auto"/>
                <w:kern w:val="21"/>
                <w:sz w:val="21"/>
                <w:szCs w:val="21"/>
                <w:highlight w:val="none"/>
              </w:rPr>
            </w:pPr>
            <w:r>
              <w:rPr>
                <w:rFonts w:hint="eastAsia" w:ascii="黑体" w:hAnsi="黑体" w:eastAsia="黑体" w:cs="黑体"/>
                <w:snapToGrid w:val="0"/>
                <w:color w:val="auto"/>
                <w:kern w:val="21"/>
                <w:sz w:val="21"/>
                <w:szCs w:val="21"/>
                <w:highlight w:val="none"/>
              </w:rPr>
              <w:t>固体废物（单位：t/a）</w:t>
            </w:r>
          </w:p>
        </w:tc>
        <w:tc>
          <w:tcPr>
            <w:tcW w:w="1901" w:type="dxa"/>
            <w:noWrap w:val="0"/>
            <w:vAlign w:val="center"/>
          </w:tcPr>
          <w:p w14:paraId="4B376D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生活垃圾S1</w:t>
            </w:r>
          </w:p>
        </w:tc>
        <w:tc>
          <w:tcPr>
            <w:tcW w:w="1553" w:type="dxa"/>
            <w:noWrap w:val="0"/>
            <w:vAlign w:val="center"/>
          </w:tcPr>
          <w:p w14:paraId="30CA171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1276" w:type="dxa"/>
            <w:noWrap w:val="0"/>
            <w:vAlign w:val="center"/>
          </w:tcPr>
          <w:p w14:paraId="4A1DED8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bidi="ar"/>
              </w:rPr>
              <w:t>—</w:t>
            </w:r>
          </w:p>
        </w:tc>
        <w:tc>
          <w:tcPr>
            <w:tcW w:w="1701" w:type="dxa"/>
            <w:noWrap w:val="0"/>
            <w:vAlign w:val="center"/>
          </w:tcPr>
          <w:p w14:paraId="5A4E4B8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bidi="ar"/>
              </w:rPr>
              <w:t>—</w:t>
            </w:r>
          </w:p>
        </w:tc>
        <w:tc>
          <w:tcPr>
            <w:tcW w:w="1559" w:type="dxa"/>
            <w:noWrap w:val="0"/>
            <w:vAlign w:val="center"/>
          </w:tcPr>
          <w:p w14:paraId="779B852E">
            <w:pPr>
              <w:pStyle w:val="41"/>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0"/>
                <w:szCs w:val="20"/>
                <w:highlight w:val="none"/>
                <w:lang w:val="en-US" w:eastAsia="zh-CN"/>
              </w:rPr>
              <w:t>1.8</w:t>
            </w:r>
          </w:p>
        </w:tc>
        <w:tc>
          <w:tcPr>
            <w:tcW w:w="1566" w:type="dxa"/>
            <w:noWrap w:val="0"/>
            <w:vAlign w:val="center"/>
          </w:tcPr>
          <w:p w14:paraId="02F3D46D">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bidi="ar"/>
              </w:rPr>
              <w:t>—</w:t>
            </w:r>
          </w:p>
        </w:tc>
        <w:tc>
          <w:tcPr>
            <w:tcW w:w="1842" w:type="dxa"/>
            <w:noWrap w:val="0"/>
            <w:vAlign w:val="center"/>
          </w:tcPr>
          <w:p w14:paraId="7F66CCC3">
            <w:pPr>
              <w:pStyle w:val="41"/>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0"/>
                <w:szCs w:val="20"/>
                <w:highlight w:val="none"/>
                <w:lang w:val="en-US" w:eastAsia="zh-CN"/>
              </w:rPr>
              <w:t>1.8</w:t>
            </w:r>
          </w:p>
        </w:tc>
        <w:tc>
          <w:tcPr>
            <w:tcW w:w="1138" w:type="dxa"/>
            <w:noWrap w:val="0"/>
            <w:vAlign w:val="center"/>
          </w:tcPr>
          <w:p w14:paraId="6A910E08">
            <w:pPr>
              <w:pStyle w:val="41"/>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0"/>
                <w:szCs w:val="20"/>
                <w:highlight w:val="none"/>
                <w:lang w:val="en-US" w:eastAsia="zh-CN"/>
              </w:rPr>
              <w:t>+1.8</w:t>
            </w:r>
          </w:p>
        </w:tc>
      </w:tr>
      <w:tr w14:paraId="52CC1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2" w:type="dxa"/>
            <w:vMerge w:val="continue"/>
            <w:noWrap w:val="0"/>
            <w:vAlign w:val="center"/>
          </w:tcPr>
          <w:p w14:paraId="76E0F619">
            <w:pPr>
              <w:pStyle w:val="71"/>
              <w:spacing w:before="24" w:after="24" w:line="240" w:lineRule="auto"/>
              <w:rPr>
                <w:rFonts w:hint="eastAsia" w:ascii="黑体" w:hAnsi="黑体" w:eastAsia="黑体" w:cs="黑体"/>
                <w:snapToGrid w:val="0"/>
                <w:color w:val="auto"/>
                <w:kern w:val="21"/>
                <w:sz w:val="21"/>
                <w:szCs w:val="21"/>
                <w:highlight w:val="none"/>
              </w:rPr>
            </w:pPr>
          </w:p>
        </w:tc>
        <w:tc>
          <w:tcPr>
            <w:tcW w:w="1901" w:type="dxa"/>
            <w:noWrap w:val="0"/>
            <w:vAlign w:val="center"/>
          </w:tcPr>
          <w:p w14:paraId="3DA270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废下脚料S2</w:t>
            </w:r>
          </w:p>
        </w:tc>
        <w:tc>
          <w:tcPr>
            <w:tcW w:w="1553" w:type="dxa"/>
            <w:noWrap w:val="0"/>
            <w:vAlign w:val="center"/>
          </w:tcPr>
          <w:p w14:paraId="658104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1276" w:type="dxa"/>
            <w:noWrap w:val="0"/>
            <w:vAlign w:val="center"/>
          </w:tcPr>
          <w:p w14:paraId="375A963A">
            <w:pPr>
              <w:widowControl/>
              <w:tabs>
                <w:tab w:val="left" w:pos="1680"/>
              </w:tabs>
              <w:spacing w:line="24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701" w:type="dxa"/>
            <w:noWrap w:val="0"/>
            <w:vAlign w:val="center"/>
          </w:tcPr>
          <w:p w14:paraId="41F69D58">
            <w:pPr>
              <w:widowControl/>
              <w:tabs>
                <w:tab w:val="left" w:pos="1680"/>
              </w:tabs>
              <w:spacing w:line="24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559" w:type="dxa"/>
            <w:noWrap w:val="0"/>
            <w:vAlign w:val="center"/>
          </w:tcPr>
          <w:p w14:paraId="72DF3F12">
            <w:pPr>
              <w:pStyle w:val="41"/>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0"/>
                <w:szCs w:val="20"/>
                <w:highlight w:val="none"/>
                <w:lang w:val="en-US" w:eastAsia="zh-CN"/>
              </w:rPr>
              <w:t>1</w:t>
            </w:r>
            <w:r>
              <w:rPr>
                <w:rFonts w:hint="eastAsia" w:ascii="Times New Roman" w:hAnsi="Times New Roman" w:eastAsia="宋体" w:cs="Times New Roman"/>
                <w:color w:val="auto"/>
                <w:sz w:val="20"/>
                <w:szCs w:val="20"/>
                <w:highlight w:val="none"/>
                <w:lang w:val="en-US" w:eastAsia="zh-CN"/>
              </w:rPr>
              <w:t>.3</w:t>
            </w:r>
          </w:p>
        </w:tc>
        <w:tc>
          <w:tcPr>
            <w:tcW w:w="1566" w:type="dxa"/>
            <w:noWrap w:val="0"/>
            <w:vAlign w:val="center"/>
          </w:tcPr>
          <w:p w14:paraId="18B6B010">
            <w:pPr>
              <w:widowControl/>
              <w:tabs>
                <w:tab w:val="left" w:pos="1680"/>
              </w:tabs>
              <w:spacing w:line="24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842" w:type="dxa"/>
            <w:noWrap w:val="0"/>
            <w:vAlign w:val="center"/>
          </w:tcPr>
          <w:p w14:paraId="2395EF72">
            <w:pPr>
              <w:pStyle w:val="41"/>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0"/>
                <w:szCs w:val="20"/>
                <w:highlight w:val="none"/>
                <w:lang w:val="en-US" w:eastAsia="zh-CN"/>
              </w:rPr>
              <w:t>1</w:t>
            </w:r>
            <w:r>
              <w:rPr>
                <w:rFonts w:hint="eastAsia" w:ascii="Times New Roman" w:hAnsi="Times New Roman" w:eastAsia="宋体" w:cs="Times New Roman"/>
                <w:color w:val="auto"/>
                <w:sz w:val="20"/>
                <w:szCs w:val="20"/>
                <w:highlight w:val="none"/>
                <w:lang w:val="en-US" w:eastAsia="zh-CN"/>
              </w:rPr>
              <w:t>.3</w:t>
            </w:r>
          </w:p>
        </w:tc>
        <w:tc>
          <w:tcPr>
            <w:tcW w:w="1138" w:type="dxa"/>
            <w:noWrap w:val="0"/>
            <w:vAlign w:val="center"/>
          </w:tcPr>
          <w:p w14:paraId="14E39AB1">
            <w:pPr>
              <w:pStyle w:val="41"/>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0"/>
                <w:szCs w:val="20"/>
                <w:highlight w:val="none"/>
                <w:lang w:val="en-US" w:eastAsia="zh-CN"/>
              </w:rPr>
              <w:t>+1</w:t>
            </w:r>
            <w:r>
              <w:rPr>
                <w:rFonts w:hint="eastAsia" w:ascii="Times New Roman" w:hAnsi="Times New Roman" w:eastAsia="宋体" w:cs="Times New Roman"/>
                <w:color w:val="auto"/>
                <w:sz w:val="20"/>
                <w:szCs w:val="20"/>
                <w:highlight w:val="none"/>
                <w:lang w:val="en-US" w:eastAsia="zh-CN"/>
              </w:rPr>
              <w:t>.3</w:t>
            </w:r>
          </w:p>
        </w:tc>
      </w:tr>
      <w:tr w14:paraId="3BBB2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2" w:type="dxa"/>
            <w:vMerge w:val="continue"/>
            <w:noWrap w:val="0"/>
            <w:vAlign w:val="center"/>
          </w:tcPr>
          <w:p w14:paraId="3E64E276">
            <w:pPr>
              <w:pStyle w:val="71"/>
              <w:spacing w:before="24" w:after="24" w:line="240" w:lineRule="auto"/>
              <w:rPr>
                <w:rFonts w:hint="eastAsia" w:ascii="黑体" w:hAnsi="黑体" w:eastAsia="黑体" w:cs="黑体"/>
                <w:snapToGrid w:val="0"/>
                <w:color w:val="auto"/>
                <w:kern w:val="21"/>
                <w:sz w:val="21"/>
                <w:szCs w:val="21"/>
                <w:highlight w:val="none"/>
              </w:rPr>
            </w:pPr>
          </w:p>
        </w:tc>
        <w:tc>
          <w:tcPr>
            <w:tcW w:w="1901" w:type="dxa"/>
            <w:noWrap w:val="0"/>
            <w:vAlign w:val="center"/>
          </w:tcPr>
          <w:p w14:paraId="2926B6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废布袋S3</w:t>
            </w:r>
          </w:p>
        </w:tc>
        <w:tc>
          <w:tcPr>
            <w:tcW w:w="1553" w:type="dxa"/>
            <w:shd w:val="clear" w:color="auto" w:fill="auto"/>
            <w:noWrap w:val="0"/>
            <w:vAlign w:val="center"/>
          </w:tcPr>
          <w:p w14:paraId="41DEB7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1276" w:type="dxa"/>
            <w:shd w:val="clear" w:color="auto" w:fill="auto"/>
            <w:noWrap w:val="0"/>
            <w:vAlign w:val="center"/>
          </w:tcPr>
          <w:p w14:paraId="67CD5006">
            <w:pPr>
              <w:widowControl/>
              <w:tabs>
                <w:tab w:val="left" w:pos="1680"/>
              </w:tabs>
              <w:spacing w:line="24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701" w:type="dxa"/>
            <w:shd w:val="clear" w:color="auto" w:fill="auto"/>
            <w:noWrap w:val="0"/>
            <w:vAlign w:val="center"/>
          </w:tcPr>
          <w:p w14:paraId="4415EDD0">
            <w:pPr>
              <w:widowControl/>
              <w:tabs>
                <w:tab w:val="left" w:pos="1680"/>
              </w:tabs>
              <w:spacing w:line="24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559" w:type="dxa"/>
            <w:shd w:val="clear" w:color="auto" w:fill="auto"/>
            <w:noWrap w:val="0"/>
            <w:vAlign w:val="center"/>
          </w:tcPr>
          <w:p w14:paraId="2A4E6F6B">
            <w:pPr>
              <w:pStyle w:val="41"/>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0"/>
                <w:szCs w:val="20"/>
                <w:highlight w:val="none"/>
                <w:lang w:val="en-US" w:eastAsia="zh-CN"/>
              </w:rPr>
              <w:t>0.005</w:t>
            </w:r>
          </w:p>
        </w:tc>
        <w:tc>
          <w:tcPr>
            <w:tcW w:w="1566" w:type="dxa"/>
            <w:shd w:val="clear" w:color="auto" w:fill="auto"/>
            <w:noWrap w:val="0"/>
            <w:vAlign w:val="center"/>
          </w:tcPr>
          <w:p w14:paraId="508AF475">
            <w:pPr>
              <w:widowControl/>
              <w:tabs>
                <w:tab w:val="left" w:pos="1680"/>
              </w:tabs>
              <w:spacing w:line="24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842" w:type="dxa"/>
            <w:shd w:val="clear" w:color="auto" w:fill="auto"/>
            <w:noWrap w:val="0"/>
            <w:vAlign w:val="center"/>
          </w:tcPr>
          <w:p w14:paraId="2499A270">
            <w:pPr>
              <w:pStyle w:val="41"/>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0"/>
                <w:szCs w:val="20"/>
                <w:highlight w:val="none"/>
                <w:lang w:val="en-US" w:eastAsia="zh-CN"/>
              </w:rPr>
              <w:t>0.005</w:t>
            </w:r>
          </w:p>
        </w:tc>
        <w:tc>
          <w:tcPr>
            <w:tcW w:w="1138" w:type="dxa"/>
            <w:shd w:val="clear" w:color="auto" w:fill="auto"/>
            <w:noWrap w:val="0"/>
            <w:vAlign w:val="center"/>
          </w:tcPr>
          <w:p w14:paraId="338BC25C">
            <w:pPr>
              <w:pStyle w:val="41"/>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0"/>
                <w:szCs w:val="20"/>
                <w:highlight w:val="none"/>
                <w:lang w:val="en-US" w:eastAsia="zh-CN"/>
              </w:rPr>
              <w:t>+0.005</w:t>
            </w:r>
          </w:p>
        </w:tc>
      </w:tr>
      <w:tr w14:paraId="74EFF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2" w:type="dxa"/>
            <w:vMerge w:val="continue"/>
            <w:noWrap w:val="0"/>
            <w:vAlign w:val="center"/>
          </w:tcPr>
          <w:p w14:paraId="6D0C01AA">
            <w:pPr>
              <w:pStyle w:val="71"/>
              <w:spacing w:before="24" w:after="24" w:line="240" w:lineRule="auto"/>
              <w:rPr>
                <w:rFonts w:hint="eastAsia" w:ascii="黑体" w:hAnsi="黑体" w:eastAsia="黑体" w:cs="黑体"/>
                <w:snapToGrid w:val="0"/>
                <w:color w:val="auto"/>
                <w:kern w:val="21"/>
                <w:sz w:val="21"/>
                <w:szCs w:val="21"/>
                <w:highlight w:val="none"/>
              </w:rPr>
            </w:pPr>
          </w:p>
        </w:tc>
        <w:tc>
          <w:tcPr>
            <w:tcW w:w="1901" w:type="dxa"/>
            <w:noWrap w:val="0"/>
            <w:vAlign w:val="center"/>
          </w:tcPr>
          <w:p w14:paraId="46F4AA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除尘器集尘S4</w:t>
            </w:r>
          </w:p>
        </w:tc>
        <w:tc>
          <w:tcPr>
            <w:tcW w:w="1553" w:type="dxa"/>
            <w:noWrap w:val="0"/>
            <w:vAlign w:val="center"/>
          </w:tcPr>
          <w:p w14:paraId="0412BD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1276" w:type="dxa"/>
            <w:noWrap w:val="0"/>
            <w:vAlign w:val="center"/>
          </w:tcPr>
          <w:p w14:paraId="657DE638">
            <w:pPr>
              <w:widowControl/>
              <w:tabs>
                <w:tab w:val="left" w:pos="1680"/>
              </w:tabs>
              <w:spacing w:line="24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701" w:type="dxa"/>
            <w:noWrap w:val="0"/>
            <w:vAlign w:val="center"/>
          </w:tcPr>
          <w:p w14:paraId="5099375C">
            <w:pPr>
              <w:widowControl/>
              <w:tabs>
                <w:tab w:val="left" w:pos="1680"/>
              </w:tabs>
              <w:spacing w:line="24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559" w:type="dxa"/>
            <w:noWrap w:val="0"/>
            <w:vAlign w:val="center"/>
          </w:tcPr>
          <w:p w14:paraId="0561B842">
            <w:pPr>
              <w:pStyle w:val="41"/>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sz w:val="20"/>
                <w:szCs w:val="20"/>
                <w:highlight w:val="none"/>
                <w:lang w:val="en-US" w:eastAsia="zh-CN"/>
              </w:rPr>
              <w:t>0.0</w:t>
            </w:r>
            <w:r>
              <w:rPr>
                <w:rFonts w:hint="eastAsia" w:ascii="Times New Roman" w:hAnsi="Times New Roman" w:cs="Times New Roman"/>
                <w:color w:val="auto"/>
                <w:sz w:val="20"/>
                <w:szCs w:val="20"/>
                <w:highlight w:val="none"/>
                <w:lang w:val="en-US" w:eastAsia="zh-CN"/>
              </w:rPr>
              <w:t>12</w:t>
            </w:r>
          </w:p>
        </w:tc>
        <w:tc>
          <w:tcPr>
            <w:tcW w:w="1566" w:type="dxa"/>
            <w:noWrap w:val="0"/>
            <w:vAlign w:val="center"/>
          </w:tcPr>
          <w:p w14:paraId="62FA049C">
            <w:pPr>
              <w:widowControl/>
              <w:tabs>
                <w:tab w:val="left" w:pos="1680"/>
              </w:tabs>
              <w:spacing w:line="24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842" w:type="dxa"/>
            <w:noWrap w:val="0"/>
            <w:vAlign w:val="center"/>
          </w:tcPr>
          <w:p w14:paraId="338EB9A6">
            <w:pPr>
              <w:pStyle w:val="41"/>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0"/>
                <w:szCs w:val="20"/>
                <w:highlight w:val="none"/>
                <w:lang w:val="en-US" w:eastAsia="zh-CN"/>
              </w:rPr>
              <w:t>0.0</w:t>
            </w:r>
            <w:r>
              <w:rPr>
                <w:rFonts w:hint="eastAsia" w:ascii="Times New Roman" w:hAnsi="Times New Roman" w:cs="Times New Roman"/>
                <w:color w:val="auto"/>
                <w:sz w:val="20"/>
                <w:szCs w:val="20"/>
                <w:highlight w:val="none"/>
                <w:lang w:val="en-US" w:eastAsia="zh-CN"/>
              </w:rPr>
              <w:t>12</w:t>
            </w:r>
          </w:p>
        </w:tc>
        <w:tc>
          <w:tcPr>
            <w:tcW w:w="1138" w:type="dxa"/>
            <w:noWrap w:val="0"/>
            <w:vAlign w:val="center"/>
          </w:tcPr>
          <w:p w14:paraId="00755EC5">
            <w:pPr>
              <w:pStyle w:val="41"/>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sz w:val="20"/>
                <w:szCs w:val="20"/>
                <w:highlight w:val="none"/>
                <w:lang w:val="en-US" w:eastAsia="zh-CN"/>
              </w:rPr>
              <w:t>+0.0</w:t>
            </w:r>
            <w:r>
              <w:rPr>
                <w:rFonts w:hint="eastAsia" w:ascii="Times New Roman" w:hAnsi="Times New Roman" w:cs="Times New Roman"/>
                <w:color w:val="auto"/>
                <w:sz w:val="20"/>
                <w:szCs w:val="20"/>
                <w:highlight w:val="none"/>
                <w:lang w:val="en-US" w:eastAsia="zh-CN"/>
              </w:rPr>
              <w:t>12</w:t>
            </w:r>
          </w:p>
        </w:tc>
      </w:tr>
      <w:tr w14:paraId="78326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2" w:type="dxa"/>
            <w:vMerge w:val="continue"/>
            <w:noWrap w:val="0"/>
            <w:vAlign w:val="center"/>
          </w:tcPr>
          <w:p w14:paraId="3D73855B">
            <w:pPr>
              <w:pStyle w:val="71"/>
              <w:spacing w:before="24" w:after="24" w:line="240" w:lineRule="auto"/>
              <w:rPr>
                <w:rFonts w:hint="eastAsia" w:ascii="黑体" w:hAnsi="黑体" w:eastAsia="黑体" w:cs="黑体"/>
                <w:snapToGrid w:val="0"/>
                <w:color w:val="auto"/>
                <w:kern w:val="21"/>
                <w:sz w:val="21"/>
                <w:szCs w:val="21"/>
                <w:highlight w:val="none"/>
              </w:rPr>
            </w:pPr>
          </w:p>
        </w:tc>
        <w:tc>
          <w:tcPr>
            <w:tcW w:w="1901" w:type="dxa"/>
            <w:noWrap w:val="0"/>
            <w:vAlign w:val="center"/>
          </w:tcPr>
          <w:p w14:paraId="3E59EFD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焊渣S5</w:t>
            </w:r>
          </w:p>
        </w:tc>
        <w:tc>
          <w:tcPr>
            <w:tcW w:w="1553" w:type="dxa"/>
            <w:noWrap w:val="0"/>
            <w:vAlign w:val="center"/>
          </w:tcPr>
          <w:p w14:paraId="682241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1276" w:type="dxa"/>
            <w:noWrap w:val="0"/>
            <w:vAlign w:val="center"/>
          </w:tcPr>
          <w:p w14:paraId="596E8A5B">
            <w:pPr>
              <w:widowControl/>
              <w:tabs>
                <w:tab w:val="left" w:pos="1680"/>
              </w:tabs>
              <w:spacing w:line="24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701" w:type="dxa"/>
            <w:noWrap w:val="0"/>
            <w:vAlign w:val="center"/>
          </w:tcPr>
          <w:p w14:paraId="6433BFEF">
            <w:pPr>
              <w:widowControl/>
              <w:tabs>
                <w:tab w:val="left" w:pos="1680"/>
              </w:tabs>
              <w:spacing w:line="24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559" w:type="dxa"/>
            <w:noWrap w:val="0"/>
            <w:vAlign w:val="center"/>
          </w:tcPr>
          <w:p w14:paraId="7FEE0B63">
            <w:pPr>
              <w:pStyle w:val="41"/>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color w:val="auto"/>
                <w:sz w:val="20"/>
                <w:szCs w:val="20"/>
                <w:highlight w:val="none"/>
                <w:lang w:val="en-US" w:eastAsia="zh-CN"/>
              </w:rPr>
              <w:t>0.005</w:t>
            </w:r>
          </w:p>
        </w:tc>
        <w:tc>
          <w:tcPr>
            <w:tcW w:w="1566" w:type="dxa"/>
            <w:noWrap w:val="0"/>
            <w:vAlign w:val="center"/>
          </w:tcPr>
          <w:p w14:paraId="62A52050">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842" w:type="dxa"/>
            <w:noWrap w:val="0"/>
            <w:vAlign w:val="center"/>
          </w:tcPr>
          <w:p w14:paraId="76B21CDD">
            <w:pPr>
              <w:pStyle w:val="41"/>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color w:val="auto"/>
                <w:sz w:val="20"/>
                <w:szCs w:val="20"/>
                <w:highlight w:val="none"/>
                <w:lang w:val="en-US" w:eastAsia="zh-CN"/>
              </w:rPr>
              <w:t>0.005</w:t>
            </w:r>
          </w:p>
        </w:tc>
        <w:tc>
          <w:tcPr>
            <w:tcW w:w="1138" w:type="dxa"/>
            <w:noWrap w:val="0"/>
            <w:vAlign w:val="center"/>
          </w:tcPr>
          <w:p w14:paraId="437B903A">
            <w:pPr>
              <w:pStyle w:val="41"/>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color w:val="auto"/>
                <w:sz w:val="20"/>
                <w:szCs w:val="20"/>
                <w:highlight w:val="none"/>
                <w:lang w:val="en-US" w:eastAsia="zh-CN"/>
              </w:rPr>
              <w:t>+0.005</w:t>
            </w:r>
          </w:p>
        </w:tc>
      </w:tr>
      <w:tr w14:paraId="1794A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2" w:type="dxa"/>
            <w:vMerge w:val="continue"/>
            <w:noWrap w:val="0"/>
            <w:vAlign w:val="center"/>
          </w:tcPr>
          <w:p w14:paraId="34AFCA61">
            <w:pPr>
              <w:pStyle w:val="71"/>
              <w:spacing w:before="24" w:after="24" w:line="240" w:lineRule="auto"/>
              <w:rPr>
                <w:rFonts w:hint="eastAsia" w:ascii="黑体" w:hAnsi="黑体" w:eastAsia="黑体" w:cs="黑体"/>
                <w:snapToGrid w:val="0"/>
                <w:color w:val="auto"/>
                <w:kern w:val="21"/>
                <w:sz w:val="21"/>
                <w:szCs w:val="21"/>
                <w:highlight w:val="none"/>
              </w:rPr>
            </w:pPr>
          </w:p>
        </w:tc>
        <w:tc>
          <w:tcPr>
            <w:tcW w:w="1901" w:type="dxa"/>
            <w:noWrap w:val="0"/>
            <w:vAlign w:val="center"/>
          </w:tcPr>
          <w:p w14:paraId="2E322F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废包装材料S6</w:t>
            </w:r>
          </w:p>
        </w:tc>
        <w:tc>
          <w:tcPr>
            <w:tcW w:w="1553" w:type="dxa"/>
            <w:noWrap w:val="0"/>
            <w:vAlign w:val="center"/>
          </w:tcPr>
          <w:p w14:paraId="53D80E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1276" w:type="dxa"/>
            <w:noWrap w:val="0"/>
            <w:vAlign w:val="center"/>
          </w:tcPr>
          <w:p w14:paraId="724D7CB7">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b w:val="0"/>
                <w:bCs w:val="0"/>
                <w:color w:val="auto"/>
                <w:sz w:val="21"/>
                <w:szCs w:val="21"/>
                <w:highlight w:val="none"/>
                <w:lang w:val="en-US" w:eastAsia="zh-CN"/>
              </w:rPr>
              <w:t>—</w:t>
            </w:r>
          </w:p>
        </w:tc>
        <w:tc>
          <w:tcPr>
            <w:tcW w:w="1701" w:type="dxa"/>
            <w:noWrap w:val="0"/>
            <w:vAlign w:val="center"/>
          </w:tcPr>
          <w:p w14:paraId="019F4BA7">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b w:val="0"/>
                <w:bCs w:val="0"/>
                <w:color w:val="auto"/>
                <w:sz w:val="21"/>
                <w:szCs w:val="21"/>
                <w:highlight w:val="none"/>
                <w:lang w:val="en-US" w:eastAsia="zh-CN"/>
              </w:rPr>
              <w:t>—</w:t>
            </w:r>
          </w:p>
        </w:tc>
        <w:tc>
          <w:tcPr>
            <w:tcW w:w="1559" w:type="dxa"/>
            <w:noWrap w:val="0"/>
            <w:vAlign w:val="center"/>
          </w:tcPr>
          <w:p w14:paraId="13E9BE49">
            <w:pPr>
              <w:pStyle w:val="41"/>
              <w:jc w:val="center"/>
              <w:rPr>
                <w:rFonts w:hint="eastAsia"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 w:val="20"/>
                <w:szCs w:val="20"/>
                <w:highlight w:val="none"/>
                <w:lang w:val="en-US" w:eastAsia="zh-CN"/>
              </w:rPr>
              <w:t>0.05</w:t>
            </w:r>
          </w:p>
        </w:tc>
        <w:tc>
          <w:tcPr>
            <w:tcW w:w="1566" w:type="dxa"/>
            <w:noWrap w:val="0"/>
            <w:vAlign w:val="center"/>
          </w:tcPr>
          <w:p w14:paraId="0B38373C">
            <w:pPr>
              <w:widowControl/>
              <w:tabs>
                <w:tab w:val="left" w:pos="1680"/>
              </w:tabs>
              <w:spacing w:line="240" w:lineRule="exact"/>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b w:val="0"/>
                <w:bCs w:val="0"/>
                <w:color w:val="auto"/>
                <w:sz w:val="21"/>
                <w:szCs w:val="21"/>
                <w:highlight w:val="none"/>
                <w:lang w:val="en-US" w:eastAsia="zh-CN"/>
              </w:rPr>
              <w:t>—</w:t>
            </w:r>
          </w:p>
        </w:tc>
        <w:tc>
          <w:tcPr>
            <w:tcW w:w="1842" w:type="dxa"/>
            <w:noWrap w:val="0"/>
            <w:vAlign w:val="center"/>
          </w:tcPr>
          <w:p w14:paraId="53700A5D">
            <w:pPr>
              <w:pStyle w:val="41"/>
              <w:jc w:val="center"/>
              <w:rPr>
                <w:rFonts w:hint="eastAsia"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 w:val="20"/>
                <w:szCs w:val="20"/>
                <w:highlight w:val="none"/>
                <w:lang w:val="en-US" w:eastAsia="zh-CN"/>
              </w:rPr>
              <w:t>0.05</w:t>
            </w:r>
          </w:p>
        </w:tc>
        <w:tc>
          <w:tcPr>
            <w:tcW w:w="1138" w:type="dxa"/>
            <w:noWrap w:val="0"/>
            <w:vAlign w:val="center"/>
          </w:tcPr>
          <w:p w14:paraId="6354ADFF">
            <w:pPr>
              <w:pStyle w:val="41"/>
              <w:jc w:val="center"/>
              <w:rPr>
                <w:rFonts w:hint="eastAsia"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 w:val="20"/>
                <w:szCs w:val="20"/>
                <w:highlight w:val="none"/>
                <w:lang w:val="en-US" w:eastAsia="zh-CN"/>
              </w:rPr>
              <w:t>+0.05</w:t>
            </w:r>
          </w:p>
        </w:tc>
      </w:tr>
      <w:tr w14:paraId="41B10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2" w:type="dxa"/>
            <w:vMerge w:val="restart"/>
            <w:tcBorders>
              <w:top w:val="single" w:color="auto" w:sz="4" w:space="0"/>
              <w:left w:val="single" w:color="auto" w:sz="4" w:space="0"/>
              <w:right w:val="single" w:color="auto" w:sz="4" w:space="0"/>
            </w:tcBorders>
            <w:noWrap w:val="0"/>
            <w:vAlign w:val="center"/>
          </w:tcPr>
          <w:p w14:paraId="5582EE4F">
            <w:pPr>
              <w:pStyle w:val="71"/>
              <w:spacing w:beforeLines="0" w:afterLines="0" w:line="240" w:lineRule="auto"/>
              <w:rPr>
                <w:rFonts w:hint="default" w:ascii="Times New Roman" w:hAnsi="Times New Roman" w:eastAsia="宋体" w:cs="Times New Roman"/>
                <w:snapToGrid w:val="0"/>
                <w:color w:val="auto"/>
                <w:kern w:val="21"/>
                <w:sz w:val="21"/>
                <w:szCs w:val="21"/>
                <w:highlight w:val="none"/>
              </w:rPr>
            </w:pPr>
            <w:r>
              <w:rPr>
                <w:rFonts w:hint="eastAsia" w:ascii="黑体" w:hAnsi="黑体" w:eastAsia="黑体" w:cs="黑体"/>
                <w:snapToGrid w:val="0"/>
                <w:color w:val="auto"/>
                <w:kern w:val="21"/>
                <w:sz w:val="21"/>
                <w:szCs w:val="21"/>
                <w:highlight w:val="none"/>
              </w:rPr>
              <w:t>危险废物（单位：t/a）</w:t>
            </w:r>
          </w:p>
        </w:tc>
        <w:tc>
          <w:tcPr>
            <w:tcW w:w="1901" w:type="dxa"/>
            <w:tcBorders>
              <w:top w:val="single" w:color="auto" w:sz="4" w:space="0"/>
              <w:left w:val="single" w:color="auto" w:sz="4" w:space="0"/>
              <w:bottom w:val="single" w:color="000000" w:sz="4" w:space="0"/>
              <w:right w:val="single" w:color="auto" w:sz="4" w:space="0"/>
            </w:tcBorders>
            <w:noWrap w:val="0"/>
            <w:vAlign w:val="center"/>
          </w:tcPr>
          <w:p w14:paraId="08DDB7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olor w:val="auto"/>
                <w:kern w:val="0"/>
                <w:sz w:val="21"/>
                <w:szCs w:val="21"/>
                <w:highlight w:val="none"/>
                <w:lang w:val="en-US" w:eastAsia="zh-CN" w:bidi="ar"/>
              </w:rPr>
            </w:pPr>
            <w:r>
              <w:rPr>
                <w:rFonts w:hint="eastAsia" w:eastAsia="宋体"/>
                <w:color w:val="auto"/>
                <w:kern w:val="0"/>
                <w:sz w:val="21"/>
                <w:szCs w:val="21"/>
                <w:highlight w:val="none"/>
                <w:lang w:val="en-US" w:eastAsia="zh-CN" w:bidi="ar"/>
              </w:rPr>
              <w:t>废矿物油</w:t>
            </w:r>
            <w:r>
              <w:rPr>
                <w:rFonts w:hint="eastAsia" w:ascii="Times New Roman" w:hAnsi="Times New Roman" w:eastAsia="宋体"/>
                <w:color w:val="auto"/>
                <w:kern w:val="0"/>
                <w:sz w:val="21"/>
                <w:szCs w:val="21"/>
                <w:highlight w:val="none"/>
                <w:lang w:val="en-US" w:eastAsia="zh-CN" w:bidi="ar"/>
              </w:rPr>
              <w:t>S</w:t>
            </w:r>
            <w:r>
              <w:rPr>
                <w:rFonts w:hint="eastAsia"/>
                <w:color w:val="auto"/>
                <w:kern w:val="0"/>
                <w:sz w:val="21"/>
                <w:szCs w:val="21"/>
                <w:highlight w:val="none"/>
                <w:lang w:val="en-US" w:eastAsia="zh-CN" w:bidi="ar"/>
              </w:rPr>
              <w:t>7</w:t>
            </w:r>
          </w:p>
        </w:tc>
        <w:tc>
          <w:tcPr>
            <w:tcW w:w="1553" w:type="dxa"/>
            <w:tcBorders>
              <w:top w:val="single" w:color="auto" w:sz="4" w:space="0"/>
              <w:left w:val="single" w:color="auto" w:sz="4" w:space="0"/>
              <w:bottom w:val="single" w:color="000000" w:sz="4" w:space="0"/>
              <w:right w:val="single" w:color="auto" w:sz="4" w:space="0"/>
            </w:tcBorders>
            <w:noWrap w:val="0"/>
            <w:vAlign w:val="center"/>
          </w:tcPr>
          <w:p w14:paraId="7B488B93">
            <w:pPr>
              <w:spacing w:beforeLines="0" w:afterLines="0" w:line="240" w:lineRule="auto"/>
              <w:jc w:val="center"/>
              <w:rPr>
                <w:rFonts w:hint="default" w:ascii="Times New Roman" w:hAnsi="Times New Roman" w:eastAsia="宋体"/>
                <w:color w:val="auto"/>
                <w:kern w:val="0"/>
                <w:sz w:val="21"/>
                <w:szCs w:val="21"/>
                <w:highlight w:val="none"/>
                <w:lang w:val="en-US" w:eastAsia="en-US" w:bidi="ar-SA"/>
              </w:rPr>
            </w:pPr>
            <w:r>
              <w:rPr>
                <w:rFonts w:hint="default" w:ascii="Times New Roman" w:hAnsi="Times New Roman" w:eastAsia="宋体" w:cs="Times New Roman"/>
                <w:color w:val="auto"/>
                <w:kern w:val="0"/>
                <w:szCs w:val="21"/>
                <w:highlight w:val="none"/>
                <w:lang w:val="en-US" w:eastAsia="zh-CN" w:bidi="ar"/>
              </w:rPr>
              <w:t>—</w:t>
            </w:r>
          </w:p>
        </w:tc>
        <w:tc>
          <w:tcPr>
            <w:tcW w:w="1276" w:type="dxa"/>
            <w:tcBorders>
              <w:top w:val="single" w:color="auto" w:sz="4" w:space="0"/>
              <w:left w:val="single" w:color="auto" w:sz="4" w:space="0"/>
              <w:bottom w:val="single" w:color="000000" w:sz="4" w:space="0"/>
              <w:right w:val="single" w:color="auto" w:sz="4" w:space="0"/>
            </w:tcBorders>
            <w:noWrap w:val="0"/>
            <w:vAlign w:val="center"/>
          </w:tcPr>
          <w:p w14:paraId="58F752B2">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bidi="ar"/>
              </w:rPr>
              <w:t>—</w:t>
            </w:r>
          </w:p>
        </w:tc>
        <w:tc>
          <w:tcPr>
            <w:tcW w:w="1701" w:type="dxa"/>
            <w:tcBorders>
              <w:top w:val="single" w:color="auto" w:sz="4" w:space="0"/>
              <w:left w:val="single" w:color="auto" w:sz="4" w:space="0"/>
              <w:bottom w:val="single" w:color="000000" w:sz="4" w:space="0"/>
              <w:right w:val="single" w:color="auto" w:sz="4" w:space="0"/>
            </w:tcBorders>
            <w:noWrap w:val="0"/>
            <w:vAlign w:val="center"/>
          </w:tcPr>
          <w:p w14:paraId="6270464A">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bidi="ar"/>
              </w:rPr>
              <w:t>—</w:t>
            </w:r>
          </w:p>
        </w:tc>
        <w:tc>
          <w:tcPr>
            <w:tcW w:w="1559" w:type="dxa"/>
            <w:tcBorders>
              <w:top w:val="single" w:color="auto" w:sz="4" w:space="0"/>
              <w:left w:val="single" w:color="auto" w:sz="4" w:space="0"/>
              <w:bottom w:val="single" w:color="000000" w:sz="4" w:space="0"/>
              <w:right w:val="single" w:color="auto" w:sz="4" w:space="0"/>
            </w:tcBorders>
            <w:noWrap w:val="0"/>
            <w:vAlign w:val="center"/>
          </w:tcPr>
          <w:p w14:paraId="7F519F0D">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eastAsia="宋体" w:cs="Times New Roman"/>
                <w:b w:val="0"/>
                <w:bCs w:val="0"/>
                <w:color w:val="auto"/>
                <w:sz w:val="21"/>
                <w:szCs w:val="21"/>
                <w:highlight w:val="none"/>
                <w:lang w:val="en-US" w:eastAsia="zh-CN"/>
              </w:rPr>
              <w:t>0</w:t>
            </w:r>
            <w:r>
              <w:rPr>
                <w:rFonts w:hint="eastAsia" w:cs="Times New Roman"/>
                <w:b w:val="0"/>
                <w:bCs w:val="0"/>
                <w:color w:val="auto"/>
                <w:sz w:val="21"/>
                <w:szCs w:val="21"/>
                <w:highlight w:val="none"/>
                <w:lang w:val="en-US" w:eastAsia="zh-CN"/>
              </w:rPr>
              <w:t>.02</w:t>
            </w:r>
          </w:p>
        </w:tc>
        <w:tc>
          <w:tcPr>
            <w:tcW w:w="1566" w:type="dxa"/>
            <w:tcBorders>
              <w:top w:val="single" w:color="auto" w:sz="4" w:space="0"/>
              <w:left w:val="single" w:color="auto" w:sz="4" w:space="0"/>
              <w:bottom w:val="single" w:color="000000" w:sz="4" w:space="0"/>
              <w:right w:val="single" w:color="auto" w:sz="4" w:space="0"/>
            </w:tcBorders>
            <w:noWrap w:val="0"/>
            <w:vAlign w:val="center"/>
          </w:tcPr>
          <w:p w14:paraId="65E0554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bidi="ar"/>
              </w:rPr>
              <w:t>—</w:t>
            </w:r>
          </w:p>
        </w:tc>
        <w:tc>
          <w:tcPr>
            <w:tcW w:w="1842" w:type="dxa"/>
            <w:tcBorders>
              <w:top w:val="single" w:color="auto" w:sz="4" w:space="0"/>
              <w:left w:val="single" w:color="auto" w:sz="4" w:space="0"/>
              <w:bottom w:val="single" w:color="000000" w:sz="4" w:space="0"/>
              <w:right w:val="single" w:color="auto" w:sz="4" w:space="0"/>
            </w:tcBorders>
            <w:noWrap w:val="0"/>
            <w:vAlign w:val="center"/>
          </w:tcPr>
          <w:p w14:paraId="5D8CE3D4">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eastAsia="宋体" w:cs="Times New Roman"/>
                <w:b w:val="0"/>
                <w:bCs w:val="0"/>
                <w:color w:val="auto"/>
                <w:sz w:val="21"/>
                <w:szCs w:val="21"/>
                <w:highlight w:val="none"/>
                <w:lang w:val="en-US" w:eastAsia="zh-CN"/>
              </w:rPr>
              <w:t>0</w:t>
            </w:r>
            <w:r>
              <w:rPr>
                <w:rFonts w:hint="eastAsia" w:cs="Times New Roman"/>
                <w:b w:val="0"/>
                <w:bCs w:val="0"/>
                <w:color w:val="auto"/>
                <w:sz w:val="21"/>
                <w:szCs w:val="21"/>
                <w:highlight w:val="none"/>
                <w:lang w:val="en-US" w:eastAsia="zh-CN"/>
              </w:rPr>
              <w:t>.02</w:t>
            </w:r>
          </w:p>
        </w:tc>
        <w:tc>
          <w:tcPr>
            <w:tcW w:w="1138" w:type="dxa"/>
            <w:tcBorders>
              <w:top w:val="single" w:color="auto" w:sz="4" w:space="0"/>
              <w:left w:val="single" w:color="auto" w:sz="4" w:space="0"/>
              <w:bottom w:val="single" w:color="000000" w:sz="4" w:space="0"/>
              <w:right w:val="single" w:color="auto" w:sz="4" w:space="0"/>
            </w:tcBorders>
            <w:noWrap w:val="0"/>
            <w:vAlign w:val="center"/>
          </w:tcPr>
          <w:p w14:paraId="18312008">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eastAsia="宋体" w:cs="Times New Roman"/>
                <w:b w:val="0"/>
                <w:bCs w:val="0"/>
                <w:color w:val="auto"/>
                <w:sz w:val="21"/>
                <w:szCs w:val="21"/>
                <w:highlight w:val="none"/>
                <w:lang w:val="en-US" w:eastAsia="zh-CN"/>
              </w:rPr>
              <w:t>+0</w:t>
            </w:r>
            <w:r>
              <w:rPr>
                <w:rFonts w:hint="eastAsia" w:cs="Times New Roman"/>
                <w:b w:val="0"/>
                <w:bCs w:val="0"/>
                <w:color w:val="auto"/>
                <w:sz w:val="21"/>
                <w:szCs w:val="21"/>
                <w:highlight w:val="none"/>
                <w:lang w:val="en-US" w:eastAsia="zh-CN"/>
              </w:rPr>
              <w:t>.02</w:t>
            </w:r>
          </w:p>
        </w:tc>
      </w:tr>
      <w:tr w14:paraId="35A93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2" w:type="dxa"/>
            <w:vMerge w:val="continue"/>
            <w:tcBorders>
              <w:left w:val="single" w:color="auto" w:sz="4" w:space="0"/>
              <w:right w:val="single" w:color="auto" w:sz="4" w:space="0"/>
            </w:tcBorders>
            <w:noWrap w:val="0"/>
            <w:vAlign w:val="center"/>
          </w:tcPr>
          <w:p w14:paraId="4F124C18">
            <w:pPr>
              <w:pStyle w:val="71"/>
              <w:spacing w:beforeLines="0" w:afterLines="0" w:line="240" w:lineRule="auto"/>
              <w:rPr>
                <w:rFonts w:hint="eastAsia" w:ascii="黑体" w:hAnsi="黑体" w:eastAsia="黑体" w:cs="黑体"/>
                <w:snapToGrid w:val="0"/>
                <w:color w:val="auto"/>
                <w:kern w:val="21"/>
                <w:sz w:val="21"/>
                <w:szCs w:val="21"/>
                <w:highlight w:val="none"/>
              </w:rPr>
            </w:pPr>
          </w:p>
        </w:tc>
        <w:tc>
          <w:tcPr>
            <w:tcW w:w="1901" w:type="dxa"/>
            <w:tcBorders>
              <w:top w:val="single" w:color="auto" w:sz="4" w:space="0"/>
              <w:left w:val="single" w:color="auto" w:sz="4" w:space="0"/>
              <w:bottom w:val="single" w:color="000000" w:sz="4" w:space="0"/>
              <w:right w:val="single" w:color="auto" w:sz="4" w:space="0"/>
            </w:tcBorders>
            <w:noWrap w:val="0"/>
            <w:vAlign w:val="center"/>
          </w:tcPr>
          <w:p w14:paraId="386260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olor w:val="auto"/>
                <w:kern w:val="0"/>
                <w:sz w:val="21"/>
                <w:szCs w:val="21"/>
                <w:highlight w:val="none"/>
                <w:lang w:val="en-US" w:eastAsia="zh-CN" w:bidi="ar"/>
              </w:rPr>
            </w:pPr>
            <w:r>
              <w:rPr>
                <w:rFonts w:hint="eastAsia" w:eastAsia="宋体" w:cs="Times New Roman"/>
                <w:b w:val="0"/>
                <w:bCs w:val="0"/>
                <w:color w:val="auto"/>
                <w:sz w:val="21"/>
                <w:szCs w:val="21"/>
                <w:highlight w:val="none"/>
                <w:lang w:val="en-US" w:eastAsia="zh-CN"/>
              </w:rPr>
              <w:t>废矿物油桶</w:t>
            </w:r>
            <w:r>
              <w:rPr>
                <w:rFonts w:hint="eastAsia" w:ascii="Times New Roman" w:hAnsi="Times New Roman" w:eastAsia="宋体" w:cs="Times New Roman"/>
                <w:b w:val="0"/>
                <w:bCs w:val="0"/>
                <w:color w:val="auto"/>
                <w:sz w:val="21"/>
                <w:szCs w:val="21"/>
                <w:highlight w:val="none"/>
                <w:lang w:val="en-US" w:eastAsia="zh-CN"/>
              </w:rPr>
              <w:t>S</w:t>
            </w:r>
            <w:r>
              <w:rPr>
                <w:rFonts w:hint="eastAsia" w:cs="Times New Roman"/>
                <w:b w:val="0"/>
                <w:bCs w:val="0"/>
                <w:color w:val="auto"/>
                <w:sz w:val="21"/>
                <w:szCs w:val="21"/>
                <w:highlight w:val="none"/>
                <w:lang w:val="en-US" w:eastAsia="zh-CN"/>
              </w:rPr>
              <w:t>8</w:t>
            </w:r>
          </w:p>
        </w:tc>
        <w:tc>
          <w:tcPr>
            <w:tcW w:w="1553" w:type="dxa"/>
            <w:tcBorders>
              <w:top w:val="single" w:color="auto" w:sz="4" w:space="0"/>
              <w:left w:val="single" w:color="auto" w:sz="4" w:space="0"/>
              <w:bottom w:val="single" w:color="000000" w:sz="4" w:space="0"/>
              <w:right w:val="single" w:color="auto" w:sz="4" w:space="0"/>
            </w:tcBorders>
            <w:noWrap w:val="0"/>
            <w:vAlign w:val="center"/>
          </w:tcPr>
          <w:p w14:paraId="2CCD1FC5">
            <w:pPr>
              <w:spacing w:beforeLines="0" w:afterLines="0" w:line="240" w:lineRule="auto"/>
              <w:jc w:val="center"/>
              <w:rPr>
                <w:rFonts w:hint="default" w:ascii="Times New Roman" w:hAnsi="Times New Roman" w:eastAsia="宋体"/>
                <w:color w:val="auto"/>
                <w:kern w:val="0"/>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bidi="ar"/>
              </w:rPr>
              <w:t>—</w:t>
            </w:r>
          </w:p>
        </w:tc>
        <w:tc>
          <w:tcPr>
            <w:tcW w:w="1276" w:type="dxa"/>
            <w:tcBorders>
              <w:top w:val="single" w:color="auto" w:sz="4" w:space="0"/>
              <w:left w:val="single" w:color="auto" w:sz="4" w:space="0"/>
              <w:bottom w:val="single" w:color="000000" w:sz="4" w:space="0"/>
              <w:right w:val="single" w:color="auto" w:sz="4" w:space="0"/>
            </w:tcBorders>
            <w:noWrap w:val="0"/>
            <w:vAlign w:val="center"/>
          </w:tcPr>
          <w:p w14:paraId="21C7D84A">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bidi="ar"/>
              </w:rPr>
              <w:t>—</w:t>
            </w:r>
          </w:p>
        </w:tc>
        <w:tc>
          <w:tcPr>
            <w:tcW w:w="1701" w:type="dxa"/>
            <w:tcBorders>
              <w:top w:val="single" w:color="auto" w:sz="4" w:space="0"/>
              <w:left w:val="single" w:color="auto" w:sz="4" w:space="0"/>
              <w:bottom w:val="single" w:color="000000" w:sz="4" w:space="0"/>
              <w:right w:val="single" w:color="auto" w:sz="4" w:space="0"/>
            </w:tcBorders>
            <w:noWrap w:val="0"/>
            <w:vAlign w:val="center"/>
          </w:tcPr>
          <w:p w14:paraId="3B50C47E">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bidi="ar"/>
              </w:rPr>
              <w:t>—</w:t>
            </w:r>
          </w:p>
        </w:tc>
        <w:tc>
          <w:tcPr>
            <w:tcW w:w="1559" w:type="dxa"/>
            <w:tcBorders>
              <w:top w:val="single" w:color="auto" w:sz="4" w:space="0"/>
              <w:left w:val="single" w:color="auto" w:sz="4" w:space="0"/>
              <w:bottom w:val="single" w:color="000000" w:sz="4" w:space="0"/>
              <w:right w:val="single" w:color="auto" w:sz="4" w:space="0"/>
            </w:tcBorders>
            <w:noWrap w:val="0"/>
            <w:vAlign w:val="center"/>
          </w:tcPr>
          <w:p w14:paraId="2B0981A5">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eastAsia="宋体" w:cs="Times New Roman"/>
                <w:b w:val="0"/>
                <w:bCs w:val="0"/>
                <w:color w:val="auto"/>
                <w:sz w:val="21"/>
                <w:szCs w:val="21"/>
                <w:highlight w:val="none"/>
                <w:lang w:val="en-US" w:eastAsia="zh-CN"/>
              </w:rPr>
              <w:t>0.0</w:t>
            </w:r>
            <w:r>
              <w:rPr>
                <w:rFonts w:hint="eastAsia" w:cs="Times New Roman"/>
                <w:b w:val="0"/>
                <w:bCs w:val="0"/>
                <w:color w:val="auto"/>
                <w:sz w:val="21"/>
                <w:szCs w:val="21"/>
                <w:highlight w:val="none"/>
                <w:lang w:val="en-US" w:eastAsia="zh-CN"/>
              </w:rPr>
              <w:t>0</w:t>
            </w:r>
            <w:r>
              <w:rPr>
                <w:rFonts w:hint="eastAsia" w:eastAsia="宋体" w:cs="Times New Roman"/>
                <w:b w:val="0"/>
                <w:bCs w:val="0"/>
                <w:color w:val="auto"/>
                <w:sz w:val="21"/>
                <w:szCs w:val="21"/>
                <w:highlight w:val="none"/>
                <w:lang w:val="en-US" w:eastAsia="zh-CN"/>
              </w:rPr>
              <w:t>2</w:t>
            </w:r>
          </w:p>
        </w:tc>
        <w:tc>
          <w:tcPr>
            <w:tcW w:w="1566" w:type="dxa"/>
            <w:tcBorders>
              <w:top w:val="single" w:color="auto" w:sz="4" w:space="0"/>
              <w:left w:val="single" w:color="auto" w:sz="4" w:space="0"/>
              <w:bottom w:val="single" w:color="000000" w:sz="4" w:space="0"/>
              <w:right w:val="single" w:color="auto" w:sz="4" w:space="0"/>
            </w:tcBorders>
            <w:noWrap w:val="0"/>
            <w:vAlign w:val="center"/>
          </w:tcPr>
          <w:p w14:paraId="045CE15E">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bidi="ar"/>
              </w:rPr>
              <w:t>—</w:t>
            </w:r>
          </w:p>
        </w:tc>
        <w:tc>
          <w:tcPr>
            <w:tcW w:w="1842" w:type="dxa"/>
            <w:tcBorders>
              <w:top w:val="single" w:color="auto" w:sz="4" w:space="0"/>
              <w:left w:val="single" w:color="auto" w:sz="4" w:space="0"/>
              <w:bottom w:val="single" w:color="000000" w:sz="4" w:space="0"/>
              <w:right w:val="single" w:color="auto" w:sz="4" w:space="0"/>
            </w:tcBorders>
            <w:noWrap w:val="0"/>
            <w:vAlign w:val="center"/>
          </w:tcPr>
          <w:p w14:paraId="104C9B9E">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eastAsia="宋体" w:cs="Times New Roman"/>
                <w:b w:val="0"/>
                <w:bCs w:val="0"/>
                <w:color w:val="auto"/>
                <w:sz w:val="21"/>
                <w:szCs w:val="21"/>
                <w:highlight w:val="none"/>
                <w:lang w:val="en-US" w:eastAsia="zh-CN"/>
              </w:rPr>
              <w:t>0.0</w:t>
            </w:r>
            <w:r>
              <w:rPr>
                <w:rFonts w:hint="eastAsia" w:cs="Times New Roman"/>
                <w:b w:val="0"/>
                <w:bCs w:val="0"/>
                <w:color w:val="auto"/>
                <w:sz w:val="21"/>
                <w:szCs w:val="21"/>
                <w:highlight w:val="none"/>
                <w:lang w:val="en-US" w:eastAsia="zh-CN"/>
              </w:rPr>
              <w:t>0</w:t>
            </w:r>
            <w:r>
              <w:rPr>
                <w:rFonts w:hint="eastAsia" w:eastAsia="宋体" w:cs="Times New Roman"/>
                <w:b w:val="0"/>
                <w:bCs w:val="0"/>
                <w:color w:val="auto"/>
                <w:sz w:val="21"/>
                <w:szCs w:val="21"/>
                <w:highlight w:val="none"/>
                <w:lang w:val="en-US" w:eastAsia="zh-CN"/>
              </w:rPr>
              <w:t>2</w:t>
            </w:r>
          </w:p>
        </w:tc>
        <w:tc>
          <w:tcPr>
            <w:tcW w:w="1138" w:type="dxa"/>
            <w:tcBorders>
              <w:top w:val="single" w:color="auto" w:sz="4" w:space="0"/>
              <w:left w:val="single" w:color="auto" w:sz="4" w:space="0"/>
              <w:bottom w:val="single" w:color="000000" w:sz="4" w:space="0"/>
              <w:right w:val="single" w:color="auto" w:sz="4" w:space="0"/>
            </w:tcBorders>
            <w:noWrap w:val="0"/>
            <w:vAlign w:val="center"/>
          </w:tcPr>
          <w:p w14:paraId="4077D1B3">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eastAsia="宋体" w:cs="Times New Roman"/>
                <w:b w:val="0"/>
                <w:bCs w:val="0"/>
                <w:color w:val="auto"/>
                <w:sz w:val="21"/>
                <w:szCs w:val="21"/>
                <w:highlight w:val="none"/>
                <w:lang w:val="en-US" w:eastAsia="zh-CN"/>
              </w:rPr>
              <w:t>+0.0</w:t>
            </w:r>
            <w:r>
              <w:rPr>
                <w:rFonts w:hint="eastAsia" w:cs="Times New Roman"/>
                <w:b w:val="0"/>
                <w:bCs w:val="0"/>
                <w:color w:val="auto"/>
                <w:sz w:val="21"/>
                <w:szCs w:val="21"/>
                <w:highlight w:val="none"/>
                <w:lang w:val="en-US" w:eastAsia="zh-CN"/>
              </w:rPr>
              <w:t>0</w:t>
            </w:r>
            <w:r>
              <w:rPr>
                <w:rFonts w:hint="eastAsia" w:eastAsia="宋体" w:cs="Times New Roman"/>
                <w:b w:val="0"/>
                <w:bCs w:val="0"/>
                <w:color w:val="auto"/>
                <w:sz w:val="21"/>
                <w:szCs w:val="21"/>
                <w:highlight w:val="none"/>
                <w:lang w:val="en-US" w:eastAsia="zh-CN"/>
              </w:rPr>
              <w:t>2</w:t>
            </w:r>
          </w:p>
        </w:tc>
      </w:tr>
      <w:tr w14:paraId="7DA41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2" w:type="dxa"/>
            <w:vMerge w:val="continue"/>
            <w:tcBorders>
              <w:left w:val="single" w:color="auto" w:sz="4" w:space="0"/>
              <w:right w:val="single" w:color="auto" w:sz="4" w:space="0"/>
            </w:tcBorders>
            <w:noWrap w:val="0"/>
            <w:vAlign w:val="center"/>
          </w:tcPr>
          <w:p w14:paraId="61A1275A">
            <w:pPr>
              <w:pStyle w:val="71"/>
              <w:spacing w:beforeLines="0" w:afterLines="0" w:line="240" w:lineRule="auto"/>
              <w:rPr>
                <w:rFonts w:hint="default" w:ascii="Times New Roman" w:hAnsi="Times New Roman" w:eastAsia="宋体" w:cs="Times New Roman"/>
                <w:snapToGrid w:val="0"/>
                <w:color w:val="auto"/>
                <w:kern w:val="21"/>
                <w:sz w:val="21"/>
                <w:szCs w:val="21"/>
                <w:highlight w:val="none"/>
              </w:rPr>
            </w:pPr>
          </w:p>
        </w:tc>
        <w:tc>
          <w:tcPr>
            <w:tcW w:w="1901" w:type="dxa"/>
            <w:tcBorders>
              <w:top w:val="single" w:color="000000" w:sz="4" w:space="0"/>
              <w:left w:val="single" w:color="auto" w:sz="4" w:space="0"/>
              <w:bottom w:val="single" w:color="000000" w:sz="4" w:space="0"/>
              <w:right w:val="single" w:color="auto" w:sz="4" w:space="0"/>
            </w:tcBorders>
            <w:noWrap w:val="0"/>
            <w:vAlign w:val="center"/>
          </w:tcPr>
          <w:p w14:paraId="382BD3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废活性炭S</w:t>
            </w:r>
            <w:r>
              <w:rPr>
                <w:rFonts w:hint="eastAsia" w:cs="Times New Roman"/>
                <w:b w:val="0"/>
                <w:bCs w:val="0"/>
                <w:color w:val="auto"/>
                <w:sz w:val="21"/>
                <w:szCs w:val="21"/>
                <w:highlight w:val="none"/>
                <w:lang w:val="en-US" w:eastAsia="zh-CN"/>
              </w:rPr>
              <w:t>9</w:t>
            </w:r>
          </w:p>
        </w:tc>
        <w:tc>
          <w:tcPr>
            <w:tcW w:w="1553" w:type="dxa"/>
            <w:tcBorders>
              <w:top w:val="single" w:color="000000" w:sz="4" w:space="0"/>
              <w:left w:val="single" w:color="auto" w:sz="4" w:space="0"/>
              <w:bottom w:val="single" w:color="000000" w:sz="4" w:space="0"/>
              <w:right w:val="single" w:color="auto" w:sz="4" w:space="0"/>
            </w:tcBorders>
            <w:noWrap w:val="0"/>
            <w:vAlign w:val="center"/>
          </w:tcPr>
          <w:p w14:paraId="7935AB7D">
            <w:pPr>
              <w:widowControl/>
              <w:tabs>
                <w:tab w:val="left" w:pos="1680"/>
              </w:tabs>
              <w:spacing w:line="240" w:lineRule="exact"/>
              <w:jc w:val="center"/>
              <w:textAlignment w:val="center"/>
              <w:rPr>
                <w:rFonts w:hint="default" w:ascii="Times New Roman" w:hAnsi="Times New Roman" w:eastAsia="宋体" w:cs="Times New Roman"/>
                <w:b w:val="0"/>
                <w:bCs w:val="0"/>
                <w:i w:val="0"/>
                <w:caps w:val="0"/>
                <w:color w:val="auto"/>
                <w:spacing w:val="0"/>
                <w:kern w:val="2"/>
                <w:sz w:val="21"/>
                <w:szCs w:val="21"/>
                <w:highlight w:val="none"/>
                <w:shd w:val="clear" w:color="auto" w:fill="FFFFFF"/>
                <w:vertAlign w:val="baseline"/>
                <w:lang w:val="en-US" w:eastAsia="zh-CN" w:bidi="ar-SA"/>
              </w:rPr>
            </w:pPr>
            <w:r>
              <w:rPr>
                <w:rFonts w:hint="default" w:ascii="Times New Roman" w:hAnsi="Times New Roman" w:eastAsia="宋体" w:cs="Times New Roman"/>
                <w:color w:val="auto"/>
                <w:kern w:val="0"/>
                <w:szCs w:val="21"/>
                <w:highlight w:val="none"/>
                <w:lang w:val="en-US" w:eastAsia="zh-CN" w:bidi="ar"/>
              </w:rPr>
              <w:t>—</w:t>
            </w:r>
          </w:p>
        </w:tc>
        <w:tc>
          <w:tcPr>
            <w:tcW w:w="1276" w:type="dxa"/>
            <w:tcBorders>
              <w:top w:val="single" w:color="000000" w:sz="4" w:space="0"/>
              <w:left w:val="single" w:color="auto" w:sz="4" w:space="0"/>
              <w:bottom w:val="single" w:color="000000" w:sz="4" w:space="0"/>
              <w:right w:val="single" w:color="auto" w:sz="4" w:space="0"/>
            </w:tcBorders>
            <w:noWrap w:val="0"/>
            <w:vAlign w:val="center"/>
          </w:tcPr>
          <w:p w14:paraId="19E448ED">
            <w:pPr>
              <w:widowControl/>
              <w:tabs>
                <w:tab w:val="left" w:pos="1680"/>
              </w:tabs>
              <w:spacing w:line="24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701" w:type="dxa"/>
            <w:tcBorders>
              <w:top w:val="single" w:color="000000" w:sz="4" w:space="0"/>
              <w:left w:val="single" w:color="auto" w:sz="4" w:space="0"/>
              <w:bottom w:val="single" w:color="000000" w:sz="4" w:space="0"/>
              <w:right w:val="single" w:color="auto" w:sz="4" w:space="0"/>
            </w:tcBorders>
            <w:noWrap w:val="0"/>
            <w:vAlign w:val="center"/>
          </w:tcPr>
          <w:p w14:paraId="7EB92905">
            <w:pPr>
              <w:widowControl/>
              <w:tabs>
                <w:tab w:val="left" w:pos="1680"/>
              </w:tabs>
              <w:spacing w:line="24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559" w:type="dxa"/>
            <w:tcBorders>
              <w:top w:val="single" w:color="000000" w:sz="4" w:space="0"/>
              <w:left w:val="single" w:color="auto" w:sz="4" w:space="0"/>
              <w:bottom w:val="single" w:color="000000" w:sz="4" w:space="0"/>
              <w:right w:val="single" w:color="auto" w:sz="4" w:space="0"/>
            </w:tcBorders>
            <w:noWrap w:val="0"/>
            <w:vAlign w:val="center"/>
          </w:tcPr>
          <w:p w14:paraId="646D7A14">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eastAsia" w:cs="Times New Roman"/>
                <w:b w:val="0"/>
                <w:bCs w:val="0"/>
                <w:i w:val="0"/>
                <w:caps w:val="0"/>
                <w:color w:val="auto"/>
                <w:spacing w:val="0"/>
                <w:sz w:val="21"/>
                <w:szCs w:val="21"/>
                <w:highlight w:val="none"/>
                <w:shd w:val="clear" w:color="auto" w:fill="FFFFFF"/>
                <w:vertAlign w:val="baseline"/>
                <w:lang w:val="en-US" w:eastAsia="zh-CN"/>
              </w:rPr>
              <w:t>0.261</w:t>
            </w:r>
          </w:p>
        </w:tc>
        <w:tc>
          <w:tcPr>
            <w:tcW w:w="1566" w:type="dxa"/>
            <w:tcBorders>
              <w:top w:val="single" w:color="000000" w:sz="4" w:space="0"/>
              <w:left w:val="single" w:color="auto" w:sz="4" w:space="0"/>
              <w:bottom w:val="single" w:color="000000" w:sz="4" w:space="0"/>
              <w:right w:val="single" w:color="auto" w:sz="4" w:space="0"/>
            </w:tcBorders>
            <w:noWrap w:val="0"/>
            <w:vAlign w:val="center"/>
          </w:tcPr>
          <w:p w14:paraId="0C75D32A">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w:t>
            </w:r>
          </w:p>
        </w:tc>
        <w:tc>
          <w:tcPr>
            <w:tcW w:w="1842" w:type="dxa"/>
            <w:tcBorders>
              <w:top w:val="single" w:color="000000" w:sz="4" w:space="0"/>
              <w:left w:val="single" w:color="auto" w:sz="4" w:space="0"/>
              <w:bottom w:val="single" w:color="000000" w:sz="4" w:space="0"/>
              <w:right w:val="single" w:color="auto" w:sz="4" w:space="0"/>
            </w:tcBorders>
            <w:noWrap w:val="0"/>
            <w:vAlign w:val="center"/>
          </w:tcPr>
          <w:p w14:paraId="0B519C7F">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b w:val="0"/>
                <w:bCs w:val="0"/>
                <w:i w:val="0"/>
                <w:caps w:val="0"/>
                <w:color w:val="auto"/>
                <w:spacing w:val="0"/>
                <w:kern w:val="2"/>
                <w:sz w:val="21"/>
                <w:szCs w:val="21"/>
                <w:highlight w:val="none"/>
                <w:shd w:val="clear" w:color="auto" w:fill="FFFFFF"/>
                <w:vertAlign w:val="baseline"/>
                <w:lang w:val="en-US" w:eastAsia="zh-CN" w:bidi="ar-SA"/>
              </w:rPr>
            </w:pPr>
            <w:r>
              <w:rPr>
                <w:rFonts w:hint="eastAsia" w:cs="Times New Roman"/>
                <w:b w:val="0"/>
                <w:bCs w:val="0"/>
                <w:i w:val="0"/>
                <w:caps w:val="0"/>
                <w:color w:val="auto"/>
                <w:spacing w:val="0"/>
                <w:sz w:val="21"/>
                <w:szCs w:val="21"/>
                <w:highlight w:val="none"/>
                <w:shd w:val="clear" w:color="auto" w:fill="FFFFFF"/>
                <w:vertAlign w:val="baseline"/>
                <w:lang w:val="en-US" w:eastAsia="zh-CN"/>
              </w:rPr>
              <w:t>0.261</w:t>
            </w:r>
          </w:p>
        </w:tc>
        <w:tc>
          <w:tcPr>
            <w:tcW w:w="1138" w:type="dxa"/>
            <w:tcBorders>
              <w:top w:val="single" w:color="000000" w:sz="4" w:space="0"/>
              <w:left w:val="single" w:color="auto" w:sz="4" w:space="0"/>
              <w:bottom w:val="single" w:color="000000" w:sz="4" w:space="0"/>
              <w:right w:val="single" w:color="auto" w:sz="4" w:space="0"/>
            </w:tcBorders>
            <w:noWrap w:val="0"/>
            <w:vAlign w:val="center"/>
          </w:tcPr>
          <w:p w14:paraId="3A4D9B74">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eastAsia" w:cs="Times New Roman"/>
                <w:b w:val="0"/>
                <w:bCs w:val="0"/>
                <w:i w:val="0"/>
                <w:caps w:val="0"/>
                <w:color w:val="auto"/>
                <w:spacing w:val="0"/>
                <w:sz w:val="21"/>
                <w:szCs w:val="21"/>
                <w:highlight w:val="none"/>
                <w:shd w:val="clear" w:color="auto" w:fill="FFFFFF"/>
                <w:vertAlign w:val="baseline"/>
                <w:lang w:val="en-US" w:eastAsia="zh-CN"/>
              </w:rPr>
              <w:t>+0.261</w:t>
            </w:r>
          </w:p>
        </w:tc>
      </w:tr>
    </w:tbl>
    <w:p w14:paraId="6CB1AED1">
      <w:pPr>
        <w:jc w:val="center"/>
        <w:rPr>
          <w:color w:val="auto"/>
          <w:sz w:val="24"/>
          <w:highlight w:val="none"/>
        </w:rPr>
      </w:pPr>
      <w:r>
        <w:rPr>
          <w:rFonts w:hint="default" w:ascii="Times New Roman" w:hAnsi="Times New Roman" w:cs="Times New Roman"/>
          <w:snapToGrid w:val="0"/>
          <w:color w:val="auto"/>
          <w:kern w:val="21"/>
          <w:szCs w:val="21"/>
          <w:highlight w:val="none"/>
        </w:rPr>
        <w:t>注：</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3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③</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4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④</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5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⑤</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7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⑦</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p>
    <w:p w14:paraId="3C978126">
      <w:pPr>
        <w:jc w:val="center"/>
        <w:rPr>
          <w:color w:val="auto"/>
          <w:sz w:val="24"/>
          <w:highlight w:val="none"/>
        </w:rPr>
        <w:sectPr>
          <w:footerReference r:id="rId12" w:type="default"/>
          <w:pgSz w:w="16838" w:h="11906" w:orient="landscape"/>
          <w:pgMar w:top="1418" w:right="1247" w:bottom="1418" w:left="1247" w:header="850" w:footer="850" w:gutter="0"/>
          <w:pgBorders>
            <w:top w:val="none" w:sz="0" w:space="0"/>
            <w:left w:val="none" w:sz="0" w:space="0"/>
            <w:bottom w:val="none" w:sz="0" w:space="0"/>
            <w:right w:val="none" w:sz="0" w:space="0"/>
          </w:pgBorders>
          <w:cols w:space="720" w:num="1"/>
          <w:docGrid w:type="lines" w:linePitch="312" w:charSpace="0"/>
        </w:sectPr>
      </w:pPr>
    </w:p>
    <w:p w14:paraId="4A55D173">
      <w:pPr>
        <w:spacing w:line="360" w:lineRule="auto"/>
        <w:outlineLvl w:val="0"/>
        <w:rPr>
          <w:rFonts w:hint="eastAsia" w:ascii="黑体" w:hAnsi="黑体" w:eastAsia="黑体"/>
          <w:color w:val="auto"/>
          <w:sz w:val="24"/>
          <w:highlight w:val="none"/>
        </w:rPr>
      </w:pPr>
      <w:r>
        <w:rPr>
          <w:rFonts w:hint="eastAsia" w:ascii="黑体" w:hAnsi="黑体" w:eastAsia="黑体"/>
          <w:color w:val="auto"/>
          <w:sz w:val="24"/>
          <w:highlight w:val="none"/>
        </w:rPr>
        <w:t>附件</w:t>
      </w:r>
      <w:r>
        <w:rPr>
          <w:rFonts w:ascii="黑体" w:hAnsi="黑体" w:eastAsia="黑体"/>
          <w:color w:val="auto"/>
          <w:sz w:val="24"/>
          <w:highlight w:val="none"/>
        </w:rPr>
        <w:fldChar w:fldCharType="begin"/>
      </w:r>
      <w:r>
        <w:rPr>
          <w:rFonts w:ascii="黑体" w:hAnsi="黑体" w:eastAsia="黑体"/>
          <w:color w:val="auto"/>
          <w:sz w:val="24"/>
          <w:highlight w:val="none"/>
        </w:rPr>
        <w:instrText xml:space="preserve"> </w:instrText>
      </w:r>
      <w:r>
        <w:rPr>
          <w:rFonts w:hint="eastAsia" w:ascii="黑体" w:hAnsi="黑体" w:eastAsia="黑体"/>
          <w:color w:val="auto"/>
          <w:sz w:val="24"/>
          <w:highlight w:val="none"/>
        </w:rPr>
        <w:instrText xml:space="preserve">SEQ 附件 \* ARABIC</w:instrText>
      </w:r>
      <w:r>
        <w:rPr>
          <w:rFonts w:ascii="黑体" w:hAnsi="黑体" w:eastAsia="黑体"/>
          <w:color w:val="auto"/>
          <w:sz w:val="24"/>
          <w:highlight w:val="none"/>
        </w:rPr>
        <w:instrText xml:space="preserve"> </w:instrText>
      </w:r>
      <w:r>
        <w:rPr>
          <w:rFonts w:ascii="黑体" w:hAnsi="黑体" w:eastAsia="黑体"/>
          <w:color w:val="auto"/>
          <w:sz w:val="24"/>
          <w:highlight w:val="none"/>
        </w:rPr>
        <w:fldChar w:fldCharType="separate"/>
      </w:r>
      <w:r>
        <w:rPr>
          <w:rFonts w:hint="eastAsia" w:ascii="黑体" w:hAnsi="黑体" w:eastAsia="黑体"/>
          <w:color w:val="auto"/>
          <w:sz w:val="24"/>
          <w:highlight w:val="none"/>
        </w:rPr>
        <w:t>1</w:t>
      </w:r>
      <w:r>
        <w:rPr>
          <w:rFonts w:ascii="黑体" w:hAnsi="黑体" w:eastAsia="黑体"/>
          <w:color w:val="auto"/>
          <w:sz w:val="24"/>
          <w:highlight w:val="none"/>
        </w:rPr>
        <w:fldChar w:fldCharType="end"/>
      </w:r>
      <w:r>
        <w:rPr>
          <w:rFonts w:hint="eastAsia" w:ascii="黑体" w:hAnsi="黑体" w:eastAsia="黑体"/>
          <w:color w:val="auto"/>
          <w:sz w:val="24"/>
          <w:highlight w:val="none"/>
        </w:rPr>
        <w:t xml:space="preserve"> 环评委托书</w:t>
      </w:r>
    </w:p>
    <w:p w14:paraId="1C081F26">
      <w:pPr>
        <w:keepNext w:val="0"/>
        <w:keepLines w:val="0"/>
        <w:pageBreakBefore w:val="0"/>
        <w:widowControl w:val="0"/>
        <w:tabs>
          <w:tab w:val="left" w:pos="1589"/>
          <w:tab w:val="center" w:pos="4213"/>
        </w:tabs>
        <w:kinsoku/>
        <w:wordWrap/>
        <w:overflowPunct/>
        <w:topLinePunct w:val="0"/>
        <w:autoSpaceDE/>
        <w:autoSpaceDN/>
        <w:bidi w:val="0"/>
        <w:adjustRightInd w:val="0"/>
        <w:snapToGrid/>
        <w:spacing w:line="800" w:lineRule="exact"/>
        <w:ind w:firstLine="0" w:firstLineChars="0"/>
        <w:jc w:val="center"/>
        <w:textAlignment w:val="baseline"/>
        <w:rPr>
          <w:rFonts w:hint="default" w:ascii="Times New Roman" w:hAnsi="Times New Roman" w:cs="Times New Roman"/>
          <w:b/>
          <w:color w:val="auto"/>
          <w:kern w:val="0"/>
          <w:sz w:val="44"/>
          <w:szCs w:val="44"/>
          <w:highlight w:val="none"/>
        </w:rPr>
      </w:pPr>
      <w:r>
        <w:rPr>
          <w:rFonts w:hint="default" w:ascii="Times New Roman" w:hAnsi="Times New Roman" w:cs="Times New Roman"/>
          <w:b/>
          <w:color w:val="auto"/>
          <w:kern w:val="0"/>
          <w:sz w:val="44"/>
          <w:szCs w:val="44"/>
          <w:highlight w:val="none"/>
          <w:lang w:eastAsia="zh-CN"/>
        </w:rPr>
        <w:t>环境影响评价委托书</w:t>
      </w:r>
    </w:p>
    <w:p w14:paraId="65F49C4E">
      <w:pPr>
        <w:adjustRightInd w:val="0"/>
        <w:spacing w:line="800" w:lineRule="exact"/>
        <w:textAlignment w:val="baseline"/>
        <w:rPr>
          <w:rFonts w:hint="default" w:ascii="Times New Roman" w:hAnsi="Times New Roman" w:cs="Times New Roman"/>
          <w:color w:val="auto"/>
          <w:kern w:val="0"/>
          <w:sz w:val="32"/>
          <w:szCs w:val="32"/>
          <w:highlight w:val="none"/>
        </w:rPr>
      </w:pPr>
    </w:p>
    <w:p w14:paraId="6CCEEE78">
      <w:pPr>
        <w:adjustRightInd w:val="0"/>
        <w:spacing w:line="800" w:lineRule="exact"/>
        <w:textAlignment w:val="baseline"/>
        <w:rPr>
          <w:rFonts w:hint="default" w:ascii="Times New Roman" w:hAnsi="Times New Roman" w:cs="Times New Roman"/>
          <w:b w:val="0"/>
          <w:bCs/>
          <w:color w:val="auto"/>
          <w:sz w:val="32"/>
          <w:szCs w:val="32"/>
          <w:highlight w:val="none"/>
        </w:rPr>
      </w:pPr>
      <w:r>
        <w:rPr>
          <w:rFonts w:hint="default" w:ascii="Times New Roman" w:hAnsi="Times New Roman" w:cs="Times New Roman"/>
          <w:b w:val="0"/>
          <w:bCs/>
          <w:color w:val="auto"/>
          <w:sz w:val="32"/>
          <w:szCs w:val="32"/>
          <w:highlight w:val="none"/>
        </w:rPr>
        <w:t>山东</w:t>
      </w:r>
      <w:r>
        <w:rPr>
          <w:rFonts w:hint="default" w:ascii="Times New Roman" w:hAnsi="Times New Roman" w:cs="Times New Roman"/>
          <w:b w:val="0"/>
          <w:bCs/>
          <w:color w:val="auto"/>
          <w:sz w:val="32"/>
          <w:szCs w:val="32"/>
          <w:highlight w:val="none"/>
          <w:lang w:eastAsia="zh-CN"/>
        </w:rPr>
        <w:t>量石生态环境工程</w:t>
      </w:r>
      <w:r>
        <w:rPr>
          <w:rFonts w:hint="default" w:ascii="Times New Roman" w:hAnsi="Times New Roman" w:cs="Times New Roman"/>
          <w:b w:val="0"/>
          <w:bCs/>
          <w:color w:val="auto"/>
          <w:sz w:val="32"/>
          <w:szCs w:val="32"/>
          <w:highlight w:val="none"/>
        </w:rPr>
        <w:t>有限公司：</w:t>
      </w:r>
    </w:p>
    <w:p w14:paraId="544EEE9F">
      <w:pPr>
        <w:spacing w:line="800" w:lineRule="exact"/>
        <w:ind w:right="164" w:rightChars="78" w:firstLine="640" w:firstLineChars="200"/>
        <w:rPr>
          <w:rFonts w:hint="default" w:ascii="Times New Roman" w:hAnsi="Times New Roman" w:cs="Times New Roman"/>
          <w:b w:val="0"/>
          <w:bCs/>
          <w:color w:val="auto"/>
          <w:sz w:val="32"/>
          <w:szCs w:val="32"/>
          <w:highlight w:val="none"/>
        </w:rPr>
      </w:pPr>
      <w:r>
        <w:rPr>
          <w:rFonts w:hint="default" w:ascii="Times New Roman" w:hAnsi="Times New Roman" w:cs="Times New Roman"/>
          <w:b w:val="0"/>
          <w:bCs/>
          <w:color w:val="auto"/>
          <w:sz w:val="32"/>
          <w:szCs w:val="32"/>
          <w:highlight w:val="none"/>
        </w:rPr>
        <w:t>根据国家《建设项目环境保护管理条例》和当地环保部门的要求，</w:t>
      </w:r>
      <w:r>
        <w:rPr>
          <w:rFonts w:hint="eastAsia" w:cs="Times New Roman"/>
          <w:b w:val="0"/>
          <w:bCs/>
          <w:color w:val="auto"/>
          <w:sz w:val="32"/>
          <w:szCs w:val="32"/>
          <w:highlight w:val="none"/>
          <w:u w:val="single"/>
          <w:lang w:eastAsia="zh-CN"/>
        </w:rPr>
        <w:t>年产1000套实验室装备项目</w:t>
      </w:r>
      <w:r>
        <w:rPr>
          <w:rFonts w:hint="default" w:ascii="Times New Roman" w:hAnsi="Times New Roman" w:cs="Times New Roman"/>
          <w:b w:val="0"/>
          <w:bCs/>
          <w:color w:val="auto"/>
          <w:sz w:val="32"/>
          <w:szCs w:val="32"/>
          <w:highlight w:val="none"/>
        </w:rPr>
        <w:t>需执行环境影响评价制度，今委托贵公司承担该项目环境影响报告表的编制</w:t>
      </w:r>
      <w:r>
        <w:rPr>
          <w:rFonts w:hint="default" w:ascii="Times New Roman" w:hAnsi="Times New Roman" w:cs="Times New Roman"/>
          <w:b w:val="0"/>
          <w:bCs/>
          <w:color w:val="auto"/>
          <w:sz w:val="32"/>
          <w:szCs w:val="32"/>
          <w:highlight w:val="none"/>
          <w:lang w:eastAsia="zh-CN"/>
        </w:rPr>
        <w:t>工作</w:t>
      </w:r>
      <w:r>
        <w:rPr>
          <w:rFonts w:hint="default" w:ascii="Times New Roman" w:hAnsi="Times New Roman" w:cs="Times New Roman"/>
          <w:b w:val="0"/>
          <w:bCs/>
          <w:color w:val="auto"/>
          <w:sz w:val="32"/>
          <w:szCs w:val="32"/>
          <w:highlight w:val="none"/>
        </w:rPr>
        <w:t>。</w:t>
      </w:r>
    </w:p>
    <w:p w14:paraId="7FD0AFED">
      <w:pPr>
        <w:adjustRightInd w:val="0"/>
        <w:spacing w:line="580" w:lineRule="exact"/>
        <w:ind w:firstLine="600" w:firstLineChars="200"/>
        <w:textAlignment w:val="baseline"/>
        <w:rPr>
          <w:rFonts w:hint="default" w:ascii="Times New Roman" w:hAnsi="Times New Roman" w:cs="Times New Roman"/>
          <w:color w:val="auto"/>
          <w:kern w:val="0"/>
          <w:sz w:val="30"/>
          <w:szCs w:val="20"/>
          <w:highlight w:val="none"/>
        </w:rPr>
      </w:pPr>
      <w:r>
        <w:rPr>
          <w:rFonts w:hint="default" w:ascii="Times New Roman" w:hAnsi="Times New Roman" w:cs="Times New Roman"/>
          <w:color w:val="auto"/>
          <w:kern w:val="0"/>
          <w:sz w:val="30"/>
          <w:szCs w:val="20"/>
          <w:highlight w:val="none"/>
        </w:rPr>
        <w:t xml:space="preserve"> </w:t>
      </w:r>
    </w:p>
    <w:p w14:paraId="5FDD9BE2">
      <w:pPr>
        <w:pStyle w:val="28"/>
        <w:ind w:firstLine="600"/>
        <w:rPr>
          <w:rFonts w:hint="default" w:ascii="Times New Roman" w:hAnsi="Times New Roman" w:cs="Times New Roman"/>
          <w:color w:val="auto"/>
          <w:kern w:val="0"/>
          <w:sz w:val="30"/>
          <w:szCs w:val="20"/>
          <w:highlight w:val="none"/>
        </w:rPr>
      </w:pPr>
    </w:p>
    <w:p w14:paraId="1635C8CB">
      <w:pPr>
        <w:rPr>
          <w:rFonts w:hint="default" w:ascii="Times New Roman" w:hAnsi="Times New Roman" w:cs="Times New Roman"/>
          <w:color w:val="auto"/>
          <w:kern w:val="0"/>
          <w:sz w:val="30"/>
          <w:szCs w:val="20"/>
          <w:highlight w:val="none"/>
        </w:rPr>
      </w:pPr>
    </w:p>
    <w:p w14:paraId="3AE610D9">
      <w:pPr>
        <w:pStyle w:val="28"/>
        <w:rPr>
          <w:rFonts w:hint="default" w:ascii="Times New Roman" w:hAnsi="Times New Roman" w:cs="Times New Roman"/>
          <w:color w:val="auto"/>
          <w:highlight w:val="none"/>
        </w:rPr>
      </w:pPr>
    </w:p>
    <w:p w14:paraId="0DFAA6C0">
      <w:pPr>
        <w:adjustRightInd w:val="0"/>
        <w:spacing w:line="580" w:lineRule="exact"/>
        <w:ind w:firstLine="602" w:firstLineChars="200"/>
        <w:textAlignment w:val="baseline"/>
        <w:rPr>
          <w:rFonts w:hint="default" w:ascii="Times New Roman" w:hAnsi="Times New Roman" w:cs="Times New Roman"/>
          <w:b/>
          <w:color w:val="auto"/>
          <w:kern w:val="0"/>
          <w:sz w:val="30"/>
          <w:szCs w:val="20"/>
          <w:highlight w:val="none"/>
        </w:rPr>
      </w:pPr>
    </w:p>
    <w:p w14:paraId="0A9AA081">
      <w:pPr>
        <w:adjustRightInd w:val="0"/>
        <w:spacing w:line="800" w:lineRule="exact"/>
        <w:ind w:firstLine="640" w:firstLineChars="200"/>
        <w:textAlignment w:val="baseline"/>
        <w:rPr>
          <w:rFonts w:hint="default" w:ascii="Times New Roman" w:hAnsi="Times New Roman" w:cs="Times New Roman"/>
          <w:color w:val="auto"/>
          <w:kern w:val="0"/>
          <w:sz w:val="32"/>
          <w:szCs w:val="32"/>
          <w:highlight w:val="none"/>
        </w:rPr>
      </w:pPr>
    </w:p>
    <w:p w14:paraId="63EF2281">
      <w:pPr>
        <w:spacing w:line="800" w:lineRule="exact"/>
        <w:ind w:right="105" w:rightChars="50" w:firstLine="640" w:firstLineChars="200"/>
        <w:jc w:val="right"/>
        <w:rPr>
          <w:rFonts w:hint="default" w:ascii="Times New Roman" w:hAnsi="Times New Roman" w:eastAsia="宋体" w:cs="Times New Roman"/>
          <w:b w:val="0"/>
          <w:bCs/>
          <w:color w:val="auto"/>
          <w:sz w:val="32"/>
          <w:szCs w:val="32"/>
          <w:highlight w:val="none"/>
          <w:lang w:eastAsia="zh-CN"/>
        </w:rPr>
      </w:pPr>
      <w:r>
        <w:rPr>
          <w:rFonts w:hint="default" w:ascii="Times New Roman" w:hAnsi="Times New Roman" w:eastAsia="宋体" w:cs="Times New Roman"/>
          <w:b w:val="0"/>
          <w:bCs/>
          <w:color w:val="auto"/>
          <w:sz w:val="32"/>
          <w:szCs w:val="32"/>
          <w:highlight w:val="none"/>
        </w:rPr>
        <w:t>委托</w:t>
      </w:r>
      <w:r>
        <w:rPr>
          <w:rFonts w:hint="default" w:ascii="Times New Roman" w:hAnsi="Times New Roman" w:eastAsia="宋体" w:cs="Times New Roman"/>
          <w:b w:val="0"/>
          <w:bCs/>
          <w:color w:val="auto"/>
          <w:sz w:val="32"/>
          <w:szCs w:val="32"/>
          <w:highlight w:val="none"/>
          <w:lang w:eastAsia="zh-CN"/>
        </w:rPr>
        <w:t>单位</w:t>
      </w:r>
      <w:r>
        <w:rPr>
          <w:rFonts w:hint="default" w:ascii="Times New Roman" w:hAnsi="Times New Roman" w:eastAsia="宋体" w:cs="Times New Roman"/>
          <w:b w:val="0"/>
          <w:bCs/>
          <w:color w:val="auto"/>
          <w:sz w:val="32"/>
          <w:szCs w:val="32"/>
          <w:highlight w:val="none"/>
        </w:rPr>
        <w:t>：</w:t>
      </w:r>
      <w:r>
        <w:rPr>
          <w:rFonts w:hint="eastAsia" w:cs="Times New Roman"/>
          <w:b w:val="0"/>
          <w:bCs/>
          <w:color w:val="auto"/>
          <w:sz w:val="32"/>
          <w:szCs w:val="32"/>
          <w:highlight w:val="none"/>
          <w:lang w:eastAsia="zh-CN"/>
        </w:rPr>
        <w:t>淄博美嘉</w:t>
      </w:r>
      <w:bookmarkStart w:id="20" w:name="_GoBack"/>
      <w:bookmarkEnd w:id="20"/>
      <w:r>
        <w:rPr>
          <w:rFonts w:hint="eastAsia" w:cs="Times New Roman"/>
          <w:b w:val="0"/>
          <w:bCs/>
          <w:color w:val="auto"/>
          <w:sz w:val="32"/>
          <w:szCs w:val="32"/>
          <w:highlight w:val="none"/>
          <w:lang w:eastAsia="zh-CN"/>
        </w:rPr>
        <w:t>洁实验室装备有限公司</w:t>
      </w:r>
    </w:p>
    <w:p w14:paraId="774853B2">
      <w:pPr>
        <w:spacing w:line="800" w:lineRule="exact"/>
        <w:ind w:right="105" w:rightChars="50" w:firstLine="640" w:firstLineChars="200"/>
        <w:jc w:val="right"/>
        <w:rPr>
          <w:rFonts w:hint="default" w:ascii="Times New Roman" w:hAnsi="Times New Roman" w:eastAsia="宋体" w:cs="Times New Roman"/>
          <w:b w:val="0"/>
          <w:bCs/>
          <w:color w:val="auto"/>
          <w:sz w:val="32"/>
          <w:szCs w:val="32"/>
          <w:highlight w:val="none"/>
        </w:rPr>
      </w:pPr>
      <w:r>
        <w:rPr>
          <w:rFonts w:hint="default" w:ascii="Times New Roman" w:hAnsi="Times New Roman" w:eastAsia="宋体" w:cs="Times New Roman"/>
          <w:b w:val="0"/>
          <w:bCs/>
          <w:color w:val="auto"/>
          <w:sz w:val="32"/>
          <w:szCs w:val="32"/>
          <w:highlight w:val="none"/>
        </w:rPr>
        <w:t>委托时间：</w:t>
      </w:r>
      <w:r>
        <w:rPr>
          <w:rFonts w:hint="default" w:ascii="Times New Roman" w:hAnsi="Times New Roman" w:eastAsia="宋体" w:cs="Times New Roman"/>
          <w:b w:val="0"/>
          <w:bCs/>
          <w:color w:val="auto"/>
          <w:sz w:val="32"/>
          <w:szCs w:val="32"/>
          <w:highlight w:val="none"/>
          <w:lang w:val="en-US" w:eastAsia="zh-CN"/>
        </w:rPr>
        <w:t>202</w:t>
      </w:r>
      <w:r>
        <w:rPr>
          <w:rFonts w:hint="eastAsia" w:cs="Times New Roman"/>
          <w:b w:val="0"/>
          <w:bCs/>
          <w:color w:val="auto"/>
          <w:sz w:val="32"/>
          <w:szCs w:val="32"/>
          <w:highlight w:val="none"/>
          <w:lang w:val="en-US" w:eastAsia="zh-CN"/>
        </w:rPr>
        <w:t>6</w:t>
      </w:r>
      <w:r>
        <w:rPr>
          <w:rFonts w:hint="default" w:ascii="Times New Roman" w:hAnsi="Times New Roman" w:eastAsia="宋体" w:cs="Times New Roman"/>
          <w:b w:val="0"/>
          <w:bCs/>
          <w:color w:val="auto"/>
          <w:sz w:val="32"/>
          <w:szCs w:val="32"/>
          <w:highlight w:val="none"/>
        </w:rPr>
        <w:t>年</w:t>
      </w:r>
      <w:r>
        <w:rPr>
          <w:rFonts w:hint="eastAsia" w:cs="Times New Roman"/>
          <w:b w:val="0"/>
          <w:bCs/>
          <w:color w:val="auto"/>
          <w:sz w:val="32"/>
          <w:szCs w:val="32"/>
          <w:highlight w:val="none"/>
          <w:lang w:val="en-US" w:eastAsia="zh-CN"/>
        </w:rPr>
        <w:t>3</w:t>
      </w:r>
      <w:r>
        <w:rPr>
          <w:rFonts w:hint="default" w:ascii="Times New Roman" w:hAnsi="Times New Roman" w:eastAsia="宋体" w:cs="Times New Roman"/>
          <w:b w:val="0"/>
          <w:bCs/>
          <w:color w:val="auto"/>
          <w:sz w:val="32"/>
          <w:szCs w:val="32"/>
          <w:highlight w:val="none"/>
        </w:rPr>
        <w:t>月</w:t>
      </w:r>
    </w:p>
    <w:p w14:paraId="04C7CB33">
      <w:pPr>
        <w:rPr>
          <w:color w:val="auto"/>
          <w:highlight w:val="none"/>
        </w:rPr>
      </w:pPr>
    </w:p>
    <w:p w14:paraId="4ECC8E43">
      <w:pPr>
        <w:rPr>
          <w:color w:val="auto"/>
          <w:highlight w:val="none"/>
        </w:rPr>
      </w:pPr>
    </w:p>
    <w:p w14:paraId="3129204B">
      <w:pPr>
        <w:rPr>
          <w:color w:val="auto"/>
          <w:highlight w:val="none"/>
        </w:rPr>
      </w:pPr>
    </w:p>
    <w:p w14:paraId="43D6257C">
      <w:pPr>
        <w:rPr>
          <w:color w:val="auto"/>
          <w:highlight w:val="none"/>
        </w:rPr>
        <w:sectPr>
          <w:headerReference r:id="rId13" w:type="default"/>
          <w:footerReference r:id="rId14" w:type="default"/>
          <w:pgSz w:w="11906" w:h="16838"/>
          <w:pgMar w:top="1418" w:right="1247" w:bottom="1418" w:left="1247" w:header="850" w:footer="850" w:gutter="0"/>
          <w:pgBorders>
            <w:top w:val="none" w:sz="0" w:space="0"/>
            <w:left w:val="none" w:sz="0" w:space="0"/>
            <w:bottom w:val="none" w:sz="0" w:space="0"/>
            <w:right w:val="none" w:sz="0" w:space="0"/>
          </w:pgBorders>
          <w:pgNumType w:start="1"/>
          <w:cols w:space="720" w:num="1"/>
          <w:docGrid w:type="lines" w:linePitch="312" w:charSpace="0"/>
        </w:sectPr>
      </w:pPr>
    </w:p>
    <w:p w14:paraId="7759DC52">
      <w:pPr>
        <w:spacing w:line="360" w:lineRule="auto"/>
        <w:outlineLvl w:val="0"/>
        <w:rPr>
          <w:rFonts w:hint="eastAsia" w:ascii="黑体" w:hAnsi="黑体" w:eastAsia="黑体"/>
          <w:color w:val="auto"/>
          <w:sz w:val="24"/>
          <w:highlight w:val="none"/>
        </w:rPr>
      </w:pPr>
      <w:r>
        <w:rPr>
          <w:rFonts w:hint="eastAsia" w:ascii="黑体" w:hAnsi="黑体" w:eastAsia="黑体"/>
          <w:color w:val="auto"/>
          <w:sz w:val="24"/>
          <w:highlight w:val="none"/>
        </w:rPr>
        <w:t>附件</w:t>
      </w:r>
      <w:r>
        <w:rPr>
          <w:rFonts w:ascii="黑体" w:hAnsi="黑体" w:eastAsia="黑体"/>
          <w:color w:val="auto"/>
          <w:sz w:val="24"/>
          <w:highlight w:val="none"/>
        </w:rPr>
        <w:fldChar w:fldCharType="begin"/>
      </w:r>
      <w:r>
        <w:rPr>
          <w:rFonts w:ascii="黑体" w:hAnsi="黑体" w:eastAsia="黑体"/>
          <w:color w:val="auto"/>
          <w:sz w:val="24"/>
          <w:highlight w:val="none"/>
        </w:rPr>
        <w:instrText xml:space="preserve"> </w:instrText>
      </w:r>
      <w:r>
        <w:rPr>
          <w:rFonts w:hint="eastAsia" w:ascii="黑体" w:hAnsi="黑体" w:eastAsia="黑体"/>
          <w:color w:val="auto"/>
          <w:sz w:val="24"/>
          <w:highlight w:val="none"/>
        </w:rPr>
        <w:instrText xml:space="preserve">SEQ 附件 \* ARABIC</w:instrText>
      </w:r>
      <w:r>
        <w:rPr>
          <w:rFonts w:ascii="黑体" w:hAnsi="黑体" w:eastAsia="黑体"/>
          <w:color w:val="auto"/>
          <w:sz w:val="24"/>
          <w:highlight w:val="none"/>
        </w:rPr>
        <w:instrText xml:space="preserve"> </w:instrText>
      </w:r>
      <w:r>
        <w:rPr>
          <w:rFonts w:ascii="黑体" w:hAnsi="黑体" w:eastAsia="黑体"/>
          <w:color w:val="auto"/>
          <w:sz w:val="24"/>
          <w:highlight w:val="none"/>
        </w:rPr>
        <w:fldChar w:fldCharType="separate"/>
      </w:r>
      <w:r>
        <w:rPr>
          <w:rFonts w:hint="eastAsia" w:ascii="黑体" w:hAnsi="黑体" w:eastAsia="黑体"/>
          <w:color w:val="auto"/>
          <w:sz w:val="24"/>
          <w:highlight w:val="none"/>
        </w:rPr>
        <w:t>2</w:t>
      </w:r>
      <w:r>
        <w:rPr>
          <w:rFonts w:ascii="黑体" w:hAnsi="黑体" w:eastAsia="黑体"/>
          <w:color w:val="auto"/>
          <w:sz w:val="24"/>
          <w:highlight w:val="none"/>
        </w:rPr>
        <w:fldChar w:fldCharType="end"/>
      </w:r>
      <w:r>
        <w:rPr>
          <w:rFonts w:hint="eastAsia" w:ascii="黑体" w:hAnsi="黑体" w:eastAsia="黑体"/>
          <w:color w:val="auto"/>
          <w:sz w:val="24"/>
          <w:highlight w:val="none"/>
        </w:rPr>
        <w:t xml:space="preserve"> 承诺函</w:t>
      </w:r>
    </w:p>
    <w:p w14:paraId="28632695">
      <w:pPr>
        <w:jc w:val="center"/>
        <w:rPr>
          <w:rFonts w:hint="default" w:ascii="Times New Roman" w:hAnsi="Times New Roman" w:cs="Times New Roman"/>
          <w:b/>
          <w:bCs/>
          <w:color w:val="auto"/>
          <w:sz w:val="32"/>
          <w:szCs w:val="32"/>
          <w:highlight w:val="none"/>
          <w:lang w:eastAsia="zh-CN"/>
        </w:rPr>
      </w:pPr>
      <w:r>
        <w:rPr>
          <w:rFonts w:hint="default" w:ascii="Times New Roman" w:hAnsi="Times New Roman" w:cs="Times New Roman"/>
          <w:b/>
          <w:bCs/>
          <w:color w:val="auto"/>
          <w:sz w:val="32"/>
          <w:szCs w:val="32"/>
          <w:highlight w:val="none"/>
          <w:lang w:eastAsia="zh-CN"/>
        </w:rPr>
        <w:t>关于资料提供和环评内容确认的承诺函</w:t>
      </w:r>
    </w:p>
    <w:p w14:paraId="097DDC17">
      <w:pPr>
        <w:rPr>
          <w:rFonts w:hint="default" w:ascii="Times New Roman" w:hAnsi="Times New Roman" w:cs="Times New Roman"/>
          <w:color w:val="auto"/>
          <w:highlight w:val="none"/>
          <w:lang w:val="en-US" w:eastAsia="zh-CN"/>
        </w:rPr>
      </w:pPr>
    </w:p>
    <w:p w14:paraId="0CA3AAC5">
      <w:pPr>
        <w:keepNext w:val="0"/>
        <w:keepLines w:val="0"/>
        <w:pageBreakBefore w:val="0"/>
        <w:widowControl w:val="0"/>
        <w:kinsoku/>
        <w:wordWrap/>
        <w:overflowPunct/>
        <w:topLinePunct w:val="0"/>
        <w:autoSpaceDE/>
        <w:autoSpaceDN/>
        <w:bidi w:val="0"/>
        <w:adjustRightInd/>
        <w:snapToGrid/>
        <w:spacing w:line="800" w:lineRule="exact"/>
        <w:ind w:left="0" w:leftChars="0" w:right="0" w:rightChars="0"/>
        <w:jc w:val="both"/>
        <w:textAlignment w:val="auto"/>
        <w:outlineLvl w:val="9"/>
        <w:rPr>
          <w:rFonts w:hint="default" w:ascii="Times New Roman" w:hAnsi="Times New Roman" w:cs="Times New Roman"/>
          <w:b w:val="0"/>
          <w:bCs w:val="0"/>
          <w:color w:val="auto"/>
          <w:sz w:val="32"/>
          <w:szCs w:val="32"/>
          <w:highlight w:val="none"/>
          <w:lang w:val="en-US" w:eastAsia="zh-CN"/>
        </w:rPr>
      </w:pPr>
      <w:r>
        <w:rPr>
          <w:rFonts w:hint="default" w:ascii="Times New Roman" w:hAnsi="Times New Roman" w:cs="Times New Roman"/>
          <w:b w:val="0"/>
          <w:bCs w:val="0"/>
          <w:color w:val="auto"/>
          <w:sz w:val="32"/>
          <w:szCs w:val="32"/>
          <w:highlight w:val="none"/>
          <w:lang w:val="en-US" w:eastAsia="zh-CN"/>
        </w:rPr>
        <w:t>山东量石生态环境工程有限公司：</w:t>
      </w:r>
    </w:p>
    <w:p w14:paraId="18370BF8">
      <w:pPr>
        <w:keepNext w:val="0"/>
        <w:keepLines w:val="0"/>
        <w:pageBreakBefore w:val="0"/>
        <w:widowControl w:val="0"/>
        <w:kinsoku/>
        <w:wordWrap/>
        <w:overflowPunct/>
        <w:topLinePunct w:val="0"/>
        <w:autoSpaceDE/>
        <w:autoSpaceDN/>
        <w:bidi w:val="0"/>
        <w:adjustRightInd/>
        <w:snapToGrid/>
        <w:spacing w:line="800" w:lineRule="exact"/>
        <w:ind w:left="0" w:leftChars="0" w:right="0" w:rightChars="0" w:firstLine="640" w:firstLineChars="200"/>
        <w:jc w:val="both"/>
        <w:textAlignment w:val="auto"/>
        <w:outlineLvl w:val="9"/>
        <w:rPr>
          <w:rFonts w:hint="default" w:ascii="Times New Roman" w:hAnsi="Times New Roman" w:cs="Times New Roman"/>
          <w:b w:val="0"/>
          <w:bCs w:val="0"/>
          <w:color w:val="auto"/>
          <w:sz w:val="32"/>
          <w:szCs w:val="32"/>
          <w:highlight w:val="none"/>
          <w:lang w:val="en-US" w:eastAsia="zh-CN"/>
        </w:rPr>
      </w:pPr>
      <w:r>
        <w:rPr>
          <w:rFonts w:hint="default" w:ascii="Times New Roman" w:hAnsi="Times New Roman" w:cs="Times New Roman"/>
          <w:b w:val="0"/>
          <w:bCs w:val="0"/>
          <w:color w:val="auto"/>
          <w:sz w:val="32"/>
          <w:szCs w:val="32"/>
          <w:highlight w:val="none"/>
          <w:lang w:val="en-US" w:eastAsia="zh-CN"/>
        </w:rPr>
        <w:t>我公司委托贵公司承担</w:t>
      </w:r>
      <w:r>
        <w:rPr>
          <w:rFonts w:hint="eastAsia" w:cs="Times New Roman"/>
          <w:b w:val="0"/>
          <w:bCs/>
          <w:color w:val="auto"/>
          <w:sz w:val="32"/>
          <w:szCs w:val="32"/>
          <w:highlight w:val="none"/>
          <w:u w:val="single"/>
          <w:lang w:eastAsia="zh-CN"/>
        </w:rPr>
        <w:t>年产1000套实验室装备项目</w:t>
      </w:r>
      <w:r>
        <w:rPr>
          <w:rFonts w:hint="default" w:ascii="Times New Roman" w:hAnsi="Times New Roman" w:cs="Times New Roman"/>
          <w:b w:val="0"/>
          <w:bCs w:val="0"/>
          <w:color w:val="auto"/>
          <w:sz w:val="32"/>
          <w:szCs w:val="32"/>
          <w:highlight w:val="none"/>
          <w:lang w:val="en-US" w:eastAsia="zh-CN"/>
        </w:rPr>
        <w:t>环评报告编制工作，我公司确认环评报告所需项目基础资料由我方提供，环评内容符合本项目合同规定的要求，可以上报主管部门审查，由于我方提供资料真实性引起的法律责任，由我方承担。</w:t>
      </w:r>
    </w:p>
    <w:p w14:paraId="15F4A26A">
      <w:pPr>
        <w:keepNext w:val="0"/>
        <w:keepLines w:val="0"/>
        <w:pageBreakBefore w:val="0"/>
        <w:widowControl w:val="0"/>
        <w:kinsoku/>
        <w:wordWrap/>
        <w:overflowPunct/>
        <w:topLinePunct w:val="0"/>
        <w:autoSpaceDE/>
        <w:autoSpaceDN/>
        <w:bidi w:val="0"/>
        <w:adjustRightInd/>
        <w:snapToGrid/>
        <w:spacing w:line="800" w:lineRule="exact"/>
        <w:ind w:left="0" w:leftChars="0" w:right="0" w:rightChars="0" w:firstLine="640" w:firstLineChars="200"/>
        <w:jc w:val="both"/>
        <w:textAlignment w:val="auto"/>
        <w:outlineLvl w:val="9"/>
        <w:rPr>
          <w:rFonts w:hint="default" w:ascii="Times New Roman" w:hAnsi="Times New Roman" w:cs="Times New Roman"/>
          <w:b w:val="0"/>
          <w:bCs w:val="0"/>
          <w:color w:val="auto"/>
          <w:sz w:val="32"/>
          <w:szCs w:val="32"/>
          <w:highlight w:val="none"/>
          <w:lang w:val="en-US" w:eastAsia="zh-CN"/>
        </w:rPr>
      </w:pPr>
      <w:r>
        <w:rPr>
          <w:rFonts w:hint="default" w:ascii="Times New Roman" w:hAnsi="Times New Roman" w:cs="Times New Roman"/>
          <w:b w:val="0"/>
          <w:bCs w:val="0"/>
          <w:color w:val="auto"/>
          <w:sz w:val="32"/>
          <w:szCs w:val="32"/>
          <w:highlight w:val="none"/>
          <w:lang w:val="en-US" w:eastAsia="zh-CN"/>
        </w:rPr>
        <w:t>特此承诺！</w:t>
      </w:r>
    </w:p>
    <w:p w14:paraId="1A9AE533">
      <w:pPr>
        <w:ind w:firstLine="560" w:firstLineChars="200"/>
        <w:jc w:val="both"/>
        <w:rPr>
          <w:rFonts w:hint="default" w:ascii="Times New Roman" w:hAnsi="Times New Roman" w:cs="Times New Roman"/>
          <w:b w:val="0"/>
          <w:bCs w:val="0"/>
          <w:i/>
          <w:iCs/>
          <w:color w:val="auto"/>
          <w:sz w:val="28"/>
          <w:szCs w:val="28"/>
          <w:highlight w:val="none"/>
          <w:lang w:val="en-US" w:eastAsia="zh-CN"/>
        </w:rPr>
      </w:pPr>
    </w:p>
    <w:p w14:paraId="6FE1FCE0">
      <w:pPr>
        <w:ind w:firstLine="560" w:firstLineChars="200"/>
        <w:jc w:val="both"/>
        <w:rPr>
          <w:rFonts w:hint="default" w:ascii="Times New Roman" w:hAnsi="Times New Roman" w:cs="Times New Roman"/>
          <w:b w:val="0"/>
          <w:bCs w:val="0"/>
          <w:i/>
          <w:iCs/>
          <w:color w:val="auto"/>
          <w:sz w:val="28"/>
          <w:szCs w:val="28"/>
          <w:highlight w:val="none"/>
          <w:lang w:val="en-US" w:eastAsia="zh-CN"/>
        </w:rPr>
      </w:pPr>
      <w:r>
        <w:rPr>
          <w:rFonts w:hint="default" w:ascii="Times New Roman" w:hAnsi="Times New Roman" w:cs="Times New Roman"/>
          <w:b w:val="0"/>
          <w:bCs w:val="0"/>
          <w:i/>
          <w:iCs/>
          <w:color w:val="auto"/>
          <w:sz w:val="28"/>
          <w:szCs w:val="28"/>
          <w:highlight w:val="none"/>
          <w:lang w:val="en-US" w:eastAsia="zh-CN"/>
        </w:rPr>
        <w:t xml:space="preserve">             </w:t>
      </w:r>
    </w:p>
    <w:p w14:paraId="078B465D">
      <w:pPr>
        <w:ind w:firstLine="560" w:firstLineChars="200"/>
        <w:jc w:val="both"/>
        <w:rPr>
          <w:rFonts w:hint="default" w:ascii="Times New Roman" w:hAnsi="Times New Roman" w:cs="Times New Roman"/>
          <w:b w:val="0"/>
          <w:bCs w:val="0"/>
          <w:i/>
          <w:iCs/>
          <w:color w:val="auto"/>
          <w:sz w:val="28"/>
          <w:szCs w:val="28"/>
          <w:highlight w:val="none"/>
          <w:lang w:val="en-US" w:eastAsia="zh-CN"/>
        </w:rPr>
      </w:pPr>
    </w:p>
    <w:p w14:paraId="31DFC010">
      <w:pPr>
        <w:ind w:firstLine="560" w:firstLineChars="200"/>
        <w:jc w:val="both"/>
        <w:rPr>
          <w:rFonts w:hint="default" w:ascii="Times New Roman" w:hAnsi="Times New Roman" w:cs="Times New Roman"/>
          <w:b w:val="0"/>
          <w:bCs w:val="0"/>
          <w:i/>
          <w:iCs/>
          <w:color w:val="auto"/>
          <w:sz w:val="28"/>
          <w:szCs w:val="28"/>
          <w:highlight w:val="none"/>
          <w:lang w:val="en-US" w:eastAsia="zh-CN"/>
        </w:rPr>
      </w:pPr>
      <w:r>
        <w:rPr>
          <w:rFonts w:hint="default" w:ascii="Times New Roman" w:hAnsi="Times New Roman" w:cs="Times New Roman"/>
          <w:b w:val="0"/>
          <w:bCs w:val="0"/>
          <w:i/>
          <w:iCs/>
          <w:color w:val="auto"/>
          <w:sz w:val="28"/>
          <w:szCs w:val="28"/>
          <w:highlight w:val="none"/>
          <w:lang w:val="en-US" w:eastAsia="zh-CN"/>
        </w:rPr>
        <w:t xml:space="preserve">                </w:t>
      </w:r>
    </w:p>
    <w:p w14:paraId="7B4BE326">
      <w:pPr>
        <w:ind w:firstLine="560" w:firstLineChars="200"/>
        <w:jc w:val="right"/>
        <w:rPr>
          <w:rFonts w:hint="default" w:ascii="Times New Roman" w:hAnsi="Times New Roman" w:cs="Times New Roman"/>
          <w:b w:val="0"/>
          <w:bCs w:val="0"/>
          <w:color w:val="auto"/>
          <w:sz w:val="32"/>
          <w:szCs w:val="32"/>
          <w:highlight w:val="none"/>
          <w:lang w:val="en-US" w:eastAsia="zh-CN"/>
        </w:rPr>
      </w:pPr>
      <w:r>
        <w:rPr>
          <w:rFonts w:hint="default" w:ascii="Times New Roman" w:hAnsi="Times New Roman" w:cs="Times New Roman"/>
          <w:b w:val="0"/>
          <w:bCs w:val="0"/>
          <w:color w:val="auto"/>
          <w:sz w:val="28"/>
          <w:szCs w:val="28"/>
          <w:highlight w:val="none"/>
          <w:lang w:val="en-US" w:eastAsia="zh-CN"/>
        </w:rPr>
        <w:t xml:space="preserve">                 </w:t>
      </w:r>
      <w:r>
        <w:rPr>
          <w:rFonts w:hint="default" w:ascii="Times New Roman" w:hAnsi="Times New Roman" w:cs="Times New Roman"/>
          <w:b w:val="0"/>
          <w:bCs w:val="0"/>
          <w:color w:val="auto"/>
          <w:sz w:val="32"/>
          <w:szCs w:val="32"/>
          <w:highlight w:val="none"/>
          <w:lang w:val="en-US" w:eastAsia="zh-CN"/>
        </w:rPr>
        <w:t>建设单位：</w:t>
      </w:r>
      <w:r>
        <w:rPr>
          <w:rFonts w:hint="eastAsia" w:cs="Times New Roman"/>
          <w:b w:val="0"/>
          <w:bCs/>
          <w:color w:val="auto"/>
          <w:sz w:val="32"/>
          <w:szCs w:val="32"/>
          <w:highlight w:val="none"/>
          <w:lang w:eastAsia="zh-CN"/>
        </w:rPr>
        <w:t>淄博美嘉洁实验室装备有限公司</w:t>
      </w:r>
    </w:p>
    <w:p w14:paraId="546F070E">
      <w:pPr>
        <w:rPr>
          <w:color w:val="auto"/>
          <w:highlight w:val="none"/>
        </w:rPr>
      </w:pPr>
      <w:r>
        <w:rPr>
          <w:rFonts w:hint="default" w:ascii="Times New Roman" w:hAnsi="Times New Roman" w:cs="Times New Roman"/>
          <w:b w:val="0"/>
          <w:bCs w:val="0"/>
          <w:color w:val="auto"/>
          <w:sz w:val="32"/>
          <w:szCs w:val="32"/>
          <w:highlight w:val="none"/>
          <w:lang w:val="en-US" w:eastAsia="zh-CN"/>
        </w:rPr>
        <w:t xml:space="preserve">                          </w:t>
      </w:r>
      <w:r>
        <w:rPr>
          <w:rFonts w:hint="eastAsia" w:cs="Times New Roman"/>
          <w:b w:val="0"/>
          <w:bCs w:val="0"/>
          <w:color w:val="auto"/>
          <w:sz w:val="32"/>
          <w:szCs w:val="32"/>
          <w:highlight w:val="none"/>
          <w:lang w:val="en-US" w:eastAsia="zh-CN"/>
        </w:rPr>
        <w:t xml:space="preserve">            </w:t>
      </w:r>
      <w:r>
        <w:rPr>
          <w:rFonts w:hint="default" w:ascii="Times New Roman" w:hAnsi="Times New Roman" w:cs="Times New Roman"/>
          <w:b w:val="0"/>
          <w:bCs w:val="0"/>
          <w:color w:val="auto"/>
          <w:sz w:val="32"/>
          <w:szCs w:val="32"/>
          <w:highlight w:val="none"/>
          <w:lang w:val="en-US" w:eastAsia="zh-CN"/>
        </w:rPr>
        <w:t>202</w:t>
      </w:r>
      <w:r>
        <w:rPr>
          <w:rFonts w:hint="eastAsia" w:cs="Times New Roman"/>
          <w:b w:val="0"/>
          <w:bCs w:val="0"/>
          <w:color w:val="auto"/>
          <w:sz w:val="32"/>
          <w:szCs w:val="32"/>
          <w:highlight w:val="none"/>
          <w:lang w:val="en-US" w:eastAsia="zh-CN"/>
        </w:rPr>
        <w:t>6</w:t>
      </w:r>
      <w:r>
        <w:rPr>
          <w:rFonts w:hint="default" w:ascii="Times New Roman" w:hAnsi="Times New Roman" w:cs="Times New Roman"/>
          <w:b w:val="0"/>
          <w:bCs w:val="0"/>
          <w:color w:val="auto"/>
          <w:sz w:val="32"/>
          <w:szCs w:val="32"/>
          <w:highlight w:val="none"/>
          <w:lang w:val="en-US" w:eastAsia="zh-CN"/>
        </w:rPr>
        <w:t>年</w:t>
      </w:r>
      <w:r>
        <w:rPr>
          <w:rFonts w:hint="eastAsia" w:cs="Times New Roman"/>
          <w:b w:val="0"/>
          <w:bCs w:val="0"/>
          <w:color w:val="auto"/>
          <w:sz w:val="32"/>
          <w:szCs w:val="32"/>
          <w:highlight w:val="none"/>
          <w:lang w:val="en-US" w:eastAsia="zh-CN"/>
        </w:rPr>
        <w:t>4</w:t>
      </w:r>
      <w:r>
        <w:rPr>
          <w:rFonts w:hint="default" w:ascii="Times New Roman" w:hAnsi="Times New Roman" w:cs="Times New Roman"/>
          <w:b w:val="0"/>
          <w:bCs w:val="0"/>
          <w:color w:val="auto"/>
          <w:sz w:val="32"/>
          <w:szCs w:val="32"/>
          <w:highlight w:val="none"/>
          <w:lang w:val="en-US" w:eastAsia="zh-CN"/>
        </w:rPr>
        <w:t>月</w:t>
      </w:r>
    </w:p>
    <w:p w14:paraId="504B3DE2">
      <w:pPr>
        <w:rPr>
          <w:color w:val="auto"/>
          <w:highlight w:val="none"/>
        </w:rPr>
      </w:pPr>
    </w:p>
    <w:p w14:paraId="062CBAF2">
      <w:pPr>
        <w:jc w:val="center"/>
        <w:rPr>
          <w:color w:val="auto"/>
          <w:highlight w:val="none"/>
        </w:rPr>
        <w:sectPr>
          <w:pgSz w:w="11906" w:h="16838"/>
          <w:pgMar w:top="1418" w:right="1247" w:bottom="1418" w:left="1247" w:header="851" w:footer="851" w:gutter="0"/>
          <w:pgBorders>
            <w:top w:val="none" w:sz="0" w:space="0"/>
            <w:left w:val="none" w:sz="0" w:space="0"/>
            <w:bottom w:val="none" w:sz="0" w:space="0"/>
            <w:right w:val="none" w:sz="0" w:space="0"/>
          </w:pgBorders>
          <w:cols w:space="720" w:num="1"/>
          <w:docGrid w:type="lines" w:linePitch="312" w:charSpace="0"/>
        </w:sectPr>
      </w:pPr>
    </w:p>
    <w:p w14:paraId="6BC228E5">
      <w:pPr>
        <w:spacing w:line="360" w:lineRule="auto"/>
        <w:outlineLvl w:val="0"/>
        <w:rPr>
          <w:rFonts w:hint="eastAsia" w:ascii="黑体" w:hAnsi="黑体" w:eastAsia="黑体"/>
          <w:color w:val="auto"/>
          <w:sz w:val="24"/>
          <w:highlight w:val="none"/>
          <w:lang w:eastAsia="zh-CN"/>
        </w:rPr>
      </w:pPr>
      <w:r>
        <w:rPr>
          <w:color w:val="auto"/>
          <w:highlight w:val="none"/>
        </w:rPr>
        <w:drawing>
          <wp:anchor distT="0" distB="0" distL="114300" distR="114300" simplePos="0" relativeHeight="251678720" behindDoc="1" locked="0" layoutInCell="1" allowOverlap="1">
            <wp:simplePos x="0" y="0"/>
            <wp:positionH relativeFrom="column">
              <wp:posOffset>-86995</wp:posOffset>
            </wp:positionH>
            <wp:positionV relativeFrom="paragraph">
              <wp:posOffset>245745</wp:posOffset>
            </wp:positionV>
            <wp:extent cx="6163310" cy="8416290"/>
            <wp:effectExtent l="0" t="0" r="8890" b="3810"/>
            <wp:wrapNone/>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43"/>
                    <a:stretch>
                      <a:fillRect/>
                    </a:stretch>
                  </pic:blipFill>
                  <pic:spPr>
                    <a:xfrm>
                      <a:off x="0" y="0"/>
                      <a:ext cx="6163310" cy="8416290"/>
                    </a:xfrm>
                    <a:prstGeom prst="rect">
                      <a:avLst/>
                    </a:prstGeom>
                    <a:noFill/>
                    <a:ln>
                      <a:noFill/>
                    </a:ln>
                  </pic:spPr>
                </pic:pic>
              </a:graphicData>
            </a:graphic>
          </wp:anchor>
        </w:drawing>
      </w:r>
      <w:r>
        <w:rPr>
          <w:rFonts w:hint="eastAsia" w:ascii="黑体" w:hAnsi="黑体" w:eastAsia="黑体"/>
          <w:color w:val="auto"/>
          <w:sz w:val="24"/>
          <w:highlight w:val="none"/>
        </w:rPr>
        <w:t>附件</w:t>
      </w:r>
      <w:r>
        <w:rPr>
          <w:rFonts w:ascii="黑体" w:hAnsi="黑体" w:eastAsia="黑体"/>
          <w:color w:val="auto"/>
          <w:sz w:val="24"/>
          <w:highlight w:val="none"/>
        </w:rPr>
        <w:fldChar w:fldCharType="begin"/>
      </w:r>
      <w:r>
        <w:rPr>
          <w:rFonts w:ascii="黑体" w:hAnsi="黑体" w:eastAsia="黑体"/>
          <w:color w:val="auto"/>
          <w:sz w:val="24"/>
          <w:highlight w:val="none"/>
        </w:rPr>
        <w:instrText xml:space="preserve"> </w:instrText>
      </w:r>
      <w:r>
        <w:rPr>
          <w:rFonts w:hint="eastAsia" w:ascii="黑体" w:hAnsi="黑体" w:eastAsia="黑体"/>
          <w:color w:val="auto"/>
          <w:sz w:val="24"/>
          <w:highlight w:val="none"/>
        </w:rPr>
        <w:instrText xml:space="preserve">SEQ 附件 \* ARABIC</w:instrText>
      </w:r>
      <w:r>
        <w:rPr>
          <w:rFonts w:ascii="黑体" w:hAnsi="黑体" w:eastAsia="黑体"/>
          <w:color w:val="auto"/>
          <w:sz w:val="24"/>
          <w:highlight w:val="none"/>
        </w:rPr>
        <w:instrText xml:space="preserve"> </w:instrText>
      </w:r>
      <w:r>
        <w:rPr>
          <w:rFonts w:ascii="黑体" w:hAnsi="黑体" w:eastAsia="黑体"/>
          <w:color w:val="auto"/>
          <w:sz w:val="24"/>
          <w:highlight w:val="none"/>
        </w:rPr>
        <w:fldChar w:fldCharType="separate"/>
      </w:r>
      <w:r>
        <w:rPr>
          <w:rFonts w:hint="eastAsia" w:ascii="黑体" w:hAnsi="黑体" w:eastAsia="黑体"/>
          <w:color w:val="auto"/>
          <w:sz w:val="24"/>
          <w:highlight w:val="none"/>
        </w:rPr>
        <w:t>3</w:t>
      </w:r>
      <w:r>
        <w:rPr>
          <w:rFonts w:ascii="黑体" w:hAnsi="黑体" w:eastAsia="黑体"/>
          <w:color w:val="auto"/>
          <w:sz w:val="24"/>
          <w:highlight w:val="none"/>
        </w:rPr>
        <w:fldChar w:fldCharType="end"/>
      </w:r>
      <w:r>
        <w:rPr>
          <w:rFonts w:hint="eastAsia" w:ascii="黑体" w:hAnsi="黑体" w:eastAsia="黑体"/>
          <w:color w:val="auto"/>
          <w:sz w:val="24"/>
          <w:highlight w:val="none"/>
        </w:rPr>
        <w:t xml:space="preserve"> 备案文件</w:t>
      </w:r>
    </w:p>
    <w:p w14:paraId="07284F07">
      <w:pPr>
        <w:spacing w:line="360" w:lineRule="auto"/>
        <w:outlineLvl w:val="0"/>
        <w:rPr>
          <w:rFonts w:hint="eastAsia" w:ascii="黑体" w:hAnsi="黑体" w:eastAsia="黑体"/>
          <w:color w:val="auto"/>
          <w:sz w:val="24"/>
          <w:highlight w:val="none"/>
          <w:lang w:eastAsia="zh-CN"/>
        </w:rPr>
        <w:sectPr>
          <w:pgSz w:w="11906" w:h="16838"/>
          <w:pgMar w:top="1418" w:right="1247" w:bottom="1418" w:left="1247" w:header="850" w:footer="850" w:gutter="0"/>
          <w:pgBorders>
            <w:top w:val="none" w:sz="0" w:space="0"/>
            <w:left w:val="none" w:sz="0" w:space="0"/>
            <w:bottom w:val="none" w:sz="0" w:space="0"/>
            <w:right w:val="none" w:sz="0" w:space="0"/>
          </w:pgBorders>
          <w:cols w:space="720" w:num="1"/>
          <w:docGrid w:type="lines" w:linePitch="312" w:charSpace="0"/>
        </w:sectPr>
      </w:pPr>
    </w:p>
    <w:p w14:paraId="4AA9BEBD">
      <w:pPr>
        <w:spacing w:line="360" w:lineRule="auto"/>
        <w:outlineLvl w:val="0"/>
        <w:rPr>
          <w:color w:val="auto"/>
          <w:highlight w:val="none"/>
        </w:rPr>
      </w:pPr>
      <w:r>
        <w:rPr>
          <w:rFonts w:hint="default" w:ascii="仿宋_GB2312" w:eastAsia="仿宋_GB2312"/>
          <w:color w:val="auto"/>
          <w:sz w:val="32"/>
          <w:szCs w:val="32"/>
          <w:highlight w:val="none"/>
          <w:lang w:val="en-US" w:eastAsia="zh-CN"/>
        </w:rPr>
        <w:drawing>
          <wp:anchor distT="0" distB="0" distL="114300" distR="114300" simplePos="0" relativeHeight="251678720" behindDoc="1" locked="0" layoutInCell="1" allowOverlap="1">
            <wp:simplePos x="0" y="0"/>
            <wp:positionH relativeFrom="column">
              <wp:posOffset>1637030</wp:posOffset>
            </wp:positionH>
            <wp:positionV relativeFrom="paragraph">
              <wp:posOffset>-836295</wp:posOffset>
            </wp:positionV>
            <wp:extent cx="5369560" cy="7522210"/>
            <wp:effectExtent l="0" t="1076325" r="0" b="0"/>
            <wp:wrapNone/>
            <wp:docPr id="28" name="图片 28"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营业执照"/>
                    <pic:cNvPicPr>
                      <a:picLocks noChangeAspect="1"/>
                    </pic:cNvPicPr>
                  </pic:nvPicPr>
                  <pic:blipFill>
                    <a:blip r:embed="rId44"/>
                    <a:srcRect l="365" t="1324"/>
                    <a:stretch>
                      <a:fillRect/>
                    </a:stretch>
                  </pic:blipFill>
                  <pic:spPr>
                    <a:xfrm rot="5400000">
                      <a:off x="0" y="0"/>
                      <a:ext cx="5369560" cy="7522210"/>
                    </a:xfrm>
                    <a:prstGeom prst="rect">
                      <a:avLst/>
                    </a:prstGeom>
                  </pic:spPr>
                </pic:pic>
              </a:graphicData>
            </a:graphic>
          </wp:anchor>
        </w:drawing>
      </w:r>
      <w:r>
        <w:rPr>
          <w:rFonts w:hint="eastAsia" w:ascii="黑体" w:hAnsi="黑体" w:eastAsia="黑体"/>
          <w:color w:val="auto"/>
          <w:sz w:val="24"/>
          <w:highlight w:val="none"/>
        </w:rPr>
        <w:t>附件</w:t>
      </w:r>
      <w:r>
        <w:rPr>
          <w:rFonts w:ascii="黑体" w:hAnsi="黑体" w:eastAsia="黑体"/>
          <w:color w:val="auto"/>
          <w:sz w:val="24"/>
          <w:highlight w:val="none"/>
        </w:rPr>
        <w:fldChar w:fldCharType="begin"/>
      </w:r>
      <w:r>
        <w:rPr>
          <w:rFonts w:ascii="黑体" w:hAnsi="黑体" w:eastAsia="黑体"/>
          <w:color w:val="auto"/>
          <w:sz w:val="24"/>
          <w:highlight w:val="none"/>
        </w:rPr>
        <w:instrText xml:space="preserve"> </w:instrText>
      </w:r>
      <w:r>
        <w:rPr>
          <w:rFonts w:hint="eastAsia" w:ascii="黑体" w:hAnsi="黑体" w:eastAsia="黑体"/>
          <w:color w:val="auto"/>
          <w:sz w:val="24"/>
          <w:highlight w:val="none"/>
        </w:rPr>
        <w:instrText xml:space="preserve">SEQ 附件 \* ARABIC</w:instrText>
      </w:r>
      <w:r>
        <w:rPr>
          <w:rFonts w:ascii="黑体" w:hAnsi="黑体" w:eastAsia="黑体"/>
          <w:color w:val="auto"/>
          <w:sz w:val="24"/>
          <w:highlight w:val="none"/>
        </w:rPr>
        <w:instrText xml:space="preserve"> </w:instrText>
      </w:r>
      <w:r>
        <w:rPr>
          <w:rFonts w:ascii="黑体" w:hAnsi="黑体" w:eastAsia="黑体"/>
          <w:color w:val="auto"/>
          <w:sz w:val="24"/>
          <w:highlight w:val="none"/>
        </w:rPr>
        <w:fldChar w:fldCharType="separate"/>
      </w:r>
      <w:r>
        <w:rPr>
          <w:rFonts w:hint="eastAsia" w:ascii="黑体" w:hAnsi="黑体" w:eastAsia="黑体"/>
          <w:color w:val="auto"/>
          <w:sz w:val="24"/>
          <w:highlight w:val="none"/>
        </w:rPr>
        <w:t>4</w:t>
      </w:r>
      <w:r>
        <w:rPr>
          <w:rFonts w:ascii="黑体" w:hAnsi="黑体" w:eastAsia="黑体"/>
          <w:color w:val="auto"/>
          <w:sz w:val="24"/>
          <w:highlight w:val="none"/>
        </w:rPr>
        <w:fldChar w:fldCharType="end"/>
      </w:r>
      <w:r>
        <w:rPr>
          <w:rFonts w:hint="eastAsia" w:ascii="黑体" w:hAnsi="黑体" w:eastAsia="黑体"/>
          <w:color w:val="auto"/>
          <w:sz w:val="24"/>
          <w:highlight w:val="none"/>
        </w:rPr>
        <w:t xml:space="preserve"> 营业执照</w:t>
      </w:r>
    </w:p>
    <w:p w14:paraId="4DD62881">
      <w:pPr>
        <w:jc w:val="center"/>
        <w:rPr>
          <w:rFonts w:hint="eastAsia" w:eastAsia="宋体"/>
          <w:color w:val="auto"/>
          <w:highlight w:val="none"/>
          <w:lang w:eastAsia="zh-CN"/>
        </w:rPr>
      </w:pPr>
    </w:p>
    <w:p w14:paraId="0C4B6F90">
      <w:pPr>
        <w:spacing w:line="360" w:lineRule="auto"/>
        <w:outlineLvl w:val="0"/>
        <w:rPr>
          <w:rFonts w:hint="eastAsia" w:ascii="黑体" w:hAnsi="黑体" w:eastAsia="黑体"/>
          <w:color w:val="auto"/>
          <w:sz w:val="24"/>
          <w:highlight w:val="none"/>
        </w:rPr>
        <w:sectPr>
          <w:pgSz w:w="16838" w:h="11906" w:orient="landscape"/>
          <w:pgMar w:top="1418" w:right="1247" w:bottom="1418" w:left="1247" w:header="850" w:footer="850" w:gutter="0"/>
          <w:pgBorders>
            <w:top w:val="none" w:sz="0" w:space="0"/>
            <w:left w:val="none" w:sz="0" w:space="0"/>
            <w:bottom w:val="none" w:sz="0" w:space="0"/>
            <w:right w:val="none" w:sz="0" w:space="0"/>
          </w:pgBorders>
          <w:cols w:space="720" w:num="1"/>
          <w:docGrid w:type="lines" w:linePitch="312" w:charSpace="0"/>
        </w:sectPr>
      </w:pPr>
    </w:p>
    <w:p w14:paraId="2319402A">
      <w:pPr>
        <w:spacing w:line="360" w:lineRule="auto"/>
        <w:outlineLvl w:val="0"/>
        <w:rPr>
          <w:rFonts w:hint="eastAsia" w:eastAsia="黑体"/>
          <w:color w:val="auto"/>
          <w:highlight w:val="none"/>
          <w:lang w:eastAsia="zh-CN"/>
        </w:rPr>
      </w:pPr>
      <w:r>
        <w:rPr>
          <w:rFonts w:hint="eastAsia" w:ascii="黑体" w:hAnsi="黑体" w:eastAsia="黑体"/>
          <w:color w:val="auto"/>
          <w:sz w:val="24"/>
          <w:highlight w:val="none"/>
        </w:rPr>
        <w:t>附件</w:t>
      </w:r>
      <w:r>
        <w:rPr>
          <w:rFonts w:ascii="黑体" w:hAnsi="黑体" w:eastAsia="黑体"/>
          <w:color w:val="auto"/>
          <w:sz w:val="24"/>
          <w:highlight w:val="none"/>
        </w:rPr>
        <w:fldChar w:fldCharType="begin"/>
      </w:r>
      <w:r>
        <w:rPr>
          <w:rFonts w:ascii="黑体" w:hAnsi="黑体" w:eastAsia="黑体"/>
          <w:color w:val="auto"/>
          <w:sz w:val="24"/>
          <w:highlight w:val="none"/>
        </w:rPr>
        <w:instrText xml:space="preserve"> </w:instrText>
      </w:r>
      <w:r>
        <w:rPr>
          <w:rFonts w:hint="eastAsia" w:ascii="黑体" w:hAnsi="黑体" w:eastAsia="黑体"/>
          <w:color w:val="auto"/>
          <w:sz w:val="24"/>
          <w:highlight w:val="none"/>
        </w:rPr>
        <w:instrText xml:space="preserve">SEQ 附件 \* ARABIC</w:instrText>
      </w:r>
      <w:r>
        <w:rPr>
          <w:rFonts w:ascii="黑体" w:hAnsi="黑体" w:eastAsia="黑体"/>
          <w:color w:val="auto"/>
          <w:sz w:val="24"/>
          <w:highlight w:val="none"/>
        </w:rPr>
        <w:instrText xml:space="preserve"> </w:instrText>
      </w:r>
      <w:r>
        <w:rPr>
          <w:rFonts w:ascii="黑体" w:hAnsi="黑体" w:eastAsia="黑体"/>
          <w:color w:val="auto"/>
          <w:sz w:val="24"/>
          <w:highlight w:val="none"/>
        </w:rPr>
        <w:fldChar w:fldCharType="separate"/>
      </w:r>
      <w:r>
        <w:rPr>
          <w:rFonts w:hint="eastAsia" w:ascii="黑体" w:hAnsi="黑体" w:eastAsia="黑体"/>
          <w:color w:val="auto"/>
          <w:sz w:val="24"/>
          <w:highlight w:val="none"/>
        </w:rPr>
        <w:t>5</w:t>
      </w:r>
      <w:r>
        <w:rPr>
          <w:rFonts w:ascii="黑体" w:hAnsi="黑体" w:eastAsia="黑体"/>
          <w:color w:val="auto"/>
          <w:sz w:val="24"/>
          <w:highlight w:val="none"/>
        </w:rPr>
        <w:fldChar w:fldCharType="end"/>
      </w:r>
      <w:r>
        <w:rPr>
          <w:rFonts w:hint="eastAsia" w:ascii="黑体" w:hAnsi="黑体" w:eastAsia="黑体"/>
          <w:color w:val="auto"/>
          <w:sz w:val="24"/>
          <w:highlight w:val="none"/>
        </w:rPr>
        <w:t xml:space="preserve"> </w:t>
      </w:r>
      <w:r>
        <w:rPr>
          <w:rFonts w:hint="eastAsia" w:ascii="黑体" w:hAnsi="黑体" w:eastAsia="黑体"/>
          <w:color w:val="auto"/>
          <w:sz w:val="24"/>
          <w:highlight w:val="none"/>
          <w:lang w:eastAsia="zh-CN"/>
        </w:rPr>
        <w:t>信息公开承诺书</w:t>
      </w:r>
    </w:p>
    <w:p w14:paraId="62C3223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b/>
          <w:bCs/>
          <w:color w:val="auto"/>
          <w:sz w:val="32"/>
          <w:szCs w:val="32"/>
          <w:highlight w:val="none"/>
        </w:rPr>
      </w:pPr>
      <w:r>
        <w:rPr>
          <w:rFonts w:hint="default" w:ascii="Times New Roman" w:hAnsi="Times New Roman" w:cs="Times New Roman"/>
          <w:b/>
          <w:bCs/>
          <w:color w:val="auto"/>
          <w:sz w:val="32"/>
          <w:szCs w:val="32"/>
          <w:highlight w:val="none"/>
        </w:rPr>
        <w:t>环境影响评价信息公开承诺书</w:t>
      </w:r>
    </w:p>
    <w:p w14:paraId="0FEB71F0">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b w:val="0"/>
          <w:bCs w:val="0"/>
          <w:color w:val="auto"/>
          <w:sz w:val="24"/>
          <w:szCs w:val="24"/>
          <w:highlight w:val="none"/>
        </w:rPr>
      </w:pPr>
    </w:p>
    <w:p w14:paraId="32DA8DB0">
      <w:pPr>
        <w:keepNext w:val="0"/>
        <w:keepLines w:val="0"/>
        <w:pageBreakBefore w:val="0"/>
        <w:widowControl w:val="0"/>
        <w:kinsoku/>
        <w:wordWrap/>
        <w:overflowPunct/>
        <w:topLinePunct w:val="0"/>
        <w:autoSpaceDE/>
        <w:autoSpaceDN/>
        <w:bidi w:val="0"/>
        <w:adjustRightInd w:val="0"/>
        <w:snapToGrid w:val="0"/>
        <w:spacing w:line="480" w:lineRule="auto"/>
        <w:ind w:left="0" w:leftChars="0" w:firstLine="0" w:firstLineChars="0"/>
        <w:textAlignment w:val="auto"/>
        <w:rPr>
          <w:rFonts w:hint="eastAsia" w:ascii="宋体" w:hAnsi="宋体" w:eastAsia="宋体" w:cs="宋体"/>
          <w:b w:val="0"/>
          <w:bCs w:val="0"/>
          <w:color w:val="auto"/>
          <w:sz w:val="32"/>
          <w:szCs w:val="32"/>
          <w:highlight w:val="none"/>
          <w:lang w:eastAsia="zh-CN"/>
        </w:rPr>
      </w:pPr>
      <w:r>
        <w:rPr>
          <w:rFonts w:hint="eastAsia" w:ascii="宋体" w:hAnsi="宋体" w:eastAsia="宋体" w:cs="宋体"/>
          <w:b w:val="0"/>
          <w:bCs w:val="0"/>
          <w:color w:val="auto"/>
          <w:sz w:val="32"/>
          <w:szCs w:val="32"/>
          <w:highlight w:val="none"/>
          <w:lang w:eastAsia="zh-CN"/>
        </w:rPr>
        <w:t>淄博市生态环境局</w:t>
      </w:r>
      <w:r>
        <w:rPr>
          <w:rFonts w:hint="eastAsia" w:ascii="宋体" w:hAnsi="宋体" w:cs="宋体"/>
          <w:b w:val="0"/>
          <w:bCs w:val="0"/>
          <w:color w:val="auto"/>
          <w:sz w:val="32"/>
          <w:szCs w:val="32"/>
          <w:highlight w:val="none"/>
          <w:lang w:eastAsia="zh-CN"/>
        </w:rPr>
        <w:t>经济开发区</w:t>
      </w:r>
      <w:r>
        <w:rPr>
          <w:rFonts w:hint="eastAsia" w:ascii="宋体" w:hAnsi="宋体" w:eastAsia="宋体" w:cs="宋体"/>
          <w:b w:val="0"/>
          <w:bCs w:val="0"/>
          <w:color w:val="auto"/>
          <w:sz w:val="32"/>
          <w:szCs w:val="32"/>
          <w:highlight w:val="none"/>
          <w:lang w:eastAsia="zh-CN"/>
        </w:rPr>
        <w:t>分局：</w:t>
      </w:r>
    </w:p>
    <w:p w14:paraId="1C4B34B5">
      <w:pPr>
        <w:keepNext w:val="0"/>
        <w:keepLines w:val="0"/>
        <w:pageBreakBefore w:val="0"/>
        <w:widowControl w:val="0"/>
        <w:kinsoku/>
        <w:wordWrap/>
        <w:overflowPunct/>
        <w:topLinePunct w:val="0"/>
        <w:autoSpaceDE/>
        <w:autoSpaceDN/>
        <w:bidi w:val="0"/>
        <w:adjustRightInd w:val="0"/>
        <w:snapToGrid w:val="0"/>
        <w:spacing w:line="480" w:lineRule="auto"/>
        <w:ind w:left="0" w:leftChars="0" w:firstLine="640" w:firstLineChars="200"/>
        <w:textAlignment w:val="auto"/>
        <w:rPr>
          <w:rFonts w:hint="eastAsia" w:ascii="宋体" w:hAnsi="宋体" w:eastAsia="宋体" w:cs="宋体"/>
          <w:b w:val="0"/>
          <w:bCs w:val="0"/>
          <w:color w:val="auto"/>
          <w:sz w:val="32"/>
          <w:szCs w:val="32"/>
          <w:highlight w:val="none"/>
        </w:rPr>
      </w:pPr>
      <w:r>
        <w:rPr>
          <w:rFonts w:hint="eastAsia" w:ascii="宋体" w:hAnsi="宋体" w:eastAsia="宋体" w:cs="宋体"/>
          <w:b w:val="0"/>
          <w:bCs w:val="0"/>
          <w:color w:val="auto"/>
          <w:sz w:val="32"/>
          <w:szCs w:val="32"/>
          <w:highlight w:val="none"/>
        </w:rPr>
        <w:t>我单位</w:t>
      </w:r>
      <w:r>
        <w:rPr>
          <w:rFonts w:hint="eastAsia" w:ascii="宋体" w:hAnsi="宋体" w:eastAsia="宋体" w:cs="宋体"/>
          <w:b w:val="0"/>
          <w:bCs w:val="0"/>
          <w:color w:val="auto"/>
          <w:sz w:val="32"/>
          <w:szCs w:val="32"/>
          <w:highlight w:val="none"/>
          <w:u w:val="single"/>
          <w:lang w:val="en-US" w:eastAsia="zh-CN"/>
        </w:rPr>
        <w:t xml:space="preserve">  </w:t>
      </w:r>
      <w:r>
        <w:rPr>
          <w:rFonts w:hint="eastAsia" w:ascii="宋体" w:hAnsi="宋体" w:cs="宋体"/>
          <w:b w:val="0"/>
          <w:bCs w:val="0"/>
          <w:color w:val="auto"/>
          <w:sz w:val="32"/>
          <w:szCs w:val="32"/>
          <w:highlight w:val="none"/>
          <w:u w:val="single"/>
          <w:lang w:val="en-US" w:eastAsia="zh-CN"/>
        </w:rPr>
        <w:t>年产1000套实验室装备项目</w:t>
      </w:r>
      <w:r>
        <w:rPr>
          <w:rFonts w:hint="eastAsia" w:ascii="宋体" w:hAnsi="宋体" w:eastAsia="宋体" w:cs="宋体"/>
          <w:b w:val="0"/>
          <w:bCs w:val="0"/>
          <w:color w:val="auto"/>
          <w:sz w:val="32"/>
          <w:szCs w:val="32"/>
          <w:highlight w:val="none"/>
          <w:u w:val="single"/>
          <w:lang w:val="en-US" w:eastAsia="zh-CN"/>
        </w:rPr>
        <w:t xml:space="preserve">  </w:t>
      </w:r>
      <w:r>
        <w:rPr>
          <w:rFonts w:hint="eastAsia" w:ascii="宋体" w:hAnsi="宋体" w:eastAsia="宋体" w:cs="宋体"/>
          <w:b w:val="0"/>
          <w:bCs w:val="0"/>
          <w:color w:val="auto"/>
          <w:sz w:val="32"/>
          <w:szCs w:val="32"/>
          <w:highlight w:val="none"/>
        </w:rPr>
        <w:t>已达到受理条件，按照环保部《建设项目环境影响评价政府信息公开指南</w:t>
      </w:r>
      <w:r>
        <w:rPr>
          <w:rFonts w:hint="eastAsia" w:ascii="宋体" w:hAnsi="宋体" w:eastAsia="宋体" w:cs="宋体"/>
          <w:b w:val="0"/>
          <w:bCs w:val="0"/>
          <w:color w:val="auto"/>
          <w:sz w:val="32"/>
          <w:szCs w:val="32"/>
          <w:highlight w:val="none"/>
          <w:lang w:eastAsia="zh-CN"/>
        </w:rPr>
        <w:t>（</w:t>
      </w:r>
      <w:r>
        <w:rPr>
          <w:rFonts w:hint="eastAsia" w:ascii="宋体" w:hAnsi="宋体" w:eastAsia="宋体" w:cs="宋体"/>
          <w:b w:val="0"/>
          <w:bCs w:val="0"/>
          <w:color w:val="auto"/>
          <w:sz w:val="32"/>
          <w:szCs w:val="32"/>
          <w:highlight w:val="none"/>
        </w:rPr>
        <w:t>试行</w:t>
      </w:r>
      <w:r>
        <w:rPr>
          <w:rFonts w:hint="eastAsia" w:ascii="宋体" w:hAnsi="宋体" w:eastAsia="宋体" w:cs="宋体"/>
          <w:b w:val="0"/>
          <w:bCs w:val="0"/>
          <w:color w:val="auto"/>
          <w:sz w:val="32"/>
          <w:szCs w:val="32"/>
          <w:highlight w:val="none"/>
          <w:lang w:eastAsia="zh-CN"/>
        </w:rPr>
        <w:t>）</w:t>
      </w:r>
      <w:r>
        <w:rPr>
          <w:rFonts w:hint="eastAsia" w:ascii="宋体" w:hAnsi="宋体" w:eastAsia="宋体" w:cs="宋体"/>
          <w:b w:val="0"/>
          <w:bCs w:val="0"/>
          <w:color w:val="auto"/>
          <w:sz w:val="32"/>
          <w:szCs w:val="32"/>
          <w:highlight w:val="none"/>
        </w:rPr>
        <w:t>》</w:t>
      </w:r>
      <w:r>
        <w:rPr>
          <w:rFonts w:hint="eastAsia" w:ascii="宋体" w:hAnsi="宋体" w:eastAsia="宋体" w:cs="宋体"/>
          <w:b w:val="0"/>
          <w:bCs w:val="0"/>
          <w:color w:val="auto"/>
          <w:sz w:val="32"/>
          <w:szCs w:val="32"/>
          <w:highlight w:val="none"/>
          <w:lang w:eastAsia="zh-CN"/>
        </w:rPr>
        <w:t>（</w:t>
      </w:r>
      <w:r>
        <w:rPr>
          <w:rFonts w:hint="eastAsia" w:ascii="宋体" w:hAnsi="宋体" w:eastAsia="宋体" w:cs="宋体"/>
          <w:b w:val="0"/>
          <w:bCs w:val="0"/>
          <w:color w:val="auto"/>
          <w:sz w:val="32"/>
          <w:szCs w:val="32"/>
          <w:highlight w:val="none"/>
        </w:rPr>
        <w:t>环办</w:t>
      </w:r>
      <w:r>
        <w:rPr>
          <w:rFonts w:hint="eastAsia" w:ascii="宋体" w:hAnsi="宋体" w:eastAsia="宋体" w:cs="宋体"/>
          <w:b w:val="0"/>
          <w:bCs w:val="0"/>
          <w:color w:val="auto"/>
          <w:sz w:val="32"/>
          <w:szCs w:val="32"/>
          <w:highlight w:val="none"/>
          <w:lang w:val="en-US" w:eastAsia="zh-CN"/>
        </w:rPr>
        <w:t>[</w:t>
      </w:r>
      <w:r>
        <w:rPr>
          <w:rFonts w:hint="eastAsia" w:ascii="宋体" w:hAnsi="宋体" w:eastAsia="宋体" w:cs="宋体"/>
          <w:b w:val="0"/>
          <w:bCs w:val="0"/>
          <w:color w:val="auto"/>
          <w:sz w:val="32"/>
          <w:szCs w:val="32"/>
          <w:highlight w:val="none"/>
        </w:rPr>
        <w:t>2013</w:t>
      </w:r>
      <w:r>
        <w:rPr>
          <w:rFonts w:hint="eastAsia" w:ascii="宋体" w:hAnsi="宋体" w:eastAsia="宋体" w:cs="宋体"/>
          <w:b w:val="0"/>
          <w:bCs w:val="0"/>
          <w:color w:val="auto"/>
          <w:sz w:val="32"/>
          <w:szCs w:val="32"/>
          <w:highlight w:val="none"/>
          <w:lang w:val="en-US" w:eastAsia="zh-CN"/>
        </w:rPr>
        <w:t>]</w:t>
      </w:r>
      <w:r>
        <w:rPr>
          <w:rFonts w:hint="eastAsia" w:ascii="宋体" w:hAnsi="宋体" w:eastAsia="宋体" w:cs="宋体"/>
          <w:b w:val="0"/>
          <w:bCs w:val="0"/>
          <w:color w:val="auto"/>
          <w:sz w:val="32"/>
          <w:szCs w:val="32"/>
          <w:highlight w:val="none"/>
        </w:rPr>
        <w:t xml:space="preserve"> 103号</w:t>
      </w:r>
      <w:r>
        <w:rPr>
          <w:rFonts w:hint="eastAsia" w:ascii="宋体" w:hAnsi="宋体" w:eastAsia="宋体" w:cs="宋体"/>
          <w:b w:val="0"/>
          <w:bCs w:val="0"/>
          <w:color w:val="auto"/>
          <w:sz w:val="32"/>
          <w:szCs w:val="32"/>
          <w:highlight w:val="none"/>
          <w:lang w:eastAsia="zh-CN"/>
        </w:rPr>
        <w:t>）</w:t>
      </w:r>
      <w:r>
        <w:rPr>
          <w:rFonts w:hint="eastAsia" w:ascii="宋体" w:hAnsi="宋体" w:eastAsia="宋体" w:cs="宋体"/>
          <w:b w:val="0"/>
          <w:bCs w:val="0"/>
          <w:color w:val="auto"/>
          <w:sz w:val="32"/>
          <w:szCs w:val="32"/>
          <w:highlight w:val="none"/>
        </w:rPr>
        <w:t>文件要求，为认真履行企业职责，自愿依法主动公开建设项目环境影响报告表全本信息，并依法承担因信息公开带来的后果。</w:t>
      </w:r>
    </w:p>
    <w:p w14:paraId="3A4217AC">
      <w:pPr>
        <w:adjustRightInd w:val="0"/>
        <w:snapToGrid w:val="0"/>
        <w:spacing w:line="480" w:lineRule="auto"/>
        <w:ind w:firstLine="640" w:firstLineChars="200"/>
        <w:jc w:val="right"/>
        <w:rPr>
          <w:rFonts w:hint="eastAsia" w:ascii="宋体" w:hAnsi="宋体" w:eastAsia="宋体" w:cs="宋体"/>
          <w:color w:val="auto"/>
          <w:sz w:val="32"/>
          <w:szCs w:val="32"/>
          <w:highlight w:val="none"/>
        </w:rPr>
      </w:pPr>
    </w:p>
    <w:p w14:paraId="5D348DAF">
      <w:pPr>
        <w:adjustRightInd w:val="0"/>
        <w:snapToGrid w:val="0"/>
        <w:spacing w:line="480" w:lineRule="auto"/>
        <w:ind w:firstLine="640" w:firstLineChars="200"/>
        <w:jc w:val="right"/>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rPr>
        <w:t>特此承诺！</w:t>
      </w:r>
    </w:p>
    <w:p w14:paraId="6AA77E96">
      <w:pPr>
        <w:adjustRightInd w:val="0"/>
        <w:snapToGrid w:val="0"/>
        <w:spacing w:line="360" w:lineRule="auto"/>
        <w:jc w:val="right"/>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rPr>
        <w:t>202</w:t>
      </w:r>
      <w:r>
        <w:rPr>
          <w:rFonts w:hint="eastAsia" w:ascii="宋体" w:hAnsi="宋体" w:cs="宋体"/>
          <w:color w:val="auto"/>
          <w:sz w:val="32"/>
          <w:szCs w:val="32"/>
          <w:highlight w:val="none"/>
          <w:lang w:val="en-US" w:eastAsia="zh-CN"/>
        </w:rPr>
        <w:t>6</w:t>
      </w:r>
      <w:r>
        <w:rPr>
          <w:rFonts w:hint="eastAsia" w:ascii="宋体" w:hAnsi="宋体" w:eastAsia="宋体" w:cs="宋体"/>
          <w:color w:val="auto"/>
          <w:sz w:val="32"/>
          <w:szCs w:val="32"/>
          <w:highlight w:val="none"/>
        </w:rPr>
        <w:t>年</w:t>
      </w:r>
      <w:r>
        <w:rPr>
          <w:rFonts w:hint="eastAsia" w:ascii="宋体" w:hAnsi="宋体" w:cs="宋体"/>
          <w:color w:val="auto"/>
          <w:sz w:val="32"/>
          <w:szCs w:val="32"/>
          <w:highlight w:val="none"/>
          <w:lang w:val="en-US" w:eastAsia="zh-CN"/>
        </w:rPr>
        <w:t>5</w:t>
      </w:r>
      <w:r>
        <w:rPr>
          <w:rFonts w:hint="eastAsia" w:ascii="宋体" w:hAnsi="宋体" w:eastAsia="宋体" w:cs="宋体"/>
          <w:color w:val="auto"/>
          <w:sz w:val="32"/>
          <w:szCs w:val="32"/>
          <w:highlight w:val="none"/>
        </w:rPr>
        <w:t>月</w:t>
      </w:r>
    </w:p>
    <w:p w14:paraId="2365B87A">
      <w:pPr>
        <w:rPr>
          <w:color w:val="auto"/>
          <w:highlight w:val="none"/>
        </w:rPr>
      </w:pPr>
    </w:p>
    <w:p w14:paraId="71015137">
      <w:pPr>
        <w:jc w:val="center"/>
        <w:rPr>
          <w:rFonts w:hint="eastAsia" w:ascii="黑体" w:hAnsi="黑体" w:eastAsia="黑体"/>
          <w:color w:val="auto"/>
          <w:sz w:val="24"/>
          <w:highlight w:val="none"/>
        </w:rPr>
      </w:pPr>
    </w:p>
    <w:p w14:paraId="6E59C6AA">
      <w:pPr>
        <w:rPr>
          <w:rFonts w:hint="eastAsia" w:ascii="黑体" w:hAnsi="黑体" w:eastAsia="黑体"/>
          <w:color w:val="auto"/>
          <w:sz w:val="24"/>
          <w:highlight w:val="none"/>
        </w:rPr>
        <w:sectPr>
          <w:pgSz w:w="11906" w:h="16838"/>
          <w:pgMar w:top="1418" w:right="1247" w:bottom="1418" w:left="1247" w:header="850" w:footer="850" w:gutter="0"/>
          <w:pgBorders>
            <w:top w:val="none" w:sz="0" w:space="0"/>
            <w:left w:val="none" w:sz="0" w:space="0"/>
            <w:bottom w:val="none" w:sz="0" w:space="0"/>
            <w:right w:val="none" w:sz="0" w:space="0"/>
          </w:pgBorders>
          <w:cols w:space="720" w:num="1"/>
          <w:docGrid w:type="lines" w:linePitch="312" w:charSpace="0"/>
        </w:sectPr>
      </w:pPr>
    </w:p>
    <w:p w14:paraId="22CAC380">
      <w:pPr>
        <w:spacing w:line="360" w:lineRule="auto"/>
        <w:outlineLvl w:val="0"/>
        <w:rPr>
          <w:rFonts w:hint="eastAsia" w:ascii="黑体" w:hAnsi="黑体" w:eastAsia="黑体"/>
          <w:color w:val="auto"/>
          <w:sz w:val="24"/>
          <w:highlight w:val="none"/>
        </w:rPr>
        <w:sectPr>
          <w:pgSz w:w="11906" w:h="16838"/>
          <w:pgMar w:top="1418" w:right="1247" w:bottom="1418" w:left="1247" w:header="850" w:footer="850" w:gutter="0"/>
          <w:pgBorders>
            <w:top w:val="none" w:sz="0" w:space="0"/>
            <w:left w:val="none" w:sz="0" w:space="0"/>
            <w:bottom w:val="none" w:sz="0" w:space="0"/>
            <w:right w:val="none" w:sz="0" w:space="0"/>
          </w:pgBorders>
          <w:cols w:space="720" w:num="1"/>
          <w:docGrid w:type="lines" w:linePitch="312" w:charSpace="0"/>
        </w:sectPr>
      </w:pPr>
      <w:r>
        <w:rPr>
          <w:rFonts w:hint="eastAsia" w:eastAsia="黑体"/>
          <w:bCs/>
          <w:color w:val="auto"/>
          <w:highlight w:val="none"/>
        </w:rPr>
        <w:drawing>
          <wp:anchor distT="0" distB="0" distL="114300" distR="114300" simplePos="0" relativeHeight="251678720" behindDoc="1" locked="0" layoutInCell="1" allowOverlap="1">
            <wp:simplePos x="0" y="0"/>
            <wp:positionH relativeFrom="column">
              <wp:posOffset>0</wp:posOffset>
            </wp:positionH>
            <wp:positionV relativeFrom="paragraph">
              <wp:posOffset>511175</wp:posOffset>
            </wp:positionV>
            <wp:extent cx="5887720" cy="8395335"/>
            <wp:effectExtent l="0" t="0" r="17780" b="5715"/>
            <wp:wrapNone/>
            <wp:docPr id="29" name="图片 4" descr="淄博市生态环境局经济开发区分局关于《淄博经开区南部创新创业园总体发展规划（2025-2035年）环境影响报告书》的审查意见(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descr="淄博市生态环境局经济开发区分局关于《淄博经开区南部创新创业园总体发展规划（2025-2035年）环境影响报告书》的审查意见(2)_00"/>
                    <pic:cNvPicPr>
                      <a:picLocks noChangeAspect="1"/>
                    </pic:cNvPicPr>
                  </pic:nvPicPr>
                  <pic:blipFill>
                    <a:blip r:embed="rId45"/>
                    <a:stretch>
                      <a:fillRect/>
                    </a:stretch>
                  </pic:blipFill>
                  <pic:spPr>
                    <a:xfrm>
                      <a:off x="0" y="0"/>
                      <a:ext cx="5887720" cy="8395335"/>
                    </a:xfrm>
                    <a:prstGeom prst="rect">
                      <a:avLst/>
                    </a:prstGeom>
                    <a:noFill/>
                    <a:ln>
                      <a:noFill/>
                    </a:ln>
                  </pic:spPr>
                </pic:pic>
              </a:graphicData>
            </a:graphic>
          </wp:anchor>
        </w:drawing>
      </w:r>
      <w:r>
        <w:rPr>
          <w:rFonts w:hint="eastAsia" w:ascii="黑体" w:hAnsi="黑体" w:eastAsia="黑体"/>
          <w:color w:val="auto"/>
          <w:sz w:val="24"/>
          <w:highlight w:val="none"/>
        </w:rPr>
        <w:t>附件</w:t>
      </w:r>
      <w:r>
        <w:rPr>
          <w:rFonts w:ascii="黑体" w:hAnsi="黑体" w:eastAsia="黑体"/>
          <w:color w:val="auto"/>
          <w:sz w:val="24"/>
          <w:highlight w:val="none"/>
        </w:rPr>
        <w:fldChar w:fldCharType="begin"/>
      </w:r>
      <w:r>
        <w:rPr>
          <w:rFonts w:ascii="黑体" w:hAnsi="黑体" w:eastAsia="黑体"/>
          <w:color w:val="auto"/>
          <w:sz w:val="24"/>
          <w:highlight w:val="none"/>
        </w:rPr>
        <w:instrText xml:space="preserve"> </w:instrText>
      </w:r>
      <w:r>
        <w:rPr>
          <w:rFonts w:hint="eastAsia" w:ascii="黑体" w:hAnsi="黑体" w:eastAsia="黑体"/>
          <w:color w:val="auto"/>
          <w:sz w:val="24"/>
          <w:highlight w:val="none"/>
        </w:rPr>
        <w:instrText xml:space="preserve">SEQ 附件 \* ARABIC</w:instrText>
      </w:r>
      <w:r>
        <w:rPr>
          <w:rFonts w:ascii="黑体" w:hAnsi="黑体" w:eastAsia="黑体"/>
          <w:color w:val="auto"/>
          <w:sz w:val="24"/>
          <w:highlight w:val="none"/>
        </w:rPr>
        <w:instrText xml:space="preserve"> </w:instrText>
      </w:r>
      <w:r>
        <w:rPr>
          <w:rFonts w:ascii="黑体" w:hAnsi="黑体" w:eastAsia="黑体"/>
          <w:color w:val="auto"/>
          <w:sz w:val="24"/>
          <w:highlight w:val="none"/>
        </w:rPr>
        <w:fldChar w:fldCharType="separate"/>
      </w:r>
      <w:r>
        <w:rPr>
          <w:rFonts w:hint="eastAsia" w:ascii="黑体" w:hAnsi="黑体" w:eastAsia="黑体"/>
          <w:color w:val="auto"/>
          <w:sz w:val="24"/>
          <w:highlight w:val="none"/>
        </w:rPr>
        <w:t>6</w:t>
      </w:r>
      <w:r>
        <w:rPr>
          <w:rFonts w:ascii="黑体" w:hAnsi="黑体" w:eastAsia="黑体"/>
          <w:color w:val="auto"/>
          <w:sz w:val="24"/>
          <w:highlight w:val="none"/>
        </w:rPr>
        <w:fldChar w:fldCharType="end"/>
      </w:r>
      <w:r>
        <w:rPr>
          <w:rFonts w:hint="eastAsia" w:ascii="黑体" w:hAnsi="黑体" w:eastAsia="黑体"/>
          <w:color w:val="auto"/>
          <w:sz w:val="24"/>
          <w:highlight w:val="none"/>
        </w:rPr>
        <w:t xml:space="preserve"> </w:t>
      </w:r>
      <w:r>
        <w:rPr>
          <w:rFonts w:hint="eastAsia" w:ascii="黑体" w:hAnsi="黑体" w:eastAsia="黑体" w:cs="Times New Roman"/>
          <w:color w:val="auto"/>
          <w:sz w:val="24"/>
          <w:highlight w:val="none"/>
          <w:lang w:eastAsia="zh-CN"/>
        </w:rPr>
        <w:t>淄博市生态环境局经济开发区分局关于《淄博经开区南部创新创业园总体发展规划（2025-2035年）环境影响报告书》的审查意见</w:t>
      </w:r>
    </w:p>
    <w:p w14:paraId="73E25475">
      <w:pPr>
        <w:spacing w:line="360" w:lineRule="auto"/>
        <w:outlineLvl w:val="0"/>
        <w:rPr>
          <w:rFonts w:hint="eastAsia" w:ascii="黑体" w:hAnsi="黑体" w:eastAsia="黑体"/>
          <w:color w:val="auto"/>
          <w:sz w:val="24"/>
          <w:highlight w:val="none"/>
        </w:rPr>
        <w:sectPr>
          <w:pgSz w:w="11906" w:h="16838"/>
          <w:pgMar w:top="1418" w:right="1247" w:bottom="1418" w:left="1247" w:header="850" w:footer="850" w:gutter="0"/>
          <w:pgBorders>
            <w:top w:val="none" w:sz="0" w:space="0"/>
            <w:left w:val="none" w:sz="0" w:space="0"/>
            <w:bottom w:val="none" w:sz="0" w:space="0"/>
            <w:right w:val="none" w:sz="0" w:space="0"/>
          </w:pgBorders>
          <w:cols w:space="720" w:num="1"/>
          <w:docGrid w:type="lines" w:linePitch="312" w:charSpace="0"/>
        </w:sectPr>
      </w:pPr>
      <w:r>
        <w:rPr>
          <w:rFonts w:hint="eastAsia" w:eastAsia="黑体"/>
          <w:bCs/>
          <w:color w:val="auto"/>
          <w:highlight w:val="none"/>
        </w:rPr>
        <w:drawing>
          <wp:anchor distT="0" distB="0" distL="114300" distR="114300" simplePos="0" relativeHeight="251678720" behindDoc="1" locked="0" layoutInCell="1" allowOverlap="1">
            <wp:simplePos x="0" y="0"/>
            <wp:positionH relativeFrom="column">
              <wp:posOffset>0</wp:posOffset>
            </wp:positionH>
            <wp:positionV relativeFrom="paragraph">
              <wp:posOffset>24765</wp:posOffset>
            </wp:positionV>
            <wp:extent cx="6075680" cy="8663305"/>
            <wp:effectExtent l="0" t="0" r="1270" b="4445"/>
            <wp:wrapNone/>
            <wp:docPr id="31" name="图片 5" descr="淄博市生态环境局经济开发区分局关于《淄博经开区南部创新创业园总体发展规划（2025-2035年）环境影响报告书》的审查意见(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descr="淄博市生态环境局经济开发区分局关于《淄博经开区南部创新创业园总体发展规划（2025-2035年）环境影响报告书》的审查意见(2)_01"/>
                    <pic:cNvPicPr>
                      <a:picLocks noChangeAspect="1"/>
                    </pic:cNvPicPr>
                  </pic:nvPicPr>
                  <pic:blipFill>
                    <a:blip r:embed="rId46"/>
                    <a:stretch>
                      <a:fillRect/>
                    </a:stretch>
                  </pic:blipFill>
                  <pic:spPr>
                    <a:xfrm>
                      <a:off x="0" y="0"/>
                      <a:ext cx="6075680" cy="8663305"/>
                    </a:xfrm>
                    <a:prstGeom prst="rect">
                      <a:avLst/>
                    </a:prstGeom>
                    <a:noFill/>
                    <a:ln>
                      <a:noFill/>
                    </a:ln>
                  </pic:spPr>
                </pic:pic>
              </a:graphicData>
            </a:graphic>
          </wp:anchor>
        </w:drawing>
      </w:r>
    </w:p>
    <w:p w14:paraId="191DA019">
      <w:pPr>
        <w:spacing w:line="360" w:lineRule="auto"/>
        <w:outlineLvl w:val="0"/>
        <w:rPr>
          <w:rFonts w:hint="eastAsia" w:ascii="黑体" w:hAnsi="黑体" w:eastAsia="黑体"/>
          <w:color w:val="auto"/>
          <w:sz w:val="24"/>
          <w:highlight w:val="none"/>
        </w:rPr>
        <w:sectPr>
          <w:pgSz w:w="11906" w:h="16838"/>
          <w:pgMar w:top="1418" w:right="1247" w:bottom="1418" w:left="1247" w:header="850" w:footer="850" w:gutter="0"/>
          <w:pgBorders>
            <w:top w:val="none" w:sz="0" w:space="0"/>
            <w:left w:val="none" w:sz="0" w:space="0"/>
            <w:bottom w:val="none" w:sz="0" w:space="0"/>
            <w:right w:val="none" w:sz="0" w:space="0"/>
          </w:pgBorders>
          <w:cols w:space="720" w:num="1"/>
          <w:docGrid w:type="lines" w:linePitch="312" w:charSpace="0"/>
        </w:sectPr>
      </w:pPr>
      <w:r>
        <w:rPr>
          <w:rFonts w:hint="eastAsia" w:eastAsia="黑体"/>
          <w:bCs/>
          <w:color w:val="auto"/>
          <w:highlight w:val="none"/>
        </w:rPr>
        <w:drawing>
          <wp:anchor distT="0" distB="0" distL="114300" distR="114300" simplePos="0" relativeHeight="251678720" behindDoc="1" locked="0" layoutInCell="1" allowOverlap="1">
            <wp:simplePos x="0" y="0"/>
            <wp:positionH relativeFrom="column">
              <wp:posOffset>0</wp:posOffset>
            </wp:positionH>
            <wp:positionV relativeFrom="paragraph">
              <wp:posOffset>24765</wp:posOffset>
            </wp:positionV>
            <wp:extent cx="6065520" cy="8649335"/>
            <wp:effectExtent l="0" t="0" r="11430" b="18415"/>
            <wp:wrapNone/>
            <wp:docPr id="32" name="图片 6" descr="淄博市生态环境局经济开发区分局关于《淄博经开区南部创新创业园总体发展规划（2025-2035年）环境影响报告书》的审查意见(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descr="淄博市生态环境局经济开发区分局关于《淄博经开区南部创新创业园总体发展规划（2025-2035年）环境影响报告书》的审查意见(2)_02"/>
                    <pic:cNvPicPr>
                      <a:picLocks noChangeAspect="1"/>
                    </pic:cNvPicPr>
                  </pic:nvPicPr>
                  <pic:blipFill>
                    <a:blip r:embed="rId47"/>
                    <a:stretch>
                      <a:fillRect/>
                    </a:stretch>
                  </pic:blipFill>
                  <pic:spPr>
                    <a:xfrm>
                      <a:off x="0" y="0"/>
                      <a:ext cx="6065520" cy="8649335"/>
                    </a:xfrm>
                    <a:prstGeom prst="rect">
                      <a:avLst/>
                    </a:prstGeom>
                    <a:noFill/>
                    <a:ln>
                      <a:noFill/>
                    </a:ln>
                  </pic:spPr>
                </pic:pic>
              </a:graphicData>
            </a:graphic>
          </wp:anchor>
        </w:drawing>
      </w:r>
    </w:p>
    <w:p w14:paraId="27E846A9">
      <w:pPr>
        <w:spacing w:line="360" w:lineRule="auto"/>
        <w:outlineLvl w:val="0"/>
        <w:rPr>
          <w:rFonts w:hint="eastAsia" w:ascii="黑体" w:hAnsi="黑体" w:eastAsia="黑体"/>
          <w:color w:val="auto"/>
          <w:sz w:val="24"/>
          <w:highlight w:val="none"/>
        </w:rPr>
        <w:sectPr>
          <w:pgSz w:w="11906" w:h="16838"/>
          <w:pgMar w:top="1418" w:right="1247" w:bottom="1418" w:left="1247" w:header="850" w:footer="850" w:gutter="0"/>
          <w:pgBorders>
            <w:top w:val="none" w:sz="0" w:space="0"/>
            <w:left w:val="none" w:sz="0" w:space="0"/>
            <w:bottom w:val="none" w:sz="0" w:space="0"/>
            <w:right w:val="none" w:sz="0" w:space="0"/>
          </w:pgBorders>
          <w:cols w:space="720" w:num="1"/>
          <w:docGrid w:type="lines" w:linePitch="312" w:charSpace="0"/>
        </w:sectPr>
      </w:pPr>
      <w:r>
        <w:rPr>
          <w:rFonts w:hint="eastAsia" w:eastAsia="黑体"/>
          <w:bCs/>
          <w:color w:val="auto"/>
          <w:highlight w:val="none"/>
        </w:rPr>
        <w:drawing>
          <wp:anchor distT="0" distB="0" distL="114300" distR="114300" simplePos="0" relativeHeight="251678720" behindDoc="1" locked="0" layoutInCell="1" allowOverlap="1">
            <wp:simplePos x="0" y="0"/>
            <wp:positionH relativeFrom="column">
              <wp:posOffset>0</wp:posOffset>
            </wp:positionH>
            <wp:positionV relativeFrom="paragraph">
              <wp:posOffset>5715</wp:posOffset>
            </wp:positionV>
            <wp:extent cx="6094730" cy="8690610"/>
            <wp:effectExtent l="0" t="0" r="1270" b="15240"/>
            <wp:wrapNone/>
            <wp:docPr id="33" name="图片 7" descr="淄博市生态环境局经济开发区分局关于《淄博经开区南部创新创业园总体发展规划（2025-2035年）环境影响报告书》的审查意见(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 descr="淄博市生态环境局经济开发区分局关于《淄博经开区南部创新创业园总体发展规划（2025-2035年）环境影响报告书》的审查意见(2)_03"/>
                    <pic:cNvPicPr>
                      <a:picLocks noChangeAspect="1"/>
                    </pic:cNvPicPr>
                  </pic:nvPicPr>
                  <pic:blipFill>
                    <a:blip r:embed="rId48"/>
                    <a:stretch>
                      <a:fillRect/>
                    </a:stretch>
                  </pic:blipFill>
                  <pic:spPr>
                    <a:xfrm>
                      <a:off x="0" y="0"/>
                      <a:ext cx="6094730" cy="8690610"/>
                    </a:xfrm>
                    <a:prstGeom prst="rect">
                      <a:avLst/>
                    </a:prstGeom>
                    <a:noFill/>
                    <a:ln>
                      <a:noFill/>
                    </a:ln>
                  </pic:spPr>
                </pic:pic>
              </a:graphicData>
            </a:graphic>
          </wp:anchor>
        </w:drawing>
      </w:r>
    </w:p>
    <w:p w14:paraId="48725EC4">
      <w:pPr>
        <w:spacing w:line="360" w:lineRule="auto"/>
        <w:outlineLvl w:val="0"/>
        <w:rPr>
          <w:rFonts w:hint="eastAsia" w:ascii="黑体" w:hAnsi="黑体" w:eastAsia="黑体"/>
          <w:color w:val="auto"/>
          <w:sz w:val="24"/>
          <w:highlight w:val="none"/>
        </w:rPr>
        <w:sectPr>
          <w:pgSz w:w="11906" w:h="16838"/>
          <w:pgMar w:top="1418" w:right="1247" w:bottom="1418" w:left="1247" w:header="850" w:footer="850" w:gutter="0"/>
          <w:pgBorders>
            <w:top w:val="none" w:sz="0" w:space="0"/>
            <w:left w:val="none" w:sz="0" w:space="0"/>
            <w:bottom w:val="none" w:sz="0" w:space="0"/>
            <w:right w:val="none" w:sz="0" w:space="0"/>
          </w:pgBorders>
          <w:cols w:space="720" w:num="1"/>
          <w:docGrid w:type="lines" w:linePitch="312" w:charSpace="0"/>
        </w:sectPr>
      </w:pPr>
      <w:r>
        <w:rPr>
          <w:rFonts w:hint="eastAsia" w:eastAsia="黑体"/>
          <w:bCs/>
          <w:color w:val="auto"/>
          <w:highlight w:val="none"/>
        </w:rPr>
        <w:drawing>
          <wp:anchor distT="0" distB="0" distL="114300" distR="114300" simplePos="0" relativeHeight="251678720" behindDoc="1" locked="0" layoutInCell="1" allowOverlap="1">
            <wp:simplePos x="0" y="0"/>
            <wp:positionH relativeFrom="column">
              <wp:posOffset>0</wp:posOffset>
            </wp:positionH>
            <wp:positionV relativeFrom="paragraph">
              <wp:posOffset>76200</wp:posOffset>
            </wp:positionV>
            <wp:extent cx="6132195" cy="8744585"/>
            <wp:effectExtent l="0" t="0" r="1905" b="18415"/>
            <wp:wrapNone/>
            <wp:docPr id="34" name="图片 8" descr="淄博市生态环境局经济开发区分局关于《淄博经开区南部创新创业园总体发展规划（2025-2035年）环境影响报告书》的审查意见(2)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descr="淄博市生态环境局经济开发区分局关于《淄博经开区南部创新创业园总体发展规划（2025-2035年）环境影响报告书》的审查意见(2)_04"/>
                    <pic:cNvPicPr>
                      <a:picLocks noChangeAspect="1"/>
                    </pic:cNvPicPr>
                  </pic:nvPicPr>
                  <pic:blipFill>
                    <a:blip r:embed="rId49"/>
                    <a:stretch>
                      <a:fillRect/>
                    </a:stretch>
                  </pic:blipFill>
                  <pic:spPr>
                    <a:xfrm>
                      <a:off x="0" y="0"/>
                      <a:ext cx="6132195" cy="8744585"/>
                    </a:xfrm>
                    <a:prstGeom prst="rect">
                      <a:avLst/>
                    </a:prstGeom>
                    <a:noFill/>
                    <a:ln>
                      <a:noFill/>
                    </a:ln>
                  </pic:spPr>
                </pic:pic>
              </a:graphicData>
            </a:graphic>
          </wp:anchor>
        </w:drawing>
      </w:r>
    </w:p>
    <w:p w14:paraId="24EC242B">
      <w:pPr>
        <w:spacing w:line="360" w:lineRule="auto"/>
        <w:outlineLvl w:val="0"/>
        <w:rPr>
          <w:rFonts w:hint="eastAsia" w:ascii="黑体" w:hAnsi="黑体" w:eastAsia="黑体"/>
          <w:color w:val="auto"/>
          <w:sz w:val="24"/>
          <w:highlight w:val="none"/>
        </w:rPr>
        <w:sectPr>
          <w:pgSz w:w="11906" w:h="16838"/>
          <w:pgMar w:top="1418" w:right="1247" w:bottom="1418" w:left="1247" w:header="850" w:footer="850" w:gutter="0"/>
          <w:pgBorders>
            <w:top w:val="none" w:sz="0" w:space="0"/>
            <w:left w:val="none" w:sz="0" w:space="0"/>
            <w:bottom w:val="none" w:sz="0" w:space="0"/>
            <w:right w:val="none" w:sz="0" w:space="0"/>
          </w:pgBorders>
          <w:cols w:space="720" w:num="1"/>
          <w:docGrid w:type="lines" w:linePitch="312" w:charSpace="0"/>
        </w:sectPr>
      </w:pPr>
      <w:r>
        <w:rPr>
          <w:rFonts w:hint="eastAsia" w:eastAsia="黑体"/>
          <w:bCs/>
          <w:color w:val="auto"/>
          <w:highlight w:val="none"/>
        </w:rPr>
        <w:drawing>
          <wp:anchor distT="0" distB="0" distL="114300" distR="114300" simplePos="0" relativeHeight="251678720" behindDoc="1" locked="0" layoutInCell="1" allowOverlap="1">
            <wp:simplePos x="0" y="0"/>
            <wp:positionH relativeFrom="column">
              <wp:posOffset>0</wp:posOffset>
            </wp:positionH>
            <wp:positionV relativeFrom="paragraph">
              <wp:posOffset>5715</wp:posOffset>
            </wp:positionV>
            <wp:extent cx="6094730" cy="8690610"/>
            <wp:effectExtent l="0" t="0" r="1270" b="15240"/>
            <wp:wrapNone/>
            <wp:docPr id="35" name="图片 9" descr="淄博市生态环境局经济开发区分局关于《淄博经开区南部创新创业园总体发展规划（2025-2035年）环境影响报告书》的审查意见(2)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descr="淄博市生态环境局经济开发区分局关于《淄博经开区南部创新创业园总体发展规划（2025-2035年）环境影响报告书》的审查意见(2)_05"/>
                    <pic:cNvPicPr>
                      <a:picLocks noChangeAspect="1"/>
                    </pic:cNvPicPr>
                  </pic:nvPicPr>
                  <pic:blipFill>
                    <a:blip r:embed="rId50"/>
                    <a:stretch>
                      <a:fillRect/>
                    </a:stretch>
                  </pic:blipFill>
                  <pic:spPr>
                    <a:xfrm>
                      <a:off x="0" y="0"/>
                      <a:ext cx="6094730" cy="8690610"/>
                    </a:xfrm>
                    <a:prstGeom prst="rect">
                      <a:avLst/>
                    </a:prstGeom>
                    <a:noFill/>
                    <a:ln>
                      <a:noFill/>
                    </a:ln>
                  </pic:spPr>
                </pic:pic>
              </a:graphicData>
            </a:graphic>
          </wp:anchor>
        </w:drawing>
      </w:r>
    </w:p>
    <w:p w14:paraId="38FA2A9F">
      <w:pPr>
        <w:spacing w:line="360" w:lineRule="auto"/>
        <w:outlineLvl w:val="0"/>
        <w:rPr>
          <w:rFonts w:hint="eastAsia" w:ascii="黑体" w:hAnsi="黑体" w:eastAsia="黑体"/>
          <w:color w:val="auto"/>
          <w:sz w:val="24"/>
          <w:highlight w:val="none"/>
        </w:rPr>
        <w:sectPr>
          <w:pgSz w:w="11906" w:h="16838"/>
          <w:pgMar w:top="1418" w:right="1247" w:bottom="1418" w:left="1247" w:header="850" w:footer="850" w:gutter="0"/>
          <w:pgBorders>
            <w:top w:val="none" w:sz="0" w:space="0"/>
            <w:left w:val="none" w:sz="0" w:space="0"/>
            <w:bottom w:val="none" w:sz="0" w:space="0"/>
            <w:right w:val="none" w:sz="0" w:space="0"/>
          </w:pgBorders>
          <w:cols w:space="720" w:num="1"/>
          <w:docGrid w:type="lines" w:linePitch="312" w:charSpace="0"/>
        </w:sectPr>
      </w:pPr>
      <w:r>
        <w:rPr>
          <w:rFonts w:hint="eastAsia" w:eastAsia="黑体"/>
          <w:bCs/>
          <w:color w:val="auto"/>
          <w:highlight w:val="none"/>
        </w:rPr>
        <w:drawing>
          <wp:anchor distT="0" distB="0" distL="114300" distR="114300" simplePos="0" relativeHeight="251678720" behindDoc="1" locked="0" layoutInCell="1" allowOverlap="1">
            <wp:simplePos x="0" y="0"/>
            <wp:positionH relativeFrom="column">
              <wp:posOffset>-63500</wp:posOffset>
            </wp:positionH>
            <wp:positionV relativeFrom="paragraph">
              <wp:posOffset>-20955</wp:posOffset>
            </wp:positionV>
            <wp:extent cx="6212205" cy="8858885"/>
            <wp:effectExtent l="0" t="0" r="17145" b="18415"/>
            <wp:wrapNone/>
            <wp:docPr id="36" name="图片 10" descr="淄博市生态环境局经济开发区分局关于《淄博经开区南部创新创业园总体发展规划（2025-2035年）环境影响报告书》的审查意见(2)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descr="淄博市生态环境局经济开发区分局关于《淄博经开区南部创新创业园总体发展规划（2025-2035年）环境影响报告书》的审查意见(2)_06"/>
                    <pic:cNvPicPr>
                      <a:picLocks noChangeAspect="1"/>
                    </pic:cNvPicPr>
                  </pic:nvPicPr>
                  <pic:blipFill>
                    <a:blip r:embed="rId51"/>
                    <a:stretch>
                      <a:fillRect/>
                    </a:stretch>
                  </pic:blipFill>
                  <pic:spPr>
                    <a:xfrm>
                      <a:off x="0" y="0"/>
                      <a:ext cx="6212205" cy="8858885"/>
                    </a:xfrm>
                    <a:prstGeom prst="rect">
                      <a:avLst/>
                    </a:prstGeom>
                    <a:noFill/>
                    <a:ln>
                      <a:noFill/>
                    </a:ln>
                  </pic:spPr>
                </pic:pic>
              </a:graphicData>
            </a:graphic>
          </wp:anchor>
        </w:drawing>
      </w:r>
    </w:p>
    <w:p w14:paraId="6D2860C4">
      <w:pPr>
        <w:spacing w:line="360" w:lineRule="auto"/>
        <w:outlineLvl w:val="0"/>
        <w:rPr>
          <w:rFonts w:hint="eastAsia" w:ascii="黑体" w:hAnsi="黑体" w:eastAsia="黑体"/>
          <w:color w:val="auto"/>
          <w:sz w:val="24"/>
          <w:highlight w:val="none"/>
          <w:lang w:eastAsia="zh-CN"/>
        </w:rPr>
        <w:sectPr>
          <w:pgSz w:w="11906" w:h="16838"/>
          <w:pgMar w:top="1418" w:right="1247" w:bottom="1418" w:left="1247" w:header="850" w:footer="850" w:gutter="0"/>
          <w:pgBorders>
            <w:top w:val="none" w:sz="0" w:space="0"/>
            <w:left w:val="none" w:sz="0" w:space="0"/>
            <w:bottom w:val="none" w:sz="0" w:space="0"/>
            <w:right w:val="none" w:sz="0" w:space="0"/>
          </w:pgBorders>
          <w:cols w:space="720" w:num="1"/>
          <w:docGrid w:type="lines" w:linePitch="312" w:charSpace="0"/>
        </w:sectPr>
      </w:pPr>
      <w:r>
        <w:rPr>
          <w:rFonts w:hint="eastAsia" w:ascii="黑体" w:hAnsi="黑体" w:eastAsia="黑体"/>
          <w:color w:val="auto"/>
          <w:sz w:val="24"/>
          <w:highlight w:val="none"/>
          <w:lang w:eastAsia="zh-CN"/>
        </w:rPr>
        <w:drawing>
          <wp:anchor distT="0" distB="0" distL="114300" distR="114300" simplePos="0" relativeHeight="251698176" behindDoc="1" locked="0" layoutInCell="1" allowOverlap="1">
            <wp:simplePos x="0" y="0"/>
            <wp:positionH relativeFrom="column">
              <wp:posOffset>-27940</wp:posOffset>
            </wp:positionH>
            <wp:positionV relativeFrom="paragraph">
              <wp:posOffset>264795</wp:posOffset>
            </wp:positionV>
            <wp:extent cx="6026150" cy="8471535"/>
            <wp:effectExtent l="0" t="0" r="12700" b="5715"/>
            <wp:wrapNone/>
            <wp:docPr id="10" name="图片 10" descr="7d18d8c51f6beda7d749f76ad60f28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7d18d8c51f6beda7d749f76ad60f28b4"/>
                    <pic:cNvPicPr>
                      <a:picLocks noChangeAspect="1"/>
                    </pic:cNvPicPr>
                  </pic:nvPicPr>
                  <pic:blipFill>
                    <a:blip r:embed="rId52">
                      <a:lum bright="6000"/>
                    </a:blip>
                    <a:srcRect l="1520" t="978" r="1084" b="1387"/>
                    <a:stretch>
                      <a:fillRect/>
                    </a:stretch>
                  </pic:blipFill>
                  <pic:spPr>
                    <a:xfrm>
                      <a:off x="0" y="0"/>
                      <a:ext cx="6026150" cy="8471535"/>
                    </a:xfrm>
                    <a:prstGeom prst="rect">
                      <a:avLst/>
                    </a:prstGeom>
                  </pic:spPr>
                </pic:pic>
              </a:graphicData>
            </a:graphic>
          </wp:anchor>
        </w:drawing>
      </w:r>
      <w:r>
        <w:rPr>
          <w:rFonts w:hint="eastAsia" w:ascii="黑体" w:hAnsi="黑体" w:eastAsia="黑体"/>
          <w:color w:val="auto"/>
          <w:sz w:val="24"/>
          <w:highlight w:val="none"/>
          <w:lang w:eastAsia="zh-CN"/>
        </w:rPr>
        <w:t>附件</w:t>
      </w:r>
      <w:r>
        <w:rPr>
          <w:rFonts w:hint="eastAsia" w:ascii="黑体" w:hAnsi="黑体" w:eastAsia="黑体"/>
          <w:color w:val="auto"/>
          <w:sz w:val="24"/>
          <w:highlight w:val="none"/>
          <w:lang w:val="en-US" w:eastAsia="zh-CN"/>
        </w:rPr>
        <w:t>7 项目入园意见证明文件</w:t>
      </w:r>
    </w:p>
    <w:p w14:paraId="01F99CB8">
      <w:pPr>
        <w:spacing w:line="360" w:lineRule="auto"/>
        <w:outlineLvl w:val="0"/>
        <w:rPr>
          <w:rFonts w:hint="default" w:ascii="黑体" w:hAnsi="黑体" w:eastAsia="黑体"/>
          <w:color w:val="auto"/>
          <w:sz w:val="24"/>
          <w:highlight w:val="none"/>
          <w:lang w:val="en-US" w:eastAsia="zh-CN"/>
        </w:rPr>
        <w:sectPr>
          <w:pgSz w:w="11906" w:h="16838"/>
          <w:pgMar w:top="1418" w:right="1247" w:bottom="1418" w:left="1247" w:header="850" w:footer="850" w:gutter="0"/>
          <w:pgBorders>
            <w:top w:val="none" w:sz="0" w:space="0"/>
            <w:left w:val="none" w:sz="0" w:space="0"/>
            <w:bottom w:val="none" w:sz="0" w:space="0"/>
            <w:right w:val="none" w:sz="0" w:space="0"/>
          </w:pgBorders>
          <w:cols w:space="720" w:num="1"/>
          <w:docGrid w:type="lines" w:linePitch="312" w:charSpace="0"/>
        </w:sectPr>
      </w:pPr>
      <w:r>
        <w:rPr>
          <w:color w:val="auto"/>
          <w:highlight w:val="none"/>
        </w:rPr>
        <w:drawing>
          <wp:anchor distT="0" distB="0" distL="114300" distR="114300" simplePos="0" relativeHeight="251687936" behindDoc="1" locked="0" layoutInCell="1" allowOverlap="1">
            <wp:simplePos x="0" y="0"/>
            <wp:positionH relativeFrom="column">
              <wp:posOffset>-103505</wp:posOffset>
            </wp:positionH>
            <wp:positionV relativeFrom="paragraph">
              <wp:posOffset>294005</wp:posOffset>
            </wp:positionV>
            <wp:extent cx="5961380" cy="8387080"/>
            <wp:effectExtent l="0" t="0" r="1270" b="13970"/>
            <wp:wrapNone/>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53"/>
                    <a:stretch>
                      <a:fillRect/>
                    </a:stretch>
                  </pic:blipFill>
                  <pic:spPr>
                    <a:xfrm>
                      <a:off x="0" y="0"/>
                      <a:ext cx="5961380" cy="8387080"/>
                    </a:xfrm>
                    <a:prstGeom prst="rect">
                      <a:avLst/>
                    </a:prstGeom>
                    <a:noFill/>
                    <a:ln>
                      <a:noFill/>
                    </a:ln>
                  </pic:spPr>
                </pic:pic>
              </a:graphicData>
            </a:graphic>
          </wp:anchor>
        </w:drawing>
      </w:r>
      <w:r>
        <w:rPr>
          <w:rFonts w:hint="eastAsia" w:ascii="黑体" w:hAnsi="黑体" w:eastAsia="黑体"/>
          <w:color w:val="auto"/>
          <w:sz w:val="24"/>
          <w:highlight w:val="none"/>
          <w:lang w:eastAsia="zh-CN"/>
        </w:rPr>
        <w:t>附件</w:t>
      </w:r>
      <w:r>
        <w:rPr>
          <w:rFonts w:hint="eastAsia" w:ascii="黑体" w:hAnsi="黑体" w:eastAsia="黑体"/>
          <w:color w:val="auto"/>
          <w:sz w:val="24"/>
          <w:highlight w:val="none"/>
          <w:lang w:val="en-US" w:eastAsia="zh-CN"/>
        </w:rPr>
        <w:t>8 项目厂房租赁协议</w:t>
      </w:r>
    </w:p>
    <w:p w14:paraId="6BAF0DFA">
      <w:pPr>
        <w:spacing w:line="360" w:lineRule="auto"/>
        <w:outlineLvl w:val="0"/>
        <w:rPr>
          <w:rFonts w:hint="eastAsia" w:ascii="黑体" w:hAnsi="黑体" w:eastAsia="黑体"/>
          <w:color w:val="auto"/>
          <w:sz w:val="24"/>
          <w:highlight w:val="none"/>
        </w:rPr>
        <w:sectPr>
          <w:pgSz w:w="11906" w:h="16838"/>
          <w:pgMar w:top="1418" w:right="1247" w:bottom="1418" w:left="1247" w:header="850" w:footer="850" w:gutter="0"/>
          <w:pgBorders>
            <w:top w:val="none" w:sz="0" w:space="0"/>
            <w:left w:val="none" w:sz="0" w:space="0"/>
            <w:bottom w:val="none" w:sz="0" w:space="0"/>
            <w:right w:val="none" w:sz="0" w:space="0"/>
          </w:pgBorders>
          <w:cols w:space="720" w:num="1"/>
          <w:docGrid w:type="lines" w:linePitch="312" w:charSpace="0"/>
        </w:sectPr>
      </w:pPr>
      <w:r>
        <w:rPr>
          <w:color w:val="auto"/>
          <w:highlight w:val="none"/>
        </w:rPr>
        <w:drawing>
          <wp:anchor distT="0" distB="0" distL="114300" distR="114300" simplePos="0" relativeHeight="251687936" behindDoc="1" locked="0" layoutInCell="1" allowOverlap="1">
            <wp:simplePos x="0" y="0"/>
            <wp:positionH relativeFrom="column">
              <wp:posOffset>0</wp:posOffset>
            </wp:positionH>
            <wp:positionV relativeFrom="paragraph">
              <wp:posOffset>72390</wp:posOffset>
            </wp:positionV>
            <wp:extent cx="6204585" cy="8461375"/>
            <wp:effectExtent l="0" t="0" r="5715" b="15875"/>
            <wp:wrapNone/>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54"/>
                    <a:stretch>
                      <a:fillRect/>
                    </a:stretch>
                  </pic:blipFill>
                  <pic:spPr>
                    <a:xfrm>
                      <a:off x="0" y="0"/>
                      <a:ext cx="6204585" cy="8461375"/>
                    </a:xfrm>
                    <a:prstGeom prst="rect">
                      <a:avLst/>
                    </a:prstGeom>
                    <a:noFill/>
                    <a:ln>
                      <a:noFill/>
                    </a:ln>
                  </pic:spPr>
                </pic:pic>
              </a:graphicData>
            </a:graphic>
          </wp:anchor>
        </w:drawing>
      </w:r>
    </w:p>
    <w:p w14:paraId="650E185E">
      <w:pPr>
        <w:spacing w:line="360" w:lineRule="auto"/>
        <w:outlineLvl w:val="0"/>
        <w:rPr>
          <w:rFonts w:hint="eastAsia" w:eastAsia="黑体"/>
          <w:color w:val="auto"/>
          <w:highlight w:val="none"/>
          <w:lang w:eastAsia="zh-CN"/>
        </w:rPr>
      </w:pPr>
      <w:r>
        <w:rPr>
          <w:rFonts w:hint="eastAsia" w:ascii="黑体" w:hAnsi="黑体" w:eastAsia="黑体"/>
          <w:color w:val="auto"/>
          <w:sz w:val="24"/>
          <w:highlight w:val="none"/>
        </w:rPr>
        <w:t>附件</w:t>
      </w:r>
      <w:r>
        <w:rPr>
          <w:rFonts w:hint="eastAsia" w:ascii="黑体" w:hAnsi="黑体" w:eastAsia="黑体"/>
          <w:color w:val="auto"/>
          <w:sz w:val="24"/>
          <w:highlight w:val="none"/>
          <w:lang w:val="en-US" w:eastAsia="zh-CN"/>
        </w:rPr>
        <w:t>9</w:t>
      </w:r>
      <w:r>
        <w:rPr>
          <w:rFonts w:hint="eastAsia" w:ascii="黑体" w:hAnsi="黑体" w:eastAsia="黑体"/>
          <w:color w:val="auto"/>
          <w:sz w:val="24"/>
          <w:highlight w:val="none"/>
        </w:rPr>
        <w:t xml:space="preserve"> </w:t>
      </w:r>
      <w:r>
        <w:rPr>
          <w:rFonts w:hint="eastAsia" w:ascii="黑体" w:hAnsi="黑体" w:eastAsia="黑体"/>
          <w:color w:val="auto"/>
          <w:sz w:val="24"/>
          <w:highlight w:val="none"/>
          <w:lang w:eastAsia="zh-CN"/>
        </w:rPr>
        <w:t>项目用热熔胶检测报告</w:t>
      </w:r>
    </w:p>
    <w:p w14:paraId="6D4731E6">
      <w:pPr>
        <w:rPr>
          <w:color w:val="auto"/>
          <w:highlight w:val="none"/>
        </w:rPr>
      </w:pPr>
      <w:r>
        <w:rPr>
          <w:color w:val="auto"/>
          <w:highlight w:val="none"/>
        </w:rPr>
        <w:drawing>
          <wp:anchor distT="0" distB="0" distL="114300" distR="114300" simplePos="0" relativeHeight="251678720" behindDoc="1" locked="0" layoutInCell="1" allowOverlap="1">
            <wp:simplePos x="0" y="0"/>
            <wp:positionH relativeFrom="column">
              <wp:posOffset>0</wp:posOffset>
            </wp:positionH>
            <wp:positionV relativeFrom="paragraph">
              <wp:posOffset>24765</wp:posOffset>
            </wp:positionV>
            <wp:extent cx="6029325" cy="8325485"/>
            <wp:effectExtent l="0" t="0" r="9525" b="18415"/>
            <wp:wrapNone/>
            <wp:docPr id="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1"/>
                    <pic:cNvPicPr>
                      <a:picLocks noChangeAspect="1"/>
                    </pic:cNvPicPr>
                  </pic:nvPicPr>
                  <pic:blipFill>
                    <a:blip r:embed="rId55"/>
                    <a:stretch>
                      <a:fillRect/>
                    </a:stretch>
                  </pic:blipFill>
                  <pic:spPr>
                    <a:xfrm>
                      <a:off x="0" y="0"/>
                      <a:ext cx="6029325" cy="8325485"/>
                    </a:xfrm>
                    <a:prstGeom prst="rect">
                      <a:avLst/>
                    </a:prstGeom>
                    <a:noFill/>
                    <a:ln>
                      <a:noFill/>
                    </a:ln>
                  </pic:spPr>
                </pic:pic>
              </a:graphicData>
            </a:graphic>
          </wp:anchor>
        </w:drawing>
      </w:r>
      <w:r>
        <w:rPr>
          <w:color w:val="auto"/>
          <w:highlight w:val="none"/>
        </w:rPr>
        <w:br w:type="page"/>
      </w:r>
    </w:p>
    <w:p w14:paraId="45E08159">
      <w:pPr>
        <w:rPr>
          <w:color w:val="auto"/>
          <w:highlight w:val="none"/>
        </w:rPr>
      </w:pPr>
      <w:r>
        <w:rPr>
          <w:color w:val="auto"/>
          <w:highlight w:val="none"/>
        </w:rPr>
        <w:drawing>
          <wp:anchor distT="0" distB="0" distL="114300" distR="114300" simplePos="0" relativeHeight="251678720" behindDoc="1" locked="0" layoutInCell="1" allowOverlap="1">
            <wp:simplePos x="0" y="0"/>
            <wp:positionH relativeFrom="column">
              <wp:posOffset>-15875</wp:posOffset>
            </wp:positionH>
            <wp:positionV relativeFrom="paragraph">
              <wp:posOffset>60325</wp:posOffset>
            </wp:positionV>
            <wp:extent cx="6067425" cy="8478520"/>
            <wp:effectExtent l="0" t="0" r="9525" b="17780"/>
            <wp:wrapNone/>
            <wp:docPr id="4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
                    <pic:cNvPicPr>
                      <a:picLocks noChangeAspect="1"/>
                    </pic:cNvPicPr>
                  </pic:nvPicPr>
                  <pic:blipFill>
                    <a:blip r:embed="rId56"/>
                    <a:stretch>
                      <a:fillRect/>
                    </a:stretch>
                  </pic:blipFill>
                  <pic:spPr>
                    <a:xfrm>
                      <a:off x="0" y="0"/>
                      <a:ext cx="6067425" cy="8478520"/>
                    </a:xfrm>
                    <a:prstGeom prst="rect">
                      <a:avLst/>
                    </a:prstGeom>
                    <a:noFill/>
                    <a:ln>
                      <a:noFill/>
                    </a:ln>
                  </pic:spPr>
                </pic:pic>
              </a:graphicData>
            </a:graphic>
          </wp:anchor>
        </w:drawing>
      </w:r>
      <w:r>
        <w:rPr>
          <w:color w:val="auto"/>
          <w:highlight w:val="none"/>
        </w:rPr>
        <w:br w:type="page"/>
      </w:r>
    </w:p>
    <w:p w14:paraId="27395E1B">
      <w:pPr>
        <w:rPr>
          <w:color w:val="auto"/>
          <w:highlight w:val="none"/>
        </w:rPr>
      </w:pPr>
      <w:r>
        <w:rPr>
          <w:color w:val="auto"/>
          <w:highlight w:val="none"/>
        </w:rPr>
        <w:drawing>
          <wp:anchor distT="0" distB="0" distL="114300" distR="114300" simplePos="0" relativeHeight="251678720" behindDoc="1" locked="0" layoutInCell="1" allowOverlap="1">
            <wp:simplePos x="0" y="0"/>
            <wp:positionH relativeFrom="column">
              <wp:posOffset>0</wp:posOffset>
            </wp:positionH>
            <wp:positionV relativeFrom="paragraph">
              <wp:posOffset>47625</wp:posOffset>
            </wp:positionV>
            <wp:extent cx="6069965" cy="8533765"/>
            <wp:effectExtent l="0" t="0" r="6985" b="635"/>
            <wp:wrapNone/>
            <wp:docPr id="4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3"/>
                    <pic:cNvPicPr>
                      <a:picLocks noChangeAspect="1"/>
                    </pic:cNvPicPr>
                  </pic:nvPicPr>
                  <pic:blipFill>
                    <a:blip r:embed="rId57"/>
                    <a:stretch>
                      <a:fillRect/>
                    </a:stretch>
                  </pic:blipFill>
                  <pic:spPr>
                    <a:xfrm>
                      <a:off x="0" y="0"/>
                      <a:ext cx="6069965" cy="8533765"/>
                    </a:xfrm>
                    <a:prstGeom prst="rect">
                      <a:avLst/>
                    </a:prstGeom>
                    <a:noFill/>
                    <a:ln>
                      <a:noFill/>
                    </a:ln>
                  </pic:spPr>
                </pic:pic>
              </a:graphicData>
            </a:graphic>
          </wp:anchor>
        </w:drawing>
      </w:r>
      <w:r>
        <w:rPr>
          <w:color w:val="auto"/>
          <w:highlight w:val="none"/>
        </w:rPr>
        <w:br w:type="page"/>
      </w:r>
    </w:p>
    <w:p w14:paraId="79E9C086">
      <w:pPr>
        <w:rPr>
          <w:color w:val="auto"/>
          <w:highlight w:val="none"/>
        </w:rPr>
      </w:pPr>
      <w:r>
        <w:rPr>
          <w:color w:val="auto"/>
          <w:highlight w:val="none"/>
        </w:rPr>
        <w:drawing>
          <wp:anchor distT="0" distB="0" distL="114300" distR="114300" simplePos="0" relativeHeight="251678720" behindDoc="1" locked="0" layoutInCell="1" allowOverlap="1">
            <wp:simplePos x="0" y="0"/>
            <wp:positionH relativeFrom="column">
              <wp:posOffset>0</wp:posOffset>
            </wp:positionH>
            <wp:positionV relativeFrom="paragraph">
              <wp:posOffset>66675</wp:posOffset>
            </wp:positionV>
            <wp:extent cx="6115050" cy="8599805"/>
            <wp:effectExtent l="0" t="0" r="0" b="10795"/>
            <wp:wrapNone/>
            <wp:docPr id="4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4"/>
                    <pic:cNvPicPr>
                      <a:picLocks noChangeAspect="1"/>
                    </pic:cNvPicPr>
                  </pic:nvPicPr>
                  <pic:blipFill>
                    <a:blip r:embed="rId58"/>
                    <a:stretch>
                      <a:fillRect/>
                    </a:stretch>
                  </pic:blipFill>
                  <pic:spPr>
                    <a:xfrm>
                      <a:off x="0" y="0"/>
                      <a:ext cx="6115050" cy="8599805"/>
                    </a:xfrm>
                    <a:prstGeom prst="rect">
                      <a:avLst/>
                    </a:prstGeom>
                    <a:noFill/>
                    <a:ln>
                      <a:noFill/>
                    </a:ln>
                  </pic:spPr>
                </pic:pic>
              </a:graphicData>
            </a:graphic>
          </wp:anchor>
        </w:drawing>
      </w:r>
      <w:r>
        <w:rPr>
          <w:color w:val="auto"/>
          <w:highlight w:val="none"/>
        </w:rPr>
        <w:br w:type="page"/>
      </w:r>
    </w:p>
    <w:p w14:paraId="6D703634">
      <w:pPr>
        <w:rPr>
          <w:color w:val="auto"/>
          <w:highlight w:val="none"/>
        </w:rPr>
      </w:pPr>
      <w:r>
        <w:rPr>
          <w:color w:val="auto"/>
          <w:highlight w:val="none"/>
        </w:rPr>
        <w:drawing>
          <wp:anchor distT="0" distB="0" distL="114300" distR="114300" simplePos="0" relativeHeight="251678720" behindDoc="1" locked="0" layoutInCell="1" allowOverlap="1">
            <wp:simplePos x="0" y="0"/>
            <wp:positionH relativeFrom="column">
              <wp:posOffset>0</wp:posOffset>
            </wp:positionH>
            <wp:positionV relativeFrom="paragraph">
              <wp:posOffset>19050</wp:posOffset>
            </wp:positionV>
            <wp:extent cx="6166485" cy="8702675"/>
            <wp:effectExtent l="0" t="0" r="5715" b="3175"/>
            <wp:wrapNone/>
            <wp:docPr id="4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5"/>
                    <pic:cNvPicPr>
                      <a:picLocks noChangeAspect="1"/>
                    </pic:cNvPicPr>
                  </pic:nvPicPr>
                  <pic:blipFill>
                    <a:blip r:embed="rId59"/>
                    <a:stretch>
                      <a:fillRect/>
                    </a:stretch>
                  </pic:blipFill>
                  <pic:spPr>
                    <a:xfrm>
                      <a:off x="0" y="0"/>
                      <a:ext cx="6166485" cy="8702675"/>
                    </a:xfrm>
                    <a:prstGeom prst="rect">
                      <a:avLst/>
                    </a:prstGeom>
                    <a:noFill/>
                    <a:ln>
                      <a:noFill/>
                    </a:ln>
                  </pic:spPr>
                </pic:pic>
              </a:graphicData>
            </a:graphic>
          </wp:anchor>
        </w:drawing>
      </w:r>
      <w:r>
        <w:rPr>
          <w:color w:val="auto"/>
          <w:highlight w:val="none"/>
        </w:rPr>
        <w:br w:type="page"/>
      </w:r>
    </w:p>
    <w:p w14:paraId="5FA4DE2A">
      <w:pPr>
        <w:rPr>
          <w:color w:val="auto"/>
          <w:highlight w:val="none"/>
        </w:rPr>
      </w:pPr>
      <w:r>
        <w:rPr>
          <w:color w:val="auto"/>
          <w:highlight w:val="none"/>
        </w:rPr>
        <w:drawing>
          <wp:anchor distT="0" distB="0" distL="114300" distR="114300" simplePos="0" relativeHeight="251678720" behindDoc="1" locked="0" layoutInCell="1" allowOverlap="1">
            <wp:simplePos x="0" y="0"/>
            <wp:positionH relativeFrom="column">
              <wp:posOffset>-134620</wp:posOffset>
            </wp:positionH>
            <wp:positionV relativeFrom="paragraph">
              <wp:posOffset>123825</wp:posOffset>
            </wp:positionV>
            <wp:extent cx="6264275" cy="8682990"/>
            <wp:effectExtent l="0" t="0" r="3175" b="3810"/>
            <wp:wrapNone/>
            <wp:docPr id="4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6"/>
                    <pic:cNvPicPr>
                      <a:picLocks noChangeAspect="1"/>
                    </pic:cNvPicPr>
                  </pic:nvPicPr>
                  <pic:blipFill>
                    <a:blip r:embed="rId60"/>
                    <a:stretch>
                      <a:fillRect/>
                    </a:stretch>
                  </pic:blipFill>
                  <pic:spPr>
                    <a:xfrm>
                      <a:off x="0" y="0"/>
                      <a:ext cx="6264275" cy="8682990"/>
                    </a:xfrm>
                    <a:prstGeom prst="rect">
                      <a:avLst/>
                    </a:prstGeom>
                    <a:noFill/>
                    <a:ln>
                      <a:noFill/>
                    </a:ln>
                  </pic:spPr>
                </pic:pic>
              </a:graphicData>
            </a:graphic>
          </wp:anchor>
        </w:drawing>
      </w:r>
      <w:r>
        <w:rPr>
          <w:color w:val="auto"/>
          <w:highlight w:val="none"/>
        </w:rPr>
        <w:br w:type="page"/>
      </w:r>
    </w:p>
    <w:p w14:paraId="3FDD4FD8">
      <w:pPr>
        <w:rPr>
          <w:color w:val="auto"/>
          <w:highlight w:val="none"/>
        </w:rPr>
      </w:pPr>
      <w:r>
        <w:rPr>
          <w:color w:val="auto"/>
          <w:highlight w:val="none"/>
        </w:rPr>
        <w:drawing>
          <wp:anchor distT="0" distB="0" distL="114300" distR="114300" simplePos="0" relativeHeight="251678720" behindDoc="1" locked="0" layoutInCell="1" allowOverlap="1">
            <wp:simplePos x="0" y="0"/>
            <wp:positionH relativeFrom="column">
              <wp:posOffset>0</wp:posOffset>
            </wp:positionH>
            <wp:positionV relativeFrom="paragraph">
              <wp:posOffset>38100</wp:posOffset>
            </wp:positionV>
            <wp:extent cx="6178550" cy="8673465"/>
            <wp:effectExtent l="0" t="0" r="12700" b="13335"/>
            <wp:wrapNone/>
            <wp:docPr id="5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7"/>
                    <pic:cNvPicPr>
                      <a:picLocks noChangeAspect="1"/>
                    </pic:cNvPicPr>
                  </pic:nvPicPr>
                  <pic:blipFill>
                    <a:blip r:embed="rId61"/>
                    <a:stretch>
                      <a:fillRect/>
                    </a:stretch>
                  </pic:blipFill>
                  <pic:spPr>
                    <a:xfrm>
                      <a:off x="0" y="0"/>
                      <a:ext cx="6178550" cy="8673465"/>
                    </a:xfrm>
                    <a:prstGeom prst="rect">
                      <a:avLst/>
                    </a:prstGeom>
                    <a:noFill/>
                    <a:ln>
                      <a:noFill/>
                    </a:ln>
                  </pic:spPr>
                </pic:pic>
              </a:graphicData>
            </a:graphic>
          </wp:anchor>
        </w:drawing>
      </w:r>
      <w:r>
        <w:rPr>
          <w:color w:val="auto"/>
          <w:highlight w:val="none"/>
        </w:rPr>
        <w:br w:type="page"/>
      </w:r>
    </w:p>
    <w:p w14:paraId="49A11D88">
      <w:pPr>
        <w:rPr>
          <w:color w:val="auto"/>
          <w:highlight w:val="none"/>
        </w:rPr>
      </w:pPr>
      <w:r>
        <w:rPr>
          <w:color w:val="auto"/>
          <w:highlight w:val="none"/>
        </w:rPr>
        <w:drawing>
          <wp:anchor distT="0" distB="0" distL="114300" distR="114300" simplePos="0" relativeHeight="251678720" behindDoc="1" locked="0" layoutInCell="1" allowOverlap="1">
            <wp:simplePos x="0" y="0"/>
            <wp:positionH relativeFrom="column">
              <wp:posOffset>0</wp:posOffset>
            </wp:positionH>
            <wp:positionV relativeFrom="paragraph">
              <wp:posOffset>66675</wp:posOffset>
            </wp:positionV>
            <wp:extent cx="6174740" cy="8664575"/>
            <wp:effectExtent l="0" t="0" r="16510" b="3175"/>
            <wp:wrapNone/>
            <wp:docPr id="5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8"/>
                    <pic:cNvPicPr>
                      <a:picLocks noChangeAspect="1"/>
                    </pic:cNvPicPr>
                  </pic:nvPicPr>
                  <pic:blipFill>
                    <a:blip r:embed="rId62"/>
                    <a:stretch>
                      <a:fillRect/>
                    </a:stretch>
                  </pic:blipFill>
                  <pic:spPr>
                    <a:xfrm>
                      <a:off x="0" y="0"/>
                      <a:ext cx="6174740" cy="8664575"/>
                    </a:xfrm>
                    <a:prstGeom prst="rect">
                      <a:avLst/>
                    </a:prstGeom>
                    <a:noFill/>
                    <a:ln>
                      <a:noFill/>
                    </a:ln>
                  </pic:spPr>
                </pic:pic>
              </a:graphicData>
            </a:graphic>
          </wp:anchor>
        </w:drawing>
      </w:r>
      <w:r>
        <w:rPr>
          <w:color w:val="auto"/>
          <w:highlight w:val="none"/>
        </w:rPr>
        <w:br w:type="page"/>
      </w:r>
    </w:p>
    <w:p w14:paraId="300E3574">
      <w:pPr>
        <w:rPr>
          <w:color w:val="auto"/>
          <w:highlight w:val="none"/>
        </w:rPr>
        <w:sectPr>
          <w:pgSz w:w="11906" w:h="16838"/>
          <w:pgMar w:top="1418" w:right="1247" w:bottom="1418" w:left="1247" w:header="850" w:footer="850" w:gutter="0"/>
          <w:pgBorders>
            <w:top w:val="none" w:sz="0" w:space="0"/>
            <w:left w:val="none" w:sz="0" w:space="0"/>
            <w:bottom w:val="none" w:sz="0" w:space="0"/>
            <w:right w:val="none" w:sz="0" w:space="0"/>
          </w:pgBorders>
          <w:cols w:space="720" w:num="1"/>
          <w:docGrid w:type="lines" w:linePitch="312" w:charSpace="0"/>
        </w:sectPr>
      </w:pPr>
    </w:p>
    <w:p w14:paraId="71B94AE4">
      <w:pPr>
        <w:spacing w:line="360" w:lineRule="auto"/>
        <w:outlineLvl w:val="0"/>
        <w:rPr>
          <w:rFonts w:hint="eastAsia" w:ascii="黑体" w:hAnsi="黑体" w:eastAsia="黑体"/>
          <w:color w:val="auto"/>
          <w:sz w:val="24"/>
          <w:highlight w:val="none"/>
        </w:rPr>
      </w:pPr>
      <w:r>
        <w:rPr>
          <w:rFonts w:hint="eastAsia" w:ascii="黑体" w:hAnsi="黑体" w:eastAsia="黑体"/>
          <w:color w:val="auto"/>
          <w:sz w:val="24"/>
          <w:highlight w:val="none"/>
        </w:rPr>
        <w:t>附件</w:t>
      </w:r>
      <w:r>
        <w:rPr>
          <w:rFonts w:hint="eastAsia" w:ascii="黑体" w:hAnsi="黑体" w:eastAsia="黑体"/>
          <w:color w:val="auto"/>
          <w:sz w:val="24"/>
          <w:highlight w:val="none"/>
          <w:lang w:val="en-US" w:eastAsia="zh-CN"/>
        </w:rPr>
        <w:t>10</w:t>
      </w:r>
      <w:r>
        <w:rPr>
          <w:rFonts w:hint="eastAsia" w:ascii="黑体" w:hAnsi="黑体" w:eastAsia="黑体"/>
          <w:color w:val="auto"/>
          <w:sz w:val="24"/>
          <w:highlight w:val="none"/>
        </w:rPr>
        <w:t xml:space="preserve"> 工程师现场照片</w:t>
      </w:r>
    </w:p>
    <w:p w14:paraId="48223E97">
      <w:pPr>
        <w:jc w:val="center"/>
        <w:rPr>
          <w:rFonts w:hint="eastAsia" w:ascii="黑体" w:hAnsi="黑体" w:eastAsia="黑体"/>
          <w:color w:val="auto"/>
          <w:sz w:val="24"/>
          <w:highlight w:val="none"/>
        </w:rPr>
      </w:pPr>
      <w:r>
        <w:rPr>
          <w:color w:val="auto"/>
          <w:highlight w:val="none"/>
        </w:rPr>
        <w:drawing>
          <wp:anchor distT="0" distB="0" distL="114300" distR="114300" simplePos="0" relativeHeight="251678720" behindDoc="1" locked="0" layoutInCell="1" allowOverlap="1">
            <wp:simplePos x="0" y="0"/>
            <wp:positionH relativeFrom="column">
              <wp:posOffset>89535</wp:posOffset>
            </wp:positionH>
            <wp:positionV relativeFrom="paragraph">
              <wp:posOffset>3810</wp:posOffset>
            </wp:positionV>
            <wp:extent cx="2687955" cy="3609975"/>
            <wp:effectExtent l="0" t="0" r="17145" b="9525"/>
            <wp:wrapNone/>
            <wp:docPr id="5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9"/>
                    <pic:cNvPicPr>
                      <a:picLocks noChangeAspect="1"/>
                    </pic:cNvPicPr>
                  </pic:nvPicPr>
                  <pic:blipFill>
                    <a:blip r:embed="rId63"/>
                    <a:stretch>
                      <a:fillRect/>
                    </a:stretch>
                  </pic:blipFill>
                  <pic:spPr>
                    <a:xfrm>
                      <a:off x="0" y="0"/>
                      <a:ext cx="2687955" cy="3609975"/>
                    </a:xfrm>
                    <a:prstGeom prst="rect">
                      <a:avLst/>
                    </a:prstGeom>
                    <a:noFill/>
                    <a:ln>
                      <a:noFill/>
                    </a:ln>
                  </pic:spPr>
                </pic:pic>
              </a:graphicData>
            </a:graphic>
          </wp:anchor>
        </w:drawing>
      </w:r>
    </w:p>
    <w:p w14:paraId="7CB5A958">
      <w:pPr>
        <w:jc w:val="center"/>
        <w:rPr>
          <w:rFonts w:hint="eastAsia" w:ascii="黑体" w:hAnsi="黑体" w:eastAsia="黑体"/>
          <w:color w:val="auto"/>
          <w:sz w:val="24"/>
          <w:highlight w:val="none"/>
        </w:rPr>
      </w:pPr>
    </w:p>
    <w:p w14:paraId="76514866">
      <w:pPr>
        <w:jc w:val="center"/>
        <w:rPr>
          <w:rFonts w:hint="eastAsia" w:ascii="黑体" w:hAnsi="黑体" w:eastAsia="黑体"/>
          <w:color w:val="auto"/>
          <w:sz w:val="24"/>
          <w:highlight w:val="none"/>
        </w:rPr>
      </w:pPr>
    </w:p>
    <w:p w14:paraId="37CE6387">
      <w:pPr>
        <w:jc w:val="center"/>
        <w:rPr>
          <w:rFonts w:hint="eastAsia" w:ascii="黑体" w:hAnsi="黑体" w:eastAsia="黑体"/>
          <w:color w:val="auto"/>
          <w:sz w:val="24"/>
          <w:highlight w:val="none"/>
        </w:rPr>
        <w:sectPr>
          <w:pgSz w:w="11906" w:h="16838"/>
          <w:pgMar w:top="1418" w:right="1247" w:bottom="1418" w:left="1247" w:header="850" w:footer="850" w:gutter="0"/>
          <w:pgBorders>
            <w:top w:val="none" w:sz="0" w:space="0"/>
            <w:left w:val="none" w:sz="0" w:space="0"/>
            <w:bottom w:val="none" w:sz="0" w:space="0"/>
            <w:right w:val="none" w:sz="0" w:space="0"/>
          </w:pgBorders>
          <w:cols w:space="720" w:num="1"/>
          <w:docGrid w:type="lines" w:linePitch="312" w:charSpace="0"/>
        </w:sectPr>
      </w:pPr>
    </w:p>
    <w:p w14:paraId="309C172D">
      <w:pPr>
        <w:rPr>
          <w:color w:val="auto"/>
          <w:highlight w:val="none"/>
        </w:rPr>
      </w:pPr>
      <w:r>
        <w:rPr>
          <w:color w:val="auto"/>
          <w:sz w:val="24"/>
          <w:highlight w:val="none"/>
        </w:rPr>
        <mc:AlternateContent>
          <mc:Choice Requires="wps">
            <w:drawing>
              <wp:anchor distT="0" distB="0" distL="114300" distR="114300" simplePos="0" relativeHeight="251664384" behindDoc="0" locked="0" layoutInCell="1" allowOverlap="1">
                <wp:simplePos x="0" y="0"/>
                <wp:positionH relativeFrom="column">
                  <wp:posOffset>74930</wp:posOffset>
                </wp:positionH>
                <wp:positionV relativeFrom="paragraph">
                  <wp:posOffset>104775</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BC31116">
                            <w:pPr>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附图1：项目地理位置图</w:t>
                            </w:r>
                          </w:p>
                        </w:txbxContent>
                      </wps:txbx>
                      <wps:bodyPr wrap="none" upright="1">
                        <a:spAutoFit/>
                      </wps:bodyPr>
                    </wps:wsp>
                  </a:graphicData>
                </a:graphic>
              </wp:anchor>
            </w:drawing>
          </mc:Choice>
          <mc:Fallback>
            <w:pict>
              <v:shape id="_x0000_s1026" o:spid="_x0000_s1026" o:spt="202" type="#_x0000_t202" style="position:absolute;left:0pt;margin-left:5.9pt;margin-top:8.25pt;height:144pt;width:144pt;mso-wrap-style:none;z-index:251664384;mso-width-relative:page;mso-height-relative:page;" filled="f" stroked="f" coordsize="21600,21600" o:gfxdata="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M5xKpzVAAAACQEAAA8AAAAAAAAAAQAgAAAAIgAAAGRycy9kb3ducmV2LnhtbFBLAQIUABQA&#10;AAAIAIdO4kAn1GqzugEAAHcDAAAOAAAAAAAAAAEAIAAAACQBAABkcnMvZTJvRG9jLnhtbFBLBQYA&#10;AAAABgAGAFkBAABQBQAAAAA=&#10;">
                <v:fill on="f" focussize="0,0"/>
                <v:stroke on="f"/>
                <v:imagedata o:title=""/>
                <o:lock v:ext="edit" aspectratio="f"/>
                <v:textbox style="mso-fit-shape-to-text:t;">
                  <w:txbxContent>
                    <w:p w14:paraId="6BC31116">
                      <w:pPr>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附图1：项目地理位置图</w:t>
                      </w:r>
                    </w:p>
                  </w:txbxContent>
                </v:textbox>
              </v:shape>
            </w:pict>
          </mc:Fallback>
        </mc:AlternateContent>
      </w:r>
    </w:p>
    <w:p w14:paraId="69E6AEA2">
      <w:pPr>
        <w:jc w:val="center"/>
        <w:rPr>
          <w:color w:val="auto"/>
          <w:highlight w:val="none"/>
        </w:rPr>
      </w:pPr>
      <w:r>
        <w:rPr>
          <w:color w:val="auto"/>
          <w:highlight w:val="none"/>
        </w:rPr>
        <w:drawing>
          <wp:anchor distT="0" distB="0" distL="114300" distR="114300" simplePos="0" relativeHeight="251679744" behindDoc="0" locked="0" layoutInCell="1" allowOverlap="1">
            <wp:simplePos x="0" y="0"/>
            <wp:positionH relativeFrom="column">
              <wp:posOffset>8983980</wp:posOffset>
            </wp:positionH>
            <wp:positionV relativeFrom="paragraph">
              <wp:posOffset>171450</wp:posOffset>
            </wp:positionV>
            <wp:extent cx="1144270" cy="1162685"/>
            <wp:effectExtent l="9525" t="9525" r="27305" b="27940"/>
            <wp:wrapNone/>
            <wp:docPr id="59"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60"/>
                    <pic:cNvPicPr>
                      <a:picLocks noChangeAspect="1"/>
                    </pic:cNvPicPr>
                  </pic:nvPicPr>
                  <pic:blipFill>
                    <a:blip r:embed="rId64"/>
                    <a:stretch>
                      <a:fillRect/>
                    </a:stretch>
                  </pic:blipFill>
                  <pic:spPr>
                    <a:xfrm>
                      <a:off x="0" y="0"/>
                      <a:ext cx="1144270" cy="1162685"/>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51C67376">
      <w:pPr>
        <w:jc w:val="center"/>
        <w:rPr>
          <w:color w:val="auto"/>
          <w:highlight w:val="none"/>
        </w:rPr>
        <w:sectPr>
          <w:headerReference r:id="rId15" w:type="default"/>
          <w:footerReference r:id="rId16" w:type="default"/>
          <w:pgSz w:w="16838" w:h="11906" w:orient="landscape"/>
          <w:pgMar w:top="232" w:right="232" w:bottom="232" w:left="232" w:header="0" w:footer="0" w:gutter="0"/>
          <w:pgBorders>
            <w:top w:val="none" w:sz="0" w:space="0"/>
            <w:left w:val="none" w:sz="0" w:space="0"/>
            <w:bottom w:val="none" w:sz="0" w:space="0"/>
            <w:right w:val="none" w:sz="0" w:space="0"/>
          </w:pgBorders>
          <w:cols w:space="425" w:num="1"/>
          <w:docGrid w:type="lines" w:linePitch="312" w:charSpace="0"/>
        </w:sectPr>
      </w:pPr>
      <w:r>
        <w:rPr>
          <w:color w:val="auto"/>
          <w:highlight w:val="none"/>
        </w:rPr>
        <w:drawing>
          <wp:anchor distT="0" distB="0" distL="114300" distR="114300" simplePos="0" relativeHeight="251678720" behindDoc="1" locked="0" layoutInCell="1" allowOverlap="1">
            <wp:simplePos x="0" y="0"/>
            <wp:positionH relativeFrom="column">
              <wp:posOffset>237490</wp:posOffset>
            </wp:positionH>
            <wp:positionV relativeFrom="paragraph">
              <wp:posOffset>635</wp:posOffset>
            </wp:positionV>
            <wp:extent cx="9844405" cy="5648960"/>
            <wp:effectExtent l="9525" t="9525" r="13970" b="18415"/>
            <wp:wrapNone/>
            <wp:docPr id="5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0"/>
                    <pic:cNvPicPr>
                      <a:picLocks noChangeAspect="1"/>
                    </pic:cNvPicPr>
                  </pic:nvPicPr>
                  <pic:blipFill>
                    <a:blip r:embed="rId65"/>
                    <a:stretch>
                      <a:fillRect/>
                    </a:stretch>
                  </pic:blipFill>
                  <pic:spPr>
                    <a:xfrm>
                      <a:off x="0" y="0"/>
                      <a:ext cx="9844405" cy="5648960"/>
                    </a:xfrm>
                    <a:prstGeom prst="rect">
                      <a:avLst/>
                    </a:prstGeom>
                    <a:noFill/>
                    <a:ln>
                      <a:solidFill>
                        <a:schemeClr val="tx2"/>
                      </a:solidFill>
                    </a:ln>
                  </pic:spPr>
                </pic:pic>
              </a:graphicData>
            </a:graphic>
          </wp:anchor>
        </w:drawing>
      </w:r>
      <w:r>
        <w:rPr>
          <w:color w:val="auto"/>
          <w:highlight w:val="none"/>
        </w:rPr>
        <mc:AlternateContent>
          <mc:Choice Requires="wps">
            <w:drawing>
              <wp:anchor distT="0" distB="0" distL="114300" distR="114300" simplePos="0" relativeHeight="251666432" behindDoc="0" locked="0" layoutInCell="1" allowOverlap="1">
                <wp:simplePos x="0" y="0"/>
                <wp:positionH relativeFrom="column">
                  <wp:posOffset>5694045</wp:posOffset>
                </wp:positionH>
                <wp:positionV relativeFrom="paragraph">
                  <wp:posOffset>2991485</wp:posOffset>
                </wp:positionV>
                <wp:extent cx="934085" cy="295275"/>
                <wp:effectExtent l="177165" t="357505" r="12700" b="13970"/>
                <wp:wrapNone/>
                <wp:docPr id="21" name="矩形标注 21"/>
                <wp:cNvGraphicFramePr/>
                <a:graphic xmlns:a="http://schemas.openxmlformats.org/drawingml/2006/main">
                  <a:graphicData uri="http://schemas.microsoft.com/office/word/2010/wordprocessingShape">
                    <wps:wsp>
                      <wps:cNvSpPr/>
                      <wps:spPr>
                        <a:xfrm>
                          <a:off x="0" y="0"/>
                          <a:ext cx="934085" cy="295275"/>
                        </a:xfrm>
                        <a:prstGeom prst="wedgeRectCallout">
                          <a:avLst>
                            <a:gd name="adj1" fmla="val -66106"/>
                            <a:gd name="adj2" fmla="val -163542"/>
                          </a:avLst>
                        </a:prstGeom>
                        <a:solidFill>
                          <a:srgbClr val="F2F2F2"/>
                        </a:solidFill>
                        <a:ln w="9525" cap="flat" cmpd="sng">
                          <a:solidFill>
                            <a:srgbClr val="000000"/>
                          </a:solidFill>
                          <a:prstDash val="solid"/>
                          <a:miter/>
                          <a:headEnd type="none" w="med" len="med"/>
                          <a:tailEnd type="none" w="med" len="med"/>
                        </a:ln>
                      </wps:spPr>
                      <wps:txbx>
                        <w:txbxContent>
                          <w:p w14:paraId="7574E867">
                            <w:pPr>
                              <w:jc w:val="center"/>
                              <w:rPr>
                                <w:rFonts w:hint="eastAsia"/>
                                <w:b/>
                                <w:bCs/>
                                <w:sz w:val="24"/>
                                <w:szCs w:val="24"/>
                              </w:rPr>
                            </w:pPr>
                            <w:r>
                              <w:rPr>
                                <w:rFonts w:hint="eastAsia"/>
                                <w:b/>
                                <w:bCs/>
                                <w:sz w:val="24"/>
                                <w:szCs w:val="24"/>
                              </w:rPr>
                              <w:t>项目</w:t>
                            </w:r>
                            <w:r>
                              <w:rPr>
                                <w:b/>
                                <w:bCs/>
                                <w:sz w:val="24"/>
                                <w:szCs w:val="24"/>
                              </w:rPr>
                              <w:t>位置</w:t>
                            </w:r>
                          </w:p>
                        </w:txbxContent>
                      </wps:txbx>
                      <wps:bodyPr upright="1"/>
                    </wps:wsp>
                  </a:graphicData>
                </a:graphic>
              </wp:anchor>
            </w:drawing>
          </mc:Choice>
          <mc:Fallback>
            <w:pict>
              <v:shape id="_x0000_s1026" o:spid="_x0000_s1026" o:spt="61" type="#_x0000_t61" style="position:absolute;left:0pt;margin-left:448.35pt;margin-top:235.55pt;height:23.25pt;width:73.55pt;z-index:251666432;mso-width-relative:page;mso-height-relative:page;" fillcolor="#F2F2F2" filled="t" stroked="t" coordsize="21600,21600" o:gfxdata="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ydG7F9oAAAAMAQAADwAAAAAAAAABACAAAAAiAAAAZHJzL2Rv&#10;d25yZXYueG1sUEsBAhQAFAAAAAgAh07iQLXxIWE4AgAAkAQAAA4AAAAAAAAAAQAgAAAAKQEAAGRy&#10;cy9lMm9Eb2MueG1sUEsFBgAAAAAGAAYAWQEAANMFAAAAAA==&#10;" adj="-3479,-24525">
                <v:fill on="t" focussize="0,0"/>
                <v:stroke color="#000000" joinstyle="miter"/>
                <v:imagedata o:title=""/>
                <o:lock v:ext="edit" aspectratio="f"/>
                <v:textbox>
                  <w:txbxContent>
                    <w:p w14:paraId="7574E867">
                      <w:pPr>
                        <w:jc w:val="center"/>
                        <w:rPr>
                          <w:rFonts w:hint="eastAsia"/>
                          <w:b/>
                          <w:bCs/>
                          <w:sz w:val="24"/>
                          <w:szCs w:val="24"/>
                        </w:rPr>
                      </w:pPr>
                      <w:r>
                        <w:rPr>
                          <w:rFonts w:hint="eastAsia"/>
                          <w:b/>
                          <w:bCs/>
                          <w:sz w:val="24"/>
                          <w:szCs w:val="24"/>
                        </w:rPr>
                        <w:t>项目</w:t>
                      </w:r>
                      <w:r>
                        <w:rPr>
                          <w:b/>
                          <w:bCs/>
                          <w:sz w:val="24"/>
                          <w:szCs w:val="24"/>
                        </w:rPr>
                        <w:t>位置</w:t>
                      </w:r>
                    </w:p>
                  </w:txbxContent>
                </v:textbox>
              </v:shape>
            </w:pict>
          </mc:Fallback>
        </mc:AlternateContent>
      </w:r>
      <w:r>
        <w:rPr>
          <w:color w:val="auto"/>
          <w:sz w:val="21"/>
          <w:highlight w:val="none"/>
        </w:rPr>
        <mc:AlternateContent>
          <mc:Choice Requires="wps">
            <w:drawing>
              <wp:anchor distT="0" distB="0" distL="114300" distR="114300" simplePos="0" relativeHeight="251665408" behindDoc="0" locked="0" layoutInCell="1" allowOverlap="1">
                <wp:simplePos x="0" y="0"/>
                <wp:positionH relativeFrom="column">
                  <wp:posOffset>5444490</wp:posOffset>
                </wp:positionH>
                <wp:positionV relativeFrom="paragraph">
                  <wp:posOffset>2574925</wp:posOffset>
                </wp:positionV>
                <wp:extent cx="95885" cy="90170"/>
                <wp:effectExtent l="14605" t="15240" r="22860" b="27940"/>
                <wp:wrapNone/>
                <wp:docPr id="41" name="五角星 41"/>
                <wp:cNvGraphicFramePr/>
                <a:graphic xmlns:a="http://schemas.openxmlformats.org/drawingml/2006/main">
                  <a:graphicData uri="http://schemas.microsoft.com/office/word/2010/wordprocessingShape">
                    <wps:wsp>
                      <wps:cNvSpPr/>
                      <wps:spPr>
                        <a:xfrm>
                          <a:off x="4932045" y="4087495"/>
                          <a:ext cx="95885" cy="90170"/>
                        </a:xfrm>
                        <a:prstGeom prst="star5">
                          <a:avLst/>
                        </a:prstGeom>
                        <a:solidFill>
                          <a:srgbClr val="FF0000"/>
                        </a:solidFill>
                        <a:ln w="9525" cap="flat" cmpd="sng">
                          <a:solidFill>
                            <a:srgbClr val="000000"/>
                          </a:solidFill>
                          <a:prstDash val="solid"/>
                          <a:miter/>
                          <a:headEnd type="none" w="med" len="med"/>
                          <a:tailEnd type="none" w="med" len="med"/>
                        </a:ln>
                        <a:effectLst/>
                      </wps:spPr>
                      <wps:txbx>
                        <w:txbxContent>
                          <w:p w14:paraId="3227AF8A"/>
                        </w:txbxContent>
                      </wps:txbx>
                      <wps:bodyPr upright="1"/>
                    </wps:wsp>
                  </a:graphicData>
                </a:graphic>
              </wp:anchor>
            </w:drawing>
          </mc:Choice>
          <mc:Fallback>
            <w:pict>
              <v:shape id="_x0000_s1026" o:spid="_x0000_s1026" style="position:absolute;left:0pt;margin-left:428.7pt;margin-top:202.75pt;height:7.1pt;width:7.55pt;z-index:251665408;mso-width-relative:page;mso-height-relative:page;" fillcolor="#FF0000" filled="t" stroked="t" coordsize="95885,90170" o:gfxdata="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ctvGfZAAAACwEA&#10;AA8AAAAAAAAAAQAgAAAAIgAAAGRycy9kb3ducmV2LnhtbFBLAQIUABQAAAAIAIdO4kC3J+plGQIA&#10;AEYEAAAOAAAAAAAAAAEAIAAAACgBAABkcnMvZTJvRG9jLnhtbFBLBQYAAAAABgAGAFkBAACzBQAA&#10;AAA=&#10;" path="m0,34441l36625,34442,47942,0,59259,34442,95884,34441,66254,55727,77572,90169,47942,68883,18312,90169,29630,55727xe">
                <v:path textboxrect="0,0,95885,90170" o:connectlocs="47942,0;0,34441;18312,90169;77572,90169;95884,34441" o:connectangles="247,164,82,82,0"/>
                <v:fill on="t" focussize="0,0"/>
                <v:stroke color="#000000" joinstyle="miter"/>
                <v:imagedata o:title=""/>
                <o:lock v:ext="edit" aspectratio="f"/>
                <v:textbox>
                  <w:txbxContent>
                    <w:p w14:paraId="3227AF8A"/>
                  </w:txbxContent>
                </v:textbox>
              </v:shape>
            </w:pict>
          </mc:Fallback>
        </mc:AlternateContent>
      </w:r>
    </w:p>
    <w:p w14:paraId="1138D7BF">
      <w:pPr>
        <w:rPr>
          <w:color w:val="auto"/>
          <w:highlight w:val="none"/>
        </w:rPr>
        <w:sectPr>
          <w:pgSz w:w="16838" w:h="11906" w:orient="landscape"/>
          <w:pgMar w:top="232" w:right="232" w:bottom="232" w:left="232" w:header="0" w:footer="0" w:gutter="0"/>
          <w:pgBorders>
            <w:top w:val="none" w:sz="0" w:space="0"/>
            <w:left w:val="none" w:sz="0" w:space="0"/>
            <w:bottom w:val="none" w:sz="0" w:space="0"/>
            <w:right w:val="none" w:sz="0" w:space="0"/>
          </w:pgBorders>
          <w:cols w:space="425" w:num="1"/>
          <w:docGrid w:type="lines" w:linePitch="312" w:charSpace="0"/>
        </w:sectPr>
      </w:pPr>
      <w:r>
        <mc:AlternateContent>
          <mc:Choice Requires="wps">
            <w:drawing>
              <wp:anchor distT="0" distB="0" distL="114300" distR="114300" simplePos="0" relativeHeight="251697152" behindDoc="0" locked="0" layoutInCell="1" allowOverlap="1">
                <wp:simplePos x="0" y="0"/>
                <wp:positionH relativeFrom="column">
                  <wp:posOffset>3435350</wp:posOffset>
                </wp:positionH>
                <wp:positionV relativeFrom="paragraph">
                  <wp:posOffset>3623310</wp:posOffset>
                </wp:positionV>
                <wp:extent cx="1349375" cy="274320"/>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1349375" cy="274320"/>
                        </a:xfrm>
                        <a:prstGeom prst="rect">
                          <a:avLst/>
                        </a:prstGeom>
                        <a:noFill/>
                        <a:ln>
                          <a:noFill/>
                        </a:ln>
                      </wps:spPr>
                      <wps:txbx>
                        <w:txbxContent>
                          <w:p w14:paraId="7D904EF3">
                            <w:pPr>
                              <w:jc w:val="center"/>
                              <w:rPr>
                                <w:rFonts w:hint="eastAsia" w:ascii="宋体" w:hAnsi="宋体" w:eastAsia="宋体" w:cs="宋体"/>
                                <w:b/>
                                <w:bCs/>
                                <w:color w:val="FFFF00"/>
                                <w:sz w:val="21"/>
                                <w:szCs w:val="21"/>
                                <w:lang w:eastAsia="zh-CN"/>
                              </w:rPr>
                            </w:pPr>
                            <w:r>
                              <w:rPr>
                                <w:rFonts w:hint="eastAsia" w:ascii="宋体" w:hAnsi="宋体" w:cs="宋体"/>
                                <w:b/>
                                <w:bCs/>
                                <w:color w:val="FFFF00"/>
                                <w:sz w:val="21"/>
                                <w:szCs w:val="21"/>
                              </w:rPr>
                              <w:t>厂房</w:t>
                            </w:r>
                          </w:p>
                        </w:txbxContent>
                      </wps:txbx>
                      <wps:bodyPr upright="1"/>
                    </wps:wsp>
                  </a:graphicData>
                </a:graphic>
              </wp:anchor>
            </w:drawing>
          </mc:Choice>
          <mc:Fallback>
            <w:pict>
              <v:shape id="_x0000_s1026" o:spid="_x0000_s1026" o:spt="202" type="#_x0000_t202" style="position:absolute;left:0pt;margin-left:270.5pt;margin-top:285.3pt;height:21.6pt;width:106.25pt;z-index:251697152;mso-width-relative:page;mso-height-relative:page;" filled="f" stroked="f" coordsize="21600,21600" o:gfxdata="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PJ4&#10;ZoLZAAAACwEAAA8AAAAAAAAAAQAgAAAAIgAAAGRycy9kb3ducmV2LnhtbFBLAQIUABQAAAAIAIdO&#10;4kB9w1AcsAEAAFADAAAOAAAAAAAAAAEAIAAAACgBAABkcnMvZTJvRG9jLnhtbFBLBQYAAAAABgAG&#10;AFkBAABKBQAAAAA=&#10;">
                <v:fill on="f" focussize="0,0"/>
                <v:stroke on="f"/>
                <v:imagedata o:title=""/>
                <o:lock v:ext="edit" aspectratio="f"/>
                <v:textbox>
                  <w:txbxContent>
                    <w:p w14:paraId="7D904EF3">
                      <w:pPr>
                        <w:jc w:val="center"/>
                        <w:rPr>
                          <w:rFonts w:hint="eastAsia" w:ascii="宋体" w:hAnsi="宋体" w:eastAsia="宋体" w:cs="宋体"/>
                          <w:b/>
                          <w:bCs/>
                          <w:color w:val="FFFF00"/>
                          <w:sz w:val="21"/>
                          <w:szCs w:val="21"/>
                          <w:lang w:eastAsia="zh-CN"/>
                        </w:rPr>
                      </w:pPr>
                      <w:r>
                        <w:rPr>
                          <w:rFonts w:hint="eastAsia" w:ascii="宋体" w:hAnsi="宋体" w:cs="宋体"/>
                          <w:b/>
                          <w:bCs/>
                          <w:color w:val="FFFF00"/>
                          <w:sz w:val="21"/>
                          <w:szCs w:val="21"/>
                        </w:rPr>
                        <w:t>厂房</w:t>
                      </w:r>
                    </w:p>
                  </w:txbxContent>
                </v:textbox>
              </v:shape>
            </w:pict>
          </mc:Fallback>
        </mc:AlternateContent>
      </w:r>
      <w:r>
        <w:rPr>
          <w:color w:val="auto"/>
          <w:highlight w:val="none"/>
        </w:rPr>
        <mc:AlternateContent>
          <mc:Choice Requires="wps">
            <w:drawing>
              <wp:anchor distT="0" distB="0" distL="114300" distR="114300" simplePos="0" relativeHeight="251693056" behindDoc="0" locked="0" layoutInCell="1" allowOverlap="1">
                <wp:simplePos x="0" y="0"/>
                <wp:positionH relativeFrom="column">
                  <wp:posOffset>2712085</wp:posOffset>
                </wp:positionH>
                <wp:positionV relativeFrom="paragraph">
                  <wp:posOffset>4025265</wp:posOffset>
                </wp:positionV>
                <wp:extent cx="1366520" cy="295275"/>
                <wp:effectExtent l="5080" t="460375" r="19050" b="6350"/>
                <wp:wrapNone/>
                <wp:docPr id="78" name="矩形标注 78"/>
                <wp:cNvGraphicFramePr/>
                <a:graphic xmlns:a="http://schemas.openxmlformats.org/drawingml/2006/main">
                  <a:graphicData uri="http://schemas.microsoft.com/office/word/2010/wordprocessingShape">
                    <wps:wsp>
                      <wps:cNvSpPr/>
                      <wps:spPr>
                        <a:xfrm>
                          <a:off x="0" y="0"/>
                          <a:ext cx="1366520" cy="295275"/>
                        </a:xfrm>
                        <a:prstGeom prst="wedgeRectCallout">
                          <a:avLst>
                            <a:gd name="adj1" fmla="val 39498"/>
                            <a:gd name="adj2" fmla="val -200967"/>
                          </a:avLst>
                        </a:prstGeom>
                        <a:solidFill>
                          <a:srgbClr val="F2F2F2"/>
                        </a:solidFill>
                        <a:ln w="9525" cap="flat" cmpd="sng">
                          <a:solidFill>
                            <a:srgbClr val="000000"/>
                          </a:solidFill>
                          <a:prstDash val="solid"/>
                          <a:miter/>
                          <a:headEnd type="none" w="med" len="med"/>
                          <a:tailEnd type="none" w="med" len="med"/>
                        </a:ln>
                      </wps:spPr>
                      <wps:txbx>
                        <w:txbxContent>
                          <w:p w14:paraId="22AA22AD">
                            <w:pPr>
                              <w:jc w:val="center"/>
                              <w:rPr>
                                <w:rFonts w:hint="eastAsia"/>
                                <w:b/>
                                <w:bCs/>
                                <w:sz w:val="21"/>
                                <w:szCs w:val="21"/>
                              </w:rPr>
                            </w:pPr>
                            <w:r>
                              <w:rPr>
                                <w:rFonts w:hint="eastAsia"/>
                                <w:b/>
                                <w:bCs/>
                                <w:sz w:val="21"/>
                                <w:szCs w:val="21"/>
                              </w:rPr>
                              <w:t>项目</w:t>
                            </w:r>
                            <w:r>
                              <w:rPr>
                                <w:rFonts w:hint="eastAsia"/>
                                <w:b/>
                                <w:bCs/>
                                <w:sz w:val="21"/>
                                <w:szCs w:val="21"/>
                                <w:lang w:eastAsia="zh-CN"/>
                              </w:rPr>
                              <w:t>租赁车间</w:t>
                            </w:r>
                            <w:r>
                              <w:rPr>
                                <w:b/>
                                <w:bCs/>
                                <w:sz w:val="21"/>
                                <w:szCs w:val="21"/>
                              </w:rPr>
                              <w:t>位置</w:t>
                            </w:r>
                          </w:p>
                        </w:txbxContent>
                      </wps:txbx>
                      <wps:bodyPr upright="1"/>
                    </wps:wsp>
                  </a:graphicData>
                </a:graphic>
              </wp:anchor>
            </w:drawing>
          </mc:Choice>
          <mc:Fallback>
            <w:pict>
              <v:shape id="_x0000_s1026" o:spid="_x0000_s1026" o:spt="61" type="#_x0000_t61" style="position:absolute;left:0pt;margin-left:213.55pt;margin-top:316.95pt;height:23.25pt;width:107.6pt;z-index:251693056;mso-width-relative:page;mso-height-relative:page;" fillcolor="#F2F2F2" filled="t" stroked="t" coordsize="21600,21600" o:gfxdata="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sTil23AAAAAsBAAAPAAAAAAAAAAEAIAAAACIAAABk&#10;cnMvZG93bnJldi54bWxQSwECFAAUAAAACACHTuJAtcoSdDsCAACQBAAADgAAAAAAAAABACAAAAAr&#10;AQAAZHJzL2Uyb0RvYy54bWxQSwUGAAAAAAYABgBZAQAA2AUAAAAA&#10;" adj="19332,-32609">
                <v:fill on="t" focussize="0,0"/>
                <v:stroke color="#000000" joinstyle="miter"/>
                <v:imagedata o:title=""/>
                <o:lock v:ext="edit" aspectratio="f"/>
                <v:textbox>
                  <w:txbxContent>
                    <w:p w14:paraId="22AA22AD">
                      <w:pPr>
                        <w:jc w:val="center"/>
                        <w:rPr>
                          <w:rFonts w:hint="eastAsia"/>
                          <w:b/>
                          <w:bCs/>
                          <w:sz w:val="21"/>
                          <w:szCs w:val="21"/>
                        </w:rPr>
                      </w:pPr>
                      <w:r>
                        <w:rPr>
                          <w:rFonts w:hint="eastAsia"/>
                          <w:b/>
                          <w:bCs/>
                          <w:sz w:val="21"/>
                          <w:szCs w:val="21"/>
                        </w:rPr>
                        <w:t>项目</w:t>
                      </w:r>
                      <w:r>
                        <w:rPr>
                          <w:rFonts w:hint="eastAsia"/>
                          <w:b/>
                          <w:bCs/>
                          <w:sz w:val="21"/>
                          <w:szCs w:val="21"/>
                          <w:lang w:eastAsia="zh-CN"/>
                        </w:rPr>
                        <w:t>租赁车间</w:t>
                      </w:r>
                      <w:r>
                        <w:rPr>
                          <w:b/>
                          <w:bCs/>
                          <w:sz w:val="21"/>
                          <w:szCs w:val="21"/>
                        </w:rPr>
                        <w:t>位置</w:t>
                      </w:r>
                    </w:p>
                  </w:txbxContent>
                </v:textbox>
              </v:shap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4137025</wp:posOffset>
                </wp:positionH>
                <wp:positionV relativeFrom="paragraph">
                  <wp:posOffset>3255010</wp:posOffset>
                </wp:positionV>
                <wp:extent cx="390525" cy="530860"/>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390525" cy="530860"/>
                        </a:xfrm>
                        <a:prstGeom prst="rect">
                          <a:avLst/>
                        </a:prstGeom>
                        <a:noFill/>
                        <a:ln>
                          <a:noFill/>
                        </a:ln>
                      </wps:spPr>
                      <wps:txbx>
                        <w:txbxContent>
                          <w:p w14:paraId="54489A87">
                            <w:pPr>
                              <w:jc w:val="center"/>
                              <w:rPr>
                                <w:rFonts w:hint="eastAsia" w:ascii="宋体" w:hAnsi="宋体" w:eastAsia="宋体" w:cs="宋体"/>
                                <w:b/>
                                <w:bCs/>
                                <w:color w:val="FFFF00"/>
                                <w:sz w:val="21"/>
                                <w:szCs w:val="21"/>
                                <w:lang w:eastAsia="zh-CN"/>
                              </w:rPr>
                            </w:pPr>
                            <w:r>
                              <w:rPr>
                                <w:rFonts w:hint="eastAsia" w:ascii="宋体" w:hAnsi="宋体" w:eastAsia="宋体" w:cs="宋体"/>
                                <w:b/>
                                <w:bCs/>
                                <w:color w:val="FFFF00"/>
                                <w:sz w:val="21"/>
                                <w:szCs w:val="21"/>
                                <w:lang w:eastAsia="zh-CN"/>
                              </w:rPr>
                              <w:t>仓库</w:t>
                            </w:r>
                          </w:p>
                        </w:txbxContent>
                      </wps:txbx>
                      <wps:bodyPr upright="1"/>
                    </wps:wsp>
                  </a:graphicData>
                </a:graphic>
              </wp:anchor>
            </w:drawing>
          </mc:Choice>
          <mc:Fallback>
            <w:pict>
              <v:shape id="_x0000_s1026" o:spid="_x0000_s1026" o:spt="202" type="#_x0000_t202" style="position:absolute;left:0pt;margin-left:325.75pt;margin-top:256.3pt;height:41.8pt;width:30.75pt;z-index:251696128;mso-width-relative:page;mso-height-relative:page;" filled="f" stroked="f" coordsize="21600,21600" o:gfxdata="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iOAOu&#10;2AAAAAsBAAAPAAAAAAAAAAEAIAAAACIAAABkcnMvZG93bnJldi54bWxQSwECFAAUAAAACACHTuJA&#10;1+4tIa8BAABPAwAADgAAAAAAAAABACAAAAAnAQAAZHJzL2Uyb0RvYy54bWxQSwUGAAAAAAYABgBZ&#10;AQAASAUAAAAA&#10;">
                <v:fill on="f" focussize="0,0"/>
                <v:stroke on="f"/>
                <v:imagedata o:title=""/>
                <o:lock v:ext="edit" aspectratio="f"/>
                <v:textbox>
                  <w:txbxContent>
                    <w:p w14:paraId="54489A87">
                      <w:pPr>
                        <w:jc w:val="center"/>
                        <w:rPr>
                          <w:rFonts w:hint="eastAsia" w:ascii="宋体" w:hAnsi="宋体" w:eastAsia="宋体" w:cs="宋体"/>
                          <w:b/>
                          <w:bCs/>
                          <w:color w:val="FFFF00"/>
                          <w:sz w:val="21"/>
                          <w:szCs w:val="21"/>
                          <w:lang w:eastAsia="zh-CN"/>
                        </w:rPr>
                      </w:pPr>
                      <w:r>
                        <w:rPr>
                          <w:rFonts w:hint="eastAsia" w:ascii="宋体" w:hAnsi="宋体" w:eastAsia="宋体" w:cs="宋体"/>
                          <w:b/>
                          <w:bCs/>
                          <w:color w:val="FFFF00"/>
                          <w:sz w:val="21"/>
                          <w:szCs w:val="21"/>
                          <w:lang w:eastAsia="zh-CN"/>
                        </w:rPr>
                        <w:t>仓库</w:t>
                      </w:r>
                    </w:p>
                  </w:txbxContent>
                </v:textbox>
              </v:shape>
            </w:pict>
          </mc:Fallback>
        </mc:AlternateContent>
      </w:r>
      <w:r>
        <mc:AlternateContent>
          <mc:Choice Requires="wps">
            <w:drawing>
              <wp:anchor distT="0" distB="0" distL="114300" distR="114300" simplePos="0" relativeHeight="251695104" behindDoc="0" locked="0" layoutInCell="1" allowOverlap="1">
                <wp:simplePos x="0" y="0"/>
                <wp:positionH relativeFrom="column">
                  <wp:posOffset>3581400</wp:posOffset>
                </wp:positionH>
                <wp:positionV relativeFrom="paragraph">
                  <wp:posOffset>3095625</wp:posOffset>
                </wp:positionV>
                <wp:extent cx="390525" cy="53086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390525" cy="530860"/>
                        </a:xfrm>
                        <a:prstGeom prst="rect">
                          <a:avLst/>
                        </a:prstGeom>
                        <a:noFill/>
                        <a:ln>
                          <a:noFill/>
                        </a:ln>
                      </wps:spPr>
                      <wps:txbx>
                        <w:txbxContent>
                          <w:p w14:paraId="227C1FA5">
                            <w:pPr>
                              <w:jc w:val="center"/>
                              <w:rPr>
                                <w:rFonts w:hint="eastAsia" w:ascii="宋体" w:hAnsi="宋体" w:eastAsia="宋体" w:cs="宋体"/>
                                <w:b/>
                                <w:bCs/>
                                <w:color w:val="FFFF00"/>
                                <w:sz w:val="21"/>
                                <w:szCs w:val="21"/>
                                <w:lang w:eastAsia="zh-CN"/>
                              </w:rPr>
                            </w:pPr>
                            <w:r>
                              <w:rPr>
                                <w:rFonts w:hint="eastAsia" w:ascii="宋体" w:hAnsi="宋体" w:cs="宋体"/>
                                <w:b/>
                                <w:bCs/>
                                <w:color w:val="FFFF00"/>
                                <w:sz w:val="21"/>
                                <w:szCs w:val="21"/>
                              </w:rPr>
                              <w:t>厂房</w:t>
                            </w:r>
                          </w:p>
                        </w:txbxContent>
                      </wps:txbx>
                      <wps:bodyPr upright="1"/>
                    </wps:wsp>
                  </a:graphicData>
                </a:graphic>
              </wp:anchor>
            </w:drawing>
          </mc:Choice>
          <mc:Fallback>
            <w:pict>
              <v:shape id="_x0000_s1026" o:spid="_x0000_s1026" o:spt="202" type="#_x0000_t202" style="position:absolute;left:0pt;margin-left:282pt;margin-top:243.75pt;height:41.8pt;width:30.75pt;z-index:251695104;mso-width-relative:page;mso-height-relative:page;" filled="f" stroked="f" coordsize="21600,21600" o:gfxdata="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DYO3X&#10;2QAAAAsBAAAPAAAAAAAAAAEAIAAAACIAAABkcnMvZG93bnJldi54bWxQSwECFAAUAAAACACHTuJA&#10;zcVxS64BAABPAwAADgAAAAAAAAABACAAAAAoAQAAZHJzL2Uyb0RvYy54bWxQSwUGAAAAAAYABgBZ&#10;AQAASAUAAAAA&#10;">
                <v:fill on="f" focussize="0,0"/>
                <v:stroke on="f"/>
                <v:imagedata o:title=""/>
                <o:lock v:ext="edit" aspectratio="f"/>
                <v:textbox>
                  <w:txbxContent>
                    <w:p w14:paraId="227C1FA5">
                      <w:pPr>
                        <w:jc w:val="center"/>
                        <w:rPr>
                          <w:rFonts w:hint="eastAsia" w:ascii="宋体" w:hAnsi="宋体" w:eastAsia="宋体" w:cs="宋体"/>
                          <w:b/>
                          <w:bCs/>
                          <w:color w:val="FFFF00"/>
                          <w:sz w:val="21"/>
                          <w:szCs w:val="21"/>
                          <w:lang w:eastAsia="zh-CN"/>
                        </w:rPr>
                      </w:pPr>
                      <w:r>
                        <w:rPr>
                          <w:rFonts w:hint="eastAsia" w:ascii="宋体" w:hAnsi="宋体" w:cs="宋体"/>
                          <w:b/>
                          <w:bCs/>
                          <w:color w:val="FFFF00"/>
                          <w:sz w:val="21"/>
                          <w:szCs w:val="21"/>
                        </w:rPr>
                        <w:t>厂房</w:t>
                      </w:r>
                    </w:p>
                  </w:txbxContent>
                </v:textbox>
              </v:shape>
            </w:pict>
          </mc:Fallback>
        </mc:AlternateContent>
      </w:r>
      <w:r>
        <mc:AlternateContent>
          <mc:Choice Requires="wps">
            <w:drawing>
              <wp:anchor distT="0" distB="0" distL="114300" distR="114300" simplePos="0" relativeHeight="251694080" behindDoc="0" locked="0" layoutInCell="1" allowOverlap="1">
                <wp:simplePos x="0" y="0"/>
                <wp:positionH relativeFrom="column">
                  <wp:posOffset>3604895</wp:posOffset>
                </wp:positionH>
                <wp:positionV relativeFrom="paragraph">
                  <wp:posOffset>3023870</wp:posOffset>
                </wp:positionV>
                <wp:extent cx="1349375" cy="274320"/>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1349375" cy="274320"/>
                        </a:xfrm>
                        <a:prstGeom prst="rect">
                          <a:avLst/>
                        </a:prstGeom>
                        <a:noFill/>
                        <a:ln>
                          <a:noFill/>
                        </a:ln>
                      </wps:spPr>
                      <wps:txbx>
                        <w:txbxContent>
                          <w:p w14:paraId="2EC1A163">
                            <w:pPr>
                              <w:jc w:val="center"/>
                              <w:rPr>
                                <w:rFonts w:hint="eastAsia" w:ascii="宋体" w:hAnsi="宋体" w:eastAsia="宋体" w:cs="宋体"/>
                                <w:b/>
                                <w:bCs/>
                                <w:color w:val="FFFF00"/>
                                <w:sz w:val="21"/>
                                <w:szCs w:val="21"/>
                                <w:lang w:eastAsia="zh-CN"/>
                              </w:rPr>
                            </w:pPr>
                            <w:r>
                              <w:rPr>
                                <w:rFonts w:hint="eastAsia" w:ascii="宋体" w:hAnsi="宋体" w:cs="宋体"/>
                                <w:b/>
                                <w:bCs/>
                                <w:color w:val="FFFF00"/>
                                <w:sz w:val="21"/>
                                <w:szCs w:val="21"/>
                              </w:rPr>
                              <w:t>厂房</w:t>
                            </w:r>
                            <w:r>
                              <w:rPr>
                                <w:rFonts w:hint="eastAsia" w:ascii="宋体" w:hAnsi="宋体" w:cs="宋体"/>
                                <w:b/>
                                <w:bCs/>
                                <w:color w:val="FFFF00"/>
                                <w:sz w:val="21"/>
                                <w:szCs w:val="21"/>
                                <w:lang w:eastAsia="zh-CN"/>
                              </w:rPr>
                              <w:t>及仓库</w:t>
                            </w:r>
                          </w:p>
                        </w:txbxContent>
                      </wps:txbx>
                      <wps:bodyPr upright="1"/>
                    </wps:wsp>
                  </a:graphicData>
                </a:graphic>
              </wp:anchor>
            </w:drawing>
          </mc:Choice>
          <mc:Fallback>
            <w:pict>
              <v:shape id="_x0000_s1026" o:spid="_x0000_s1026" o:spt="202" type="#_x0000_t202" style="position:absolute;left:0pt;margin-left:283.85pt;margin-top:238.1pt;height:21.6pt;width:106.25pt;z-index:251694080;mso-width-relative:page;mso-height-relative:page;" filled="f" stroked="f" coordsize="21600,21600" o:gfxdata="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1GiY&#10;cdgAAAALAQAADwAAAAAAAAABACAAAAAiAAAAZHJzL2Rvd25yZXYueG1sUEsBAhQAFAAAAAgAh07i&#10;QC5KxPawAQAAUAMAAA4AAAAAAAAAAQAgAAAAJwEAAGRycy9lMm9Eb2MueG1sUEsFBgAAAAAGAAYA&#10;WQEAAEkFAAAAAA==&#10;">
                <v:fill on="f" focussize="0,0"/>
                <v:stroke on="f"/>
                <v:imagedata o:title=""/>
                <o:lock v:ext="edit" aspectratio="f"/>
                <v:textbox>
                  <w:txbxContent>
                    <w:p w14:paraId="2EC1A163">
                      <w:pPr>
                        <w:jc w:val="center"/>
                        <w:rPr>
                          <w:rFonts w:hint="eastAsia" w:ascii="宋体" w:hAnsi="宋体" w:eastAsia="宋体" w:cs="宋体"/>
                          <w:b/>
                          <w:bCs/>
                          <w:color w:val="FFFF00"/>
                          <w:sz w:val="21"/>
                          <w:szCs w:val="21"/>
                          <w:lang w:eastAsia="zh-CN"/>
                        </w:rPr>
                      </w:pPr>
                      <w:r>
                        <w:rPr>
                          <w:rFonts w:hint="eastAsia" w:ascii="宋体" w:hAnsi="宋体" w:cs="宋体"/>
                          <w:b/>
                          <w:bCs/>
                          <w:color w:val="FFFF00"/>
                          <w:sz w:val="21"/>
                          <w:szCs w:val="21"/>
                        </w:rPr>
                        <w:t>厂房</w:t>
                      </w:r>
                      <w:r>
                        <w:rPr>
                          <w:rFonts w:hint="eastAsia" w:ascii="宋体" w:hAnsi="宋体" w:cs="宋体"/>
                          <w:b/>
                          <w:bCs/>
                          <w:color w:val="FFFF00"/>
                          <w:sz w:val="21"/>
                          <w:szCs w:val="21"/>
                          <w:lang w:eastAsia="zh-CN"/>
                        </w:rPr>
                        <w:t>及仓库</w:t>
                      </w:r>
                    </w:p>
                  </w:txbxContent>
                </v:textbox>
              </v:shape>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3957955</wp:posOffset>
                </wp:positionH>
                <wp:positionV relativeFrom="paragraph">
                  <wp:posOffset>3418205</wp:posOffset>
                </wp:positionV>
                <wp:extent cx="267335" cy="158115"/>
                <wp:effectExtent l="19050" t="27305" r="37465" b="43180"/>
                <wp:wrapNone/>
                <wp:docPr id="77" name="矩形 77"/>
                <wp:cNvGraphicFramePr/>
                <a:graphic xmlns:a="http://schemas.openxmlformats.org/drawingml/2006/main">
                  <a:graphicData uri="http://schemas.microsoft.com/office/word/2010/wordprocessingShape">
                    <wps:wsp>
                      <wps:cNvSpPr/>
                      <wps:spPr>
                        <a:xfrm rot="480000">
                          <a:off x="4107180" y="3515360"/>
                          <a:ext cx="267335" cy="158115"/>
                        </a:xfrm>
                        <a:prstGeom prst="rect">
                          <a:avLst/>
                        </a:prstGeom>
                        <a:solidFill>
                          <a:schemeClr val="accent6">
                            <a:lumMod val="20000"/>
                            <a:lumOff val="80000"/>
                            <a:alpha val="28000"/>
                          </a:schemeClr>
                        </a:solid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1.65pt;margin-top:269.15pt;height:12.45pt;width:21.05pt;rotation:524288f;z-index:251692032;v-text-anchor:middle;mso-width-relative:page;mso-height-relative:page;" fillcolor="#FDEADA [665]" filled="t" stroked="t" coordsize="21600,21600" o:gfxdata="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Ktr4VdcAAAALAQAADwAAAAAAAAABACAAAAAiAAAAZHJzL2Rvd25yZXYueG1sUEsBAhQA&#10;FAAAAAgAh07iQBBxdnKeAgAARgUAAA4AAAAAAAAAAQAgAAAAJgEAAGRycy9lMm9Eb2MueG1sUEsF&#10;BgAAAAAGAAYAWQEAADYGAAAAAA==&#10;">
                <v:fill on="t" opacity="18350f" focussize="0,0"/>
                <v:stroke weight="1.5pt" color="#FF0000 [2404]" joinstyle="round"/>
                <v:imagedata o:title=""/>
                <o:lock v:ext="edit" aspectratio="f"/>
              </v:rect>
            </w:pict>
          </mc:Fallback>
        </mc:AlternateContent>
      </w:r>
      <w:r>
        <w:rPr>
          <w:color w:val="auto"/>
          <w:highlight w:val="none"/>
        </w:rPr>
        <w:drawing>
          <wp:anchor distT="0" distB="0" distL="114300" distR="114300" simplePos="0" relativeHeight="251691008" behindDoc="0" locked="0" layoutInCell="1" allowOverlap="1">
            <wp:simplePos x="0" y="0"/>
            <wp:positionH relativeFrom="column">
              <wp:posOffset>8983980</wp:posOffset>
            </wp:positionH>
            <wp:positionV relativeFrom="paragraph">
              <wp:posOffset>369570</wp:posOffset>
            </wp:positionV>
            <wp:extent cx="1144270" cy="1162685"/>
            <wp:effectExtent l="9525" t="9525" r="27305" b="27940"/>
            <wp:wrapNone/>
            <wp:docPr id="73"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60"/>
                    <pic:cNvPicPr>
                      <a:picLocks noChangeAspect="1"/>
                    </pic:cNvPicPr>
                  </pic:nvPicPr>
                  <pic:blipFill>
                    <a:blip r:embed="rId64"/>
                    <a:stretch>
                      <a:fillRect/>
                    </a:stretch>
                  </pic:blipFill>
                  <pic:spPr>
                    <a:xfrm>
                      <a:off x="0" y="0"/>
                      <a:ext cx="1144270" cy="1162685"/>
                    </a:xfrm>
                    <a:prstGeom prst="rect">
                      <a:avLst/>
                    </a:prstGeom>
                    <a:noFill/>
                    <a:ln w="9525" cap="flat" cmpd="sng">
                      <a:solidFill>
                        <a:srgbClr val="000000"/>
                      </a:solidFill>
                      <a:prstDash val="solid"/>
                      <a:miter/>
                      <a:headEnd type="none" w="med" len="med"/>
                      <a:tailEnd type="none" w="med" len="med"/>
                    </a:ln>
                  </pic:spPr>
                </pic:pic>
              </a:graphicData>
            </a:graphic>
          </wp:anchor>
        </w:drawing>
      </w:r>
      <w:r>
        <w:drawing>
          <wp:anchor distT="0" distB="0" distL="114300" distR="114300" simplePos="0" relativeHeight="251687936" behindDoc="1" locked="0" layoutInCell="1" allowOverlap="1">
            <wp:simplePos x="0" y="0"/>
            <wp:positionH relativeFrom="column">
              <wp:posOffset>118745</wp:posOffset>
            </wp:positionH>
            <wp:positionV relativeFrom="paragraph">
              <wp:posOffset>398145</wp:posOffset>
            </wp:positionV>
            <wp:extent cx="9610725" cy="5285105"/>
            <wp:effectExtent l="0" t="0" r="9525" b="10795"/>
            <wp:wrapNone/>
            <wp:docPr id="7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6"/>
                    <pic:cNvPicPr>
                      <a:picLocks noChangeAspect="1"/>
                    </pic:cNvPicPr>
                  </pic:nvPicPr>
                  <pic:blipFill>
                    <a:blip r:embed="rId66"/>
                    <a:stretch>
                      <a:fillRect/>
                    </a:stretch>
                  </pic:blipFill>
                  <pic:spPr>
                    <a:xfrm>
                      <a:off x="0" y="0"/>
                      <a:ext cx="9610725" cy="5285105"/>
                    </a:xfrm>
                    <a:prstGeom prst="rect">
                      <a:avLst/>
                    </a:prstGeom>
                    <a:noFill/>
                    <a:ln>
                      <a:noFill/>
                    </a:ln>
                  </pic:spPr>
                </pic:pic>
              </a:graphicData>
            </a:graphic>
          </wp:anchor>
        </w:drawing>
      </w:r>
      <w:r>
        <w:rPr>
          <w:color w:val="auto"/>
          <w:sz w:val="24"/>
          <w:highlight w:val="none"/>
        </w:rPr>
        <mc:AlternateContent>
          <mc:Choice Requires="wps">
            <w:drawing>
              <wp:anchor distT="0" distB="0" distL="114300" distR="114300" simplePos="0" relativeHeight="251689984" behindDoc="0" locked="0" layoutInCell="1" allowOverlap="1">
                <wp:simplePos x="0" y="0"/>
                <wp:positionH relativeFrom="column">
                  <wp:posOffset>147320</wp:posOffset>
                </wp:positionH>
                <wp:positionV relativeFrom="paragraph">
                  <wp:posOffset>125095</wp:posOffset>
                </wp:positionV>
                <wp:extent cx="1828800" cy="18288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3BDE2B2">
                            <w:pPr>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附图</w:t>
                            </w:r>
                            <w:r>
                              <w:rPr>
                                <w:rFonts w:hint="eastAsia" w:eastAsia="黑体" w:cs="Times New Roman"/>
                                <w:b w:val="0"/>
                                <w:bCs/>
                                <w:color w:val="auto"/>
                                <w:lang w:val="en-US" w:eastAsia="zh-CN"/>
                              </w:rPr>
                              <w:t>2</w:t>
                            </w:r>
                            <w:r>
                              <w:rPr>
                                <w:rFonts w:hint="default" w:ascii="Times New Roman" w:hAnsi="Times New Roman" w:eastAsia="黑体" w:cs="Times New Roman"/>
                                <w:b w:val="0"/>
                                <w:bCs/>
                                <w:color w:val="auto"/>
                              </w:rPr>
                              <w:t>：项目</w:t>
                            </w:r>
                            <w:r>
                              <w:rPr>
                                <w:rFonts w:hint="eastAsia" w:eastAsia="黑体" w:cs="Times New Roman"/>
                                <w:b w:val="0"/>
                                <w:bCs/>
                                <w:color w:val="auto"/>
                                <w:lang w:eastAsia="zh-CN"/>
                              </w:rPr>
                              <w:t>周边影响关系</w:t>
                            </w:r>
                            <w:r>
                              <w:rPr>
                                <w:rFonts w:hint="default" w:ascii="Times New Roman" w:hAnsi="Times New Roman" w:eastAsia="黑体" w:cs="Times New Roman"/>
                                <w:b w:val="0"/>
                                <w:bCs/>
                                <w:color w:val="auto"/>
                              </w:rPr>
                              <w:t>图</w:t>
                            </w:r>
                          </w:p>
                        </w:txbxContent>
                      </wps:txbx>
                      <wps:bodyPr wrap="none" upright="1">
                        <a:spAutoFit/>
                      </wps:bodyPr>
                    </wps:wsp>
                  </a:graphicData>
                </a:graphic>
              </wp:anchor>
            </w:drawing>
          </mc:Choice>
          <mc:Fallback>
            <w:pict>
              <v:shape id="_x0000_s1026" o:spid="_x0000_s1026" o:spt="202" type="#_x0000_t202" style="position:absolute;left:0pt;margin-left:11.6pt;margin-top:9.85pt;height:144pt;width:144pt;mso-wrap-style:none;z-index:251689984;mso-width-relative:page;mso-height-relative:page;" filled="f" stroked="f" coordsize="21600,21600" o:gfxdata="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nGbVu1QAAAAkBAAAPAAAAAAAAAAEAIAAAACIAAABkcnMvZG93bnJldi54bWxQSwECFAAU&#10;AAAACACHTuJAG+6dhLsBAAB3AwAADgAAAAAAAAABACAAAAAkAQAAZHJzL2Uyb0RvYy54bWxQSwUG&#10;AAAAAAYABgBZAQAAUQUAAAAA&#10;">
                <v:fill on="f" focussize="0,0"/>
                <v:stroke on="f"/>
                <v:imagedata o:title=""/>
                <o:lock v:ext="edit" aspectratio="f"/>
                <v:textbox style="mso-fit-shape-to-text:t;">
                  <w:txbxContent>
                    <w:p w14:paraId="43BDE2B2">
                      <w:pPr>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附图</w:t>
                      </w:r>
                      <w:r>
                        <w:rPr>
                          <w:rFonts w:hint="eastAsia" w:eastAsia="黑体" w:cs="Times New Roman"/>
                          <w:b w:val="0"/>
                          <w:bCs/>
                          <w:color w:val="auto"/>
                          <w:lang w:val="en-US" w:eastAsia="zh-CN"/>
                        </w:rPr>
                        <w:t>2</w:t>
                      </w:r>
                      <w:r>
                        <w:rPr>
                          <w:rFonts w:hint="default" w:ascii="Times New Roman" w:hAnsi="Times New Roman" w:eastAsia="黑体" w:cs="Times New Roman"/>
                          <w:b w:val="0"/>
                          <w:bCs/>
                          <w:color w:val="auto"/>
                        </w:rPr>
                        <w:t>：项目</w:t>
                      </w:r>
                      <w:r>
                        <w:rPr>
                          <w:rFonts w:hint="eastAsia" w:eastAsia="黑体" w:cs="Times New Roman"/>
                          <w:b w:val="0"/>
                          <w:bCs/>
                          <w:color w:val="auto"/>
                          <w:lang w:eastAsia="zh-CN"/>
                        </w:rPr>
                        <w:t>周边影响关系</w:t>
                      </w:r>
                      <w:r>
                        <w:rPr>
                          <w:rFonts w:hint="default" w:ascii="Times New Roman" w:hAnsi="Times New Roman" w:eastAsia="黑体" w:cs="Times New Roman"/>
                          <w:b w:val="0"/>
                          <w:bCs/>
                          <w:color w:val="auto"/>
                        </w:rPr>
                        <w:t>图</w:t>
                      </w:r>
                    </w:p>
                  </w:txbxContent>
                </v:textbox>
              </v:shape>
            </w:pict>
          </mc:Fallback>
        </mc:AlternateContent>
      </w:r>
    </w:p>
    <w:p w14:paraId="3699EEAC">
      <w:pPr>
        <w:rPr>
          <w:color w:val="auto"/>
          <w:highlight w:val="none"/>
        </w:rPr>
        <w:sectPr>
          <w:pgSz w:w="16838" w:h="11906" w:orient="landscape"/>
          <w:pgMar w:top="232" w:right="232" w:bottom="232" w:left="232" w:header="0" w:footer="0" w:gutter="0"/>
          <w:pgBorders>
            <w:top w:val="none" w:sz="0" w:space="0"/>
            <w:left w:val="none" w:sz="0" w:space="0"/>
            <w:bottom w:val="none" w:sz="0" w:space="0"/>
            <w:right w:val="none" w:sz="0" w:space="0"/>
          </w:pgBorders>
          <w:cols w:space="425" w:num="1"/>
          <w:docGrid w:type="lines" w:linePitch="312" w:charSpace="0"/>
        </w:sectPr>
      </w:pPr>
      <w:r>
        <w:rPr>
          <w:color w:val="auto"/>
          <w:sz w:val="24"/>
          <w:highlight w:val="none"/>
        </w:rPr>
        <w:drawing>
          <wp:anchor distT="0" distB="0" distL="114300" distR="114300" simplePos="0" relativeHeight="251698176" behindDoc="1" locked="0" layoutInCell="1" allowOverlap="1">
            <wp:simplePos x="0" y="0"/>
            <wp:positionH relativeFrom="column">
              <wp:posOffset>158115</wp:posOffset>
            </wp:positionH>
            <wp:positionV relativeFrom="paragraph">
              <wp:posOffset>27940</wp:posOffset>
            </wp:positionV>
            <wp:extent cx="9006840" cy="6761480"/>
            <wp:effectExtent l="0" t="0" r="0" b="0"/>
            <wp:wrapNone/>
            <wp:docPr id="83" name="图片 83" descr="厂区平面布置图1-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厂区平面布置图1-Model"/>
                    <pic:cNvPicPr>
                      <a:picLocks noChangeAspect="1"/>
                    </pic:cNvPicPr>
                  </pic:nvPicPr>
                  <pic:blipFill>
                    <a:blip r:embed="rId67"/>
                    <a:srcRect t="3155" b="3005"/>
                    <a:stretch>
                      <a:fillRect/>
                    </a:stretch>
                  </pic:blipFill>
                  <pic:spPr>
                    <a:xfrm>
                      <a:off x="0" y="0"/>
                      <a:ext cx="9006840" cy="6761480"/>
                    </a:xfrm>
                    <a:prstGeom prst="rect">
                      <a:avLst/>
                    </a:prstGeom>
                  </pic:spPr>
                </pic:pic>
              </a:graphicData>
            </a:graphic>
          </wp:anchor>
        </w:drawing>
      </w:r>
      <w:r>
        <w:rPr>
          <w:color w:val="auto"/>
          <w:sz w:val="24"/>
          <w:highlight w:val="none"/>
        </w:rPr>
        <mc:AlternateContent>
          <mc:Choice Requires="wps">
            <w:drawing>
              <wp:anchor distT="0" distB="0" distL="114300" distR="114300" simplePos="0" relativeHeight="251676672" behindDoc="0" locked="0" layoutInCell="1" allowOverlap="1">
                <wp:simplePos x="0" y="0"/>
                <wp:positionH relativeFrom="column">
                  <wp:posOffset>147320</wp:posOffset>
                </wp:positionH>
                <wp:positionV relativeFrom="paragraph">
                  <wp:posOffset>125095</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56F8F78">
                            <w:pPr>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附图</w:t>
                            </w:r>
                            <w:r>
                              <w:rPr>
                                <w:rFonts w:hint="eastAsia" w:eastAsia="黑体" w:cs="Times New Roman"/>
                                <w:b w:val="0"/>
                                <w:bCs/>
                                <w:color w:val="auto"/>
                                <w:lang w:val="en-US" w:eastAsia="zh-CN"/>
                              </w:rPr>
                              <w:t>3</w:t>
                            </w:r>
                            <w:r>
                              <w:rPr>
                                <w:rFonts w:hint="default" w:ascii="Times New Roman" w:hAnsi="Times New Roman" w:eastAsia="黑体" w:cs="Times New Roman"/>
                                <w:b w:val="0"/>
                                <w:bCs/>
                                <w:color w:val="auto"/>
                              </w:rPr>
                              <w:t>：项目</w:t>
                            </w:r>
                            <w:r>
                              <w:rPr>
                                <w:rFonts w:hint="eastAsia" w:eastAsia="黑体" w:cs="Times New Roman"/>
                                <w:b w:val="0"/>
                                <w:bCs/>
                                <w:color w:val="auto"/>
                                <w:lang w:eastAsia="zh-CN"/>
                              </w:rPr>
                              <w:t>平面布置</w:t>
                            </w:r>
                            <w:r>
                              <w:rPr>
                                <w:rFonts w:hint="default" w:ascii="Times New Roman" w:hAnsi="Times New Roman" w:eastAsia="黑体" w:cs="Times New Roman"/>
                                <w:b w:val="0"/>
                                <w:bCs/>
                                <w:color w:val="auto"/>
                              </w:rPr>
                              <w:t>图</w:t>
                            </w:r>
                          </w:p>
                        </w:txbxContent>
                      </wps:txbx>
                      <wps:bodyPr wrap="none" upright="1">
                        <a:spAutoFit/>
                      </wps:bodyPr>
                    </wps:wsp>
                  </a:graphicData>
                </a:graphic>
              </wp:anchor>
            </w:drawing>
          </mc:Choice>
          <mc:Fallback>
            <w:pict>
              <v:shape id="_x0000_s1026" o:spid="_x0000_s1026" o:spt="202" type="#_x0000_t202" style="position:absolute;left:0pt;margin-left:11.6pt;margin-top:9.85pt;height:144pt;width:144pt;mso-wrap-style:none;z-index:251676672;mso-width-relative:page;mso-height-relative:page;" filled="f" stroked="f" coordsize="21600,21600" o:gfxdata="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xm1btUAAAAJAQAADwAAAAAAAAABACAAAAAiAAAAZHJzL2Rvd25yZXYueG1sUEsBAhQA&#10;FAAAAAgAh07iQILfIDa8AQAAdwMAAA4AAAAAAAAAAQAgAAAAJAEAAGRycy9lMm9Eb2MueG1sUEsF&#10;BgAAAAAGAAYAWQEAAFIFAAAAAA==&#10;">
                <v:fill on="f" focussize="0,0"/>
                <v:stroke on="f"/>
                <v:imagedata o:title=""/>
                <o:lock v:ext="edit" aspectratio="f"/>
                <v:textbox style="mso-fit-shape-to-text:t;">
                  <w:txbxContent>
                    <w:p w14:paraId="156F8F78">
                      <w:pPr>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附图</w:t>
                      </w:r>
                      <w:r>
                        <w:rPr>
                          <w:rFonts w:hint="eastAsia" w:eastAsia="黑体" w:cs="Times New Roman"/>
                          <w:b w:val="0"/>
                          <w:bCs/>
                          <w:color w:val="auto"/>
                          <w:lang w:val="en-US" w:eastAsia="zh-CN"/>
                        </w:rPr>
                        <w:t>3</w:t>
                      </w:r>
                      <w:r>
                        <w:rPr>
                          <w:rFonts w:hint="default" w:ascii="Times New Roman" w:hAnsi="Times New Roman" w:eastAsia="黑体" w:cs="Times New Roman"/>
                          <w:b w:val="0"/>
                          <w:bCs/>
                          <w:color w:val="auto"/>
                        </w:rPr>
                        <w:t>：项目</w:t>
                      </w:r>
                      <w:r>
                        <w:rPr>
                          <w:rFonts w:hint="eastAsia" w:eastAsia="黑体" w:cs="Times New Roman"/>
                          <w:b w:val="0"/>
                          <w:bCs/>
                          <w:color w:val="auto"/>
                          <w:lang w:eastAsia="zh-CN"/>
                        </w:rPr>
                        <w:t>平面布置</w:t>
                      </w:r>
                      <w:r>
                        <w:rPr>
                          <w:rFonts w:hint="default" w:ascii="Times New Roman" w:hAnsi="Times New Roman" w:eastAsia="黑体" w:cs="Times New Roman"/>
                          <w:b w:val="0"/>
                          <w:bCs/>
                          <w:color w:val="auto"/>
                        </w:rPr>
                        <w:t>图</w:t>
                      </w:r>
                    </w:p>
                  </w:txbxContent>
                </v:textbox>
              </v:shape>
            </w:pict>
          </mc:Fallback>
        </mc:AlternateContent>
      </w:r>
    </w:p>
    <w:p w14:paraId="152282EC">
      <w:pPr>
        <w:jc w:val="center"/>
        <w:rPr>
          <w:color w:val="auto"/>
          <w:highlight w:val="none"/>
        </w:rPr>
      </w:pPr>
      <w:r>
        <w:rPr>
          <w:color w:val="auto"/>
          <w:sz w:val="24"/>
          <w:highlight w:val="none"/>
        </w:rPr>
        <mc:AlternateContent>
          <mc:Choice Requires="wps">
            <w:drawing>
              <wp:anchor distT="0" distB="0" distL="114300" distR="114300" simplePos="0" relativeHeight="251667456" behindDoc="0" locked="0" layoutInCell="1" allowOverlap="1">
                <wp:simplePos x="0" y="0"/>
                <wp:positionH relativeFrom="column">
                  <wp:posOffset>67310</wp:posOffset>
                </wp:positionH>
                <wp:positionV relativeFrom="paragraph">
                  <wp:posOffset>128905</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DD0224C">
                            <w:pPr>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附图</w:t>
                            </w:r>
                            <w:r>
                              <w:rPr>
                                <w:rFonts w:hint="eastAsia" w:eastAsia="黑体" w:cs="Times New Roman"/>
                                <w:b w:val="0"/>
                                <w:bCs/>
                                <w:color w:val="auto"/>
                                <w:lang w:val="en-US" w:eastAsia="zh-CN"/>
                              </w:rPr>
                              <w:t>3</w:t>
                            </w:r>
                            <w:r>
                              <w:rPr>
                                <w:rFonts w:hint="default" w:ascii="Times New Roman" w:hAnsi="Times New Roman" w:eastAsia="黑体" w:cs="Times New Roman"/>
                                <w:b w:val="0"/>
                                <w:bCs/>
                                <w:color w:val="auto"/>
                                <w:lang w:val="en-US" w:eastAsia="zh-CN"/>
                              </w:rPr>
                              <w:t>：</w:t>
                            </w:r>
                            <w:r>
                              <w:rPr>
                                <w:rFonts w:hint="eastAsia" w:ascii="Times New Roman" w:hAnsi="Times New Roman" w:eastAsia="黑体" w:cs="Times New Roman"/>
                                <w:b w:val="0"/>
                                <w:bCs/>
                                <w:color w:val="auto"/>
                                <w:lang w:val="en-US" w:eastAsia="zh-CN"/>
                              </w:rPr>
                              <w:t>淄博经开区南部创新创业园总体发展规划（2025-2035 年）-土地利用规划图</w:t>
                            </w:r>
                          </w:p>
                        </w:txbxContent>
                      </wps:txbx>
                      <wps:bodyPr wrap="none" upright="1">
                        <a:spAutoFit/>
                      </wps:bodyPr>
                    </wps:wsp>
                  </a:graphicData>
                </a:graphic>
              </wp:anchor>
            </w:drawing>
          </mc:Choice>
          <mc:Fallback>
            <w:pict>
              <v:shape id="_x0000_s1026" o:spid="_x0000_s1026" o:spt="202" type="#_x0000_t202" style="position:absolute;left:0pt;margin-left:5.3pt;margin-top:10.15pt;height:144pt;width:144pt;mso-wrap-style:none;z-index:251667456;mso-width-relative:page;mso-height-relative:page;" filled="f" stroked="f" coordsize="21600,21600" o:gfxdata="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Xy3kWdUAAAAJAQAADwAAAAAAAAABACAAAAAiAAAAZHJzL2Rvd25yZXYueG1sUEsBAhQA&#10;FAAAAAgAh07iQCfsT/a8AQAAdwMAAA4AAAAAAAAAAQAgAAAAJAEAAGRycy9lMm9Eb2MueG1sUEsF&#10;BgAAAAAGAAYAWQEAAFIFAAAAAA==&#10;">
                <v:fill on="f" focussize="0,0"/>
                <v:stroke on="f"/>
                <v:imagedata o:title=""/>
                <o:lock v:ext="edit" aspectratio="f"/>
                <v:textbox style="mso-fit-shape-to-text:t;">
                  <w:txbxContent>
                    <w:p w14:paraId="0DD0224C">
                      <w:pPr>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附图</w:t>
                      </w:r>
                      <w:r>
                        <w:rPr>
                          <w:rFonts w:hint="eastAsia" w:eastAsia="黑体" w:cs="Times New Roman"/>
                          <w:b w:val="0"/>
                          <w:bCs/>
                          <w:color w:val="auto"/>
                          <w:lang w:val="en-US" w:eastAsia="zh-CN"/>
                        </w:rPr>
                        <w:t>3</w:t>
                      </w:r>
                      <w:r>
                        <w:rPr>
                          <w:rFonts w:hint="default" w:ascii="Times New Roman" w:hAnsi="Times New Roman" w:eastAsia="黑体" w:cs="Times New Roman"/>
                          <w:b w:val="0"/>
                          <w:bCs/>
                          <w:color w:val="auto"/>
                          <w:lang w:val="en-US" w:eastAsia="zh-CN"/>
                        </w:rPr>
                        <w:t>：</w:t>
                      </w:r>
                      <w:r>
                        <w:rPr>
                          <w:rFonts w:hint="eastAsia" w:ascii="Times New Roman" w:hAnsi="Times New Roman" w:eastAsia="黑体" w:cs="Times New Roman"/>
                          <w:b w:val="0"/>
                          <w:bCs/>
                          <w:color w:val="auto"/>
                          <w:lang w:val="en-US" w:eastAsia="zh-CN"/>
                        </w:rPr>
                        <w:t>淄博经开区南部创新创业园总体发展规划（2025-2035 年）-土地利用规划图</w:t>
                      </w:r>
                    </w:p>
                  </w:txbxContent>
                </v:textbox>
              </v:shape>
            </w:pict>
          </mc:Fallback>
        </mc:AlternateContent>
      </w:r>
    </w:p>
    <w:p w14:paraId="680559E5">
      <w:pPr>
        <w:jc w:val="center"/>
        <w:rPr>
          <w:rFonts w:hint="eastAsia" w:eastAsia="宋体"/>
          <w:color w:val="auto"/>
          <w:highlight w:val="none"/>
          <w:lang w:eastAsia="zh-CN"/>
        </w:rPr>
      </w:pPr>
    </w:p>
    <w:p w14:paraId="30568EF1">
      <w:pPr>
        <w:jc w:val="center"/>
        <w:rPr>
          <w:color w:val="auto"/>
          <w:highlight w:val="none"/>
        </w:rPr>
      </w:pPr>
      <w:r>
        <w:rPr>
          <w:color w:val="auto"/>
          <w:sz w:val="28"/>
          <w:highlight w:val="none"/>
        </w:rPr>
        <w:drawing>
          <wp:anchor distT="0" distB="0" distL="114300" distR="114300" simplePos="0" relativeHeight="251680768" behindDoc="1" locked="0" layoutInCell="1" allowOverlap="1">
            <wp:simplePos x="0" y="0"/>
            <wp:positionH relativeFrom="column">
              <wp:posOffset>458470</wp:posOffset>
            </wp:positionH>
            <wp:positionV relativeFrom="paragraph">
              <wp:posOffset>25400</wp:posOffset>
            </wp:positionV>
            <wp:extent cx="9170035" cy="6290945"/>
            <wp:effectExtent l="0" t="0" r="12065" b="14605"/>
            <wp:wrapNone/>
            <wp:docPr id="61" name="图片 21" descr="微信截图_2025043009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1" descr="微信截图_20250430093852"/>
                    <pic:cNvPicPr>
                      <a:picLocks noChangeAspect="1"/>
                    </pic:cNvPicPr>
                  </pic:nvPicPr>
                  <pic:blipFill>
                    <a:blip r:embed="rId68"/>
                    <a:stretch>
                      <a:fillRect/>
                    </a:stretch>
                  </pic:blipFill>
                  <pic:spPr>
                    <a:xfrm>
                      <a:off x="0" y="0"/>
                      <a:ext cx="9170035" cy="6290945"/>
                    </a:xfrm>
                    <a:prstGeom prst="rect">
                      <a:avLst/>
                    </a:prstGeom>
                    <a:noFill/>
                    <a:ln>
                      <a:noFill/>
                    </a:ln>
                  </pic:spPr>
                </pic:pic>
              </a:graphicData>
            </a:graphic>
          </wp:anchor>
        </w:drawing>
      </w:r>
    </w:p>
    <w:p w14:paraId="03B68AD9">
      <w:pPr>
        <w:jc w:val="center"/>
        <w:rPr>
          <w:color w:val="auto"/>
          <w:highlight w:val="none"/>
        </w:rPr>
        <w:sectPr>
          <w:pgSz w:w="16838" w:h="11906" w:orient="landscape"/>
          <w:pgMar w:top="232" w:right="232" w:bottom="232" w:left="232" w:header="0" w:footer="0" w:gutter="0"/>
          <w:pgBorders>
            <w:top w:val="none" w:sz="0" w:space="0"/>
            <w:left w:val="none" w:sz="0" w:space="0"/>
            <w:bottom w:val="none" w:sz="0" w:space="0"/>
            <w:right w:val="none" w:sz="0" w:space="0"/>
          </w:pgBorders>
          <w:cols w:space="425" w:num="1"/>
          <w:docGrid w:type="lines" w:linePitch="312" w:charSpace="0"/>
        </w:sectPr>
      </w:pPr>
      <w:r>
        <w:rPr>
          <w:color w:val="auto"/>
          <w:sz w:val="21"/>
          <w:highlight w:val="none"/>
        </w:rPr>
        <mc:AlternateContent>
          <mc:Choice Requires="wps">
            <w:drawing>
              <wp:anchor distT="0" distB="0" distL="114300" distR="114300" simplePos="0" relativeHeight="251677696" behindDoc="0" locked="0" layoutInCell="1" allowOverlap="1">
                <wp:simplePos x="0" y="0"/>
                <wp:positionH relativeFrom="column">
                  <wp:posOffset>4575810</wp:posOffset>
                </wp:positionH>
                <wp:positionV relativeFrom="paragraph">
                  <wp:posOffset>2186940</wp:posOffset>
                </wp:positionV>
                <wp:extent cx="1075690" cy="284480"/>
                <wp:effectExtent l="7620" t="693420" r="21590" b="12700"/>
                <wp:wrapNone/>
                <wp:docPr id="23" name="矩形标注 23"/>
                <wp:cNvGraphicFramePr/>
                <a:graphic xmlns:a="http://schemas.openxmlformats.org/drawingml/2006/main">
                  <a:graphicData uri="http://schemas.microsoft.com/office/word/2010/wordprocessingShape">
                    <wps:wsp>
                      <wps:cNvSpPr/>
                      <wps:spPr>
                        <a:xfrm>
                          <a:off x="0" y="0"/>
                          <a:ext cx="1075690" cy="284480"/>
                        </a:xfrm>
                        <a:prstGeom prst="wedgeRectCallout">
                          <a:avLst>
                            <a:gd name="adj1" fmla="val -46340"/>
                            <a:gd name="adj2" fmla="val -291071"/>
                          </a:avLst>
                        </a:prstGeom>
                        <a:solidFill>
                          <a:schemeClr val="accent1">
                            <a:alpha val="25000"/>
                          </a:schemeClr>
                        </a:solidFill>
                        <a:ln w="158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8458B88">
                            <w:pPr>
                              <w:keepNext w:val="0"/>
                              <w:keepLines w:val="0"/>
                              <w:pageBreakBefore w:val="0"/>
                              <w:widowControl w:val="0"/>
                              <w:kinsoku/>
                              <w:wordWrap/>
                              <w:overflowPunct/>
                              <w:topLinePunct w:val="0"/>
                              <w:bidi w:val="0"/>
                              <w:adjustRightInd/>
                              <w:snapToGrid/>
                              <w:spacing w:line="240" w:lineRule="exact"/>
                              <w:jc w:val="center"/>
                              <w:textAlignment w:val="auto"/>
                              <w:rPr>
                                <w:rFonts w:hint="eastAsia" w:eastAsia="宋体"/>
                                <w:b/>
                                <w:bCs/>
                                <w:color w:val="0000FF"/>
                                <w:lang w:eastAsia="zh-CN"/>
                              </w:rPr>
                            </w:pPr>
                            <w:r>
                              <w:rPr>
                                <w:rFonts w:hint="eastAsia"/>
                                <w:b/>
                                <w:bCs/>
                                <w:color w:val="0000FF"/>
                                <w:lang w:eastAsia="zh-CN"/>
                              </w:rPr>
                              <w:t>项目所在区域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60.3pt;margin-top:172.2pt;height:22.4pt;width:84.7pt;z-index:251677696;v-text-anchor:middle;mso-width-relative:page;mso-height-relative:page;" fillcolor="#4F81BD [3204]" filled="t" stroked="t" coordsize="21600,21600" o:gfxdata="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LKDTVvaAAAACwEAAA8AAAAAAAAAAQAg&#10;AAAAIgAAAGRycy9kb3ducmV2LnhtbFBLAQIUABQAAAAIAIdO4kCP4WSvtwIAAHEFAAAOAAAAAAAA&#10;AAEAIAAAACkBAABkcnMvZTJvRG9jLnhtbFBLBQYAAAAABgAGAFkBAABSBgAAAAA=&#10;" adj="791,-52071">
                <v:fill on="t" opacity="16384f" focussize="0,0"/>
                <v:stroke weight="1.25pt" color="#FFFF00 [2404]" joinstyle="round"/>
                <v:imagedata o:title=""/>
                <o:lock v:ext="edit" aspectratio="f"/>
                <v:textbox>
                  <w:txbxContent>
                    <w:p w14:paraId="28458B88">
                      <w:pPr>
                        <w:keepNext w:val="0"/>
                        <w:keepLines w:val="0"/>
                        <w:pageBreakBefore w:val="0"/>
                        <w:widowControl w:val="0"/>
                        <w:kinsoku/>
                        <w:wordWrap/>
                        <w:overflowPunct/>
                        <w:topLinePunct w:val="0"/>
                        <w:bidi w:val="0"/>
                        <w:adjustRightInd/>
                        <w:snapToGrid/>
                        <w:spacing w:line="240" w:lineRule="exact"/>
                        <w:jc w:val="center"/>
                        <w:textAlignment w:val="auto"/>
                        <w:rPr>
                          <w:rFonts w:hint="eastAsia" w:eastAsia="宋体"/>
                          <w:b/>
                          <w:bCs/>
                          <w:color w:val="0000FF"/>
                          <w:lang w:eastAsia="zh-CN"/>
                        </w:rPr>
                      </w:pPr>
                      <w:r>
                        <w:rPr>
                          <w:rFonts w:hint="eastAsia"/>
                          <w:b/>
                          <w:bCs/>
                          <w:color w:val="0000FF"/>
                          <w:lang w:eastAsia="zh-CN"/>
                        </w:rPr>
                        <w:t>项目所在区域</w:t>
                      </w:r>
                    </w:p>
                  </w:txbxContent>
                </v:textbox>
              </v:shape>
            </w:pict>
          </mc:Fallback>
        </mc:AlternateContent>
      </w:r>
      <w:r>
        <w:rPr>
          <w:color w:val="auto"/>
          <w:sz w:val="21"/>
          <w:highlight w:val="none"/>
        </w:rPr>
        <mc:AlternateContent>
          <mc:Choice Requires="wps">
            <w:drawing>
              <wp:anchor distT="0" distB="0" distL="114300" distR="114300" simplePos="0" relativeHeight="251681792" behindDoc="0" locked="0" layoutInCell="1" allowOverlap="1">
                <wp:simplePos x="0" y="0"/>
                <wp:positionH relativeFrom="column">
                  <wp:posOffset>4570095</wp:posOffset>
                </wp:positionH>
                <wp:positionV relativeFrom="paragraph">
                  <wp:posOffset>1433195</wp:posOffset>
                </wp:positionV>
                <wp:extent cx="95885" cy="90170"/>
                <wp:effectExtent l="14605" t="15240" r="22860" b="27940"/>
                <wp:wrapNone/>
                <wp:docPr id="62" name="五角星 62"/>
                <wp:cNvGraphicFramePr/>
                <a:graphic xmlns:a="http://schemas.openxmlformats.org/drawingml/2006/main">
                  <a:graphicData uri="http://schemas.microsoft.com/office/word/2010/wordprocessingShape">
                    <wps:wsp>
                      <wps:cNvSpPr/>
                      <wps:spPr>
                        <a:xfrm>
                          <a:off x="0" y="0"/>
                          <a:ext cx="95885" cy="90170"/>
                        </a:xfrm>
                        <a:prstGeom prst="star5">
                          <a:avLst/>
                        </a:prstGeom>
                        <a:solidFill>
                          <a:srgbClr val="FF0000"/>
                        </a:solidFill>
                        <a:ln w="9525" cap="flat" cmpd="sng">
                          <a:solidFill>
                            <a:srgbClr val="000000"/>
                          </a:solidFill>
                          <a:prstDash val="solid"/>
                          <a:miter/>
                          <a:headEnd type="none" w="med" len="med"/>
                          <a:tailEnd type="none" w="med" len="med"/>
                        </a:ln>
                        <a:effectLst/>
                      </wps:spPr>
                      <wps:txbx>
                        <w:txbxContent>
                          <w:p w14:paraId="392DEB05"/>
                        </w:txbxContent>
                      </wps:txbx>
                      <wps:bodyPr upright="1"/>
                    </wps:wsp>
                  </a:graphicData>
                </a:graphic>
              </wp:anchor>
            </w:drawing>
          </mc:Choice>
          <mc:Fallback>
            <w:pict>
              <v:shape id="_x0000_s1026" o:spid="_x0000_s1026" style="position:absolute;left:0pt;margin-left:359.85pt;margin-top:112.85pt;height:7.1pt;width:7.55pt;z-index:251681792;mso-width-relative:page;mso-height-relative:page;" fillcolor="#FF0000" filled="t" stroked="t" coordsize="95885,90170" o:gfxdata="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OG9N7ZAAAACwEAAA8AAAAAAAAAAQAg&#10;AAAAIgAAAGRycy9kb3ducmV2LnhtbFBLAQIUABQAAAAIAIdO4kD6lw+XDQIAADoEAAAOAAAAAAAA&#10;AAEAIAAAACgBAABkcnMvZTJvRG9jLnhtbFBLBQYAAAAABgAGAFkBAACnBQAAAAA=&#10;" path="m0,34441l36625,34442,47942,0,59259,34442,95884,34441,66254,55727,77572,90169,47942,68883,18312,90169,29630,55727xe">
                <v:path textboxrect="0,0,95885,90170" o:connectlocs="47942,0;0,34441;18312,90169;77572,90169;95884,34441" o:connectangles="247,164,82,82,0"/>
                <v:fill on="t" focussize="0,0"/>
                <v:stroke color="#000000" joinstyle="miter"/>
                <v:imagedata o:title=""/>
                <o:lock v:ext="edit" aspectratio="f"/>
                <v:textbox>
                  <w:txbxContent>
                    <w:p w14:paraId="392DEB05"/>
                  </w:txbxContent>
                </v:textbox>
              </v:shape>
            </w:pict>
          </mc:Fallback>
        </mc:AlternateContent>
      </w:r>
    </w:p>
    <w:p w14:paraId="0CF94B67">
      <w:pPr>
        <w:jc w:val="center"/>
        <w:rPr>
          <w:color w:val="auto"/>
          <w:highlight w:val="none"/>
        </w:rPr>
      </w:pPr>
      <w:r>
        <w:rPr>
          <w:color w:val="auto"/>
          <w:sz w:val="24"/>
          <w:highlight w:val="none"/>
        </w:rPr>
        <mc:AlternateContent>
          <mc:Choice Requires="wps">
            <w:drawing>
              <wp:anchor distT="0" distB="0" distL="114300" distR="114300" simplePos="0" relativeHeight="251668480" behindDoc="0" locked="0" layoutInCell="1" allowOverlap="1">
                <wp:simplePos x="0" y="0"/>
                <wp:positionH relativeFrom="column">
                  <wp:posOffset>83185</wp:posOffset>
                </wp:positionH>
                <wp:positionV relativeFrom="paragraph">
                  <wp:posOffset>64135</wp:posOffset>
                </wp:positionV>
                <wp:extent cx="1828800"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188ABC6">
                            <w:pPr>
                              <w:rPr>
                                <w:rFonts w:hint="eastAsia" w:ascii="Times New Roman" w:hAnsi="Times New Roman" w:eastAsia="黑体" w:cs="Times New Roman"/>
                                <w:b w:val="0"/>
                                <w:bCs/>
                                <w:color w:val="auto"/>
                                <w:lang w:eastAsia="zh-CN"/>
                              </w:rPr>
                            </w:pPr>
                            <w:r>
                              <w:rPr>
                                <w:rFonts w:hint="default" w:ascii="Times New Roman" w:hAnsi="Times New Roman" w:eastAsia="黑体" w:cs="Times New Roman"/>
                                <w:b w:val="0"/>
                                <w:bCs/>
                                <w:color w:val="auto"/>
                              </w:rPr>
                              <w:t>附图</w:t>
                            </w:r>
                            <w:r>
                              <w:rPr>
                                <w:rFonts w:hint="eastAsia" w:eastAsia="黑体" w:cs="Times New Roman"/>
                                <w:b w:val="0"/>
                                <w:bCs/>
                                <w:color w:val="auto"/>
                                <w:lang w:val="en-US" w:eastAsia="zh-CN"/>
                              </w:rPr>
                              <w:t>4</w:t>
                            </w:r>
                            <w:r>
                              <w:rPr>
                                <w:rFonts w:hint="default" w:ascii="Times New Roman" w:hAnsi="Times New Roman" w:eastAsia="黑体" w:cs="Times New Roman"/>
                                <w:b w:val="0"/>
                                <w:bCs/>
                                <w:color w:val="auto"/>
                                <w:szCs w:val="24"/>
                                <w:highlight w:val="none"/>
                                <w:lang w:val="en-US" w:eastAsia="zh-CN"/>
                              </w:rPr>
                              <w:t>：</w:t>
                            </w:r>
                            <w:r>
                              <w:rPr>
                                <w:rFonts w:hint="eastAsia" w:ascii="Times New Roman" w:hAnsi="Times New Roman" w:eastAsia="黑体" w:cs="Times New Roman"/>
                                <w:b w:val="0"/>
                                <w:bCs/>
                                <w:color w:val="auto"/>
                                <w:szCs w:val="24"/>
                                <w:highlight w:val="none"/>
                                <w:lang w:val="en-US" w:eastAsia="zh-CN"/>
                              </w:rPr>
                              <w:t>淄博经开区南部创新创业园总体发展规划（2025-2035 年）-生态空间管制图</w:t>
                            </w:r>
                          </w:p>
                        </w:txbxContent>
                      </wps:txbx>
                      <wps:bodyPr wrap="none" upright="1">
                        <a:spAutoFit/>
                      </wps:bodyPr>
                    </wps:wsp>
                  </a:graphicData>
                </a:graphic>
              </wp:anchor>
            </w:drawing>
          </mc:Choice>
          <mc:Fallback>
            <w:pict>
              <v:shape id="_x0000_s1026" o:spid="_x0000_s1026" o:spt="202" type="#_x0000_t202" style="position:absolute;left:0pt;margin-left:6.55pt;margin-top:5.05pt;height:144pt;width:144pt;mso-wrap-style:none;z-index:251668480;mso-width-relative:page;mso-height-relative:page;" filled="f" stroked="f" coordsize="21600,21600" o:gfxdata="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3HIjFtIAAAAJAQAADwAAAAAAAAABACAAAAAiAAAAZHJzL2Rvd25yZXYueG1sUEsBAhQAFAAA&#10;AAgAh07iQCMqe328AQAAdwMAAA4AAAAAAAAAAQAgAAAAIQEAAGRycy9lMm9Eb2MueG1sUEsFBgAA&#10;AAAGAAYAWQEAAE8FAAAAAA==&#10;">
                <v:fill on="f" focussize="0,0"/>
                <v:stroke on="f"/>
                <v:imagedata o:title=""/>
                <o:lock v:ext="edit" aspectratio="f"/>
                <v:textbox style="mso-fit-shape-to-text:t;">
                  <w:txbxContent>
                    <w:p w14:paraId="7188ABC6">
                      <w:pPr>
                        <w:rPr>
                          <w:rFonts w:hint="eastAsia" w:ascii="Times New Roman" w:hAnsi="Times New Roman" w:eastAsia="黑体" w:cs="Times New Roman"/>
                          <w:b w:val="0"/>
                          <w:bCs/>
                          <w:color w:val="auto"/>
                          <w:lang w:eastAsia="zh-CN"/>
                        </w:rPr>
                      </w:pPr>
                      <w:r>
                        <w:rPr>
                          <w:rFonts w:hint="default" w:ascii="Times New Roman" w:hAnsi="Times New Roman" w:eastAsia="黑体" w:cs="Times New Roman"/>
                          <w:b w:val="0"/>
                          <w:bCs/>
                          <w:color w:val="auto"/>
                        </w:rPr>
                        <w:t>附图</w:t>
                      </w:r>
                      <w:r>
                        <w:rPr>
                          <w:rFonts w:hint="eastAsia" w:eastAsia="黑体" w:cs="Times New Roman"/>
                          <w:b w:val="0"/>
                          <w:bCs/>
                          <w:color w:val="auto"/>
                          <w:lang w:val="en-US" w:eastAsia="zh-CN"/>
                        </w:rPr>
                        <w:t>4</w:t>
                      </w:r>
                      <w:r>
                        <w:rPr>
                          <w:rFonts w:hint="default" w:ascii="Times New Roman" w:hAnsi="Times New Roman" w:eastAsia="黑体" w:cs="Times New Roman"/>
                          <w:b w:val="0"/>
                          <w:bCs/>
                          <w:color w:val="auto"/>
                          <w:szCs w:val="24"/>
                          <w:highlight w:val="none"/>
                          <w:lang w:val="en-US" w:eastAsia="zh-CN"/>
                        </w:rPr>
                        <w:t>：</w:t>
                      </w:r>
                      <w:r>
                        <w:rPr>
                          <w:rFonts w:hint="eastAsia" w:ascii="Times New Roman" w:hAnsi="Times New Roman" w:eastAsia="黑体" w:cs="Times New Roman"/>
                          <w:b w:val="0"/>
                          <w:bCs/>
                          <w:color w:val="auto"/>
                          <w:szCs w:val="24"/>
                          <w:highlight w:val="none"/>
                          <w:lang w:val="en-US" w:eastAsia="zh-CN"/>
                        </w:rPr>
                        <w:t>淄博经开区南部创新创业园总体发展规划（2025-2035 年）-生态空间管制图</w:t>
                      </w:r>
                    </w:p>
                  </w:txbxContent>
                </v:textbox>
              </v:shape>
            </w:pict>
          </mc:Fallback>
        </mc:AlternateContent>
      </w:r>
    </w:p>
    <w:p w14:paraId="52CE541B">
      <w:pPr>
        <w:jc w:val="center"/>
        <w:rPr>
          <w:color w:val="auto"/>
          <w:highlight w:val="none"/>
        </w:rPr>
        <w:sectPr>
          <w:pgSz w:w="16838" w:h="11906" w:orient="landscape"/>
          <w:pgMar w:top="232" w:right="232" w:bottom="232" w:left="232" w:header="0" w:footer="0" w:gutter="0"/>
          <w:pgBorders>
            <w:top w:val="none" w:sz="0" w:space="0"/>
            <w:left w:val="none" w:sz="0" w:space="0"/>
            <w:bottom w:val="none" w:sz="0" w:space="0"/>
            <w:right w:val="none" w:sz="0" w:space="0"/>
          </w:pgBorders>
          <w:cols w:space="425" w:num="1"/>
          <w:docGrid w:type="lines" w:linePitch="312" w:charSpace="0"/>
        </w:sectPr>
      </w:pPr>
      <w:r>
        <w:rPr>
          <w:color w:val="auto"/>
          <w:sz w:val="21"/>
          <w:highlight w:val="none"/>
        </w:rPr>
        <mc:AlternateContent>
          <mc:Choice Requires="wps">
            <w:drawing>
              <wp:anchor distT="0" distB="0" distL="114300" distR="114300" simplePos="0" relativeHeight="251683840" behindDoc="0" locked="0" layoutInCell="1" allowOverlap="1">
                <wp:simplePos x="0" y="0"/>
                <wp:positionH relativeFrom="column">
                  <wp:posOffset>4238625</wp:posOffset>
                </wp:positionH>
                <wp:positionV relativeFrom="paragraph">
                  <wp:posOffset>2468245</wp:posOffset>
                </wp:positionV>
                <wp:extent cx="1075690" cy="284480"/>
                <wp:effectExtent l="7620" t="693420" r="21590" b="12700"/>
                <wp:wrapNone/>
                <wp:docPr id="66" name="矩形标注 66"/>
                <wp:cNvGraphicFramePr/>
                <a:graphic xmlns:a="http://schemas.openxmlformats.org/drawingml/2006/main">
                  <a:graphicData uri="http://schemas.microsoft.com/office/word/2010/wordprocessingShape">
                    <wps:wsp>
                      <wps:cNvSpPr/>
                      <wps:spPr>
                        <a:xfrm>
                          <a:off x="0" y="0"/>
                          <a:ext cx="1075690" cy="284480"/>
                        </a:xfrm>
                        <a:prstGeom prst="wedgeRectCallout">
                          <a:avLst>
                            <a:gd name="adj1" fmla="val -46340"/>
                            <a:gd name="adj2" fmla="val -291071"/>
                          </a:avLst>
                        </a:prstGeom>
                        <a:solidFill>
                          <a:schemeClr val="accent1">
                            <a:alpha val="25000"/>
                          </a:schemeClr>
                        </a:solidFill>
                        <a:ln w="158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DD2F9F5">
                            <w:pPr>
                              <w:keepNext w:val="0"/>
                              <w:keepLines w:val="0"/>
                              <w:pageBreakBefore w:val="0"/>
                              <w:widowControl w:val="0"/>
                              <w:kinsoku/>
                              <w:wordWrap/>
                              <w:overflowPunct/>
                              <w:topLinePunct w:val="0"/>
                              <w:bidi w:val="0"/>
                              <w:adjustRightInd/>
                              <w:snapToGrid/>
                              <w:spacing w:line="240" w:lineRule="exact"/>
                              <w:jc w:val="center"/>
                              <w:textAlignment w:val="auto"/>
                              <w:rPr>
                                <w:rFonts w:hint="eastAsia" w:eastAsia="宋体"/>
                                <w:b/>
                                <w:bCs/>
                                <w:color w:val="0000FF"/>
                                <w:lang w:eastAsia="zh-CN"/>
                              </w:rPr>
                            </w:pPr>
                            <w:r>
                              <w:rPr>
                                <w:rFonts w:hint="eastAsia"/>
                                <w:b/>
                                <w:bCs/>
                                <w:color w:val="0000FF"/>
                                <w:lang w:eastAsia="zh-CN"/>
                              </w:rPr>
                              <w:t>项目所在区域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33.75pt;margin-top:194.35pt;height:22.4pt;width:84.7pt;z-index:251683840;v-text-anchor:middle;mso-width-relative:page;mso-height-relative:page;" fillcolor="#4F81BD [3204]" filled="t" stroked="t" coordsize="21600,21600" o:gfxdata="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AQQXrS2wAAAAsBAAAPAAAAAAAAAAEA&#10;IAAAACIAAABkcnMvZG93bnJldi54bWxQSwECFAAUAAAACACHTuJACjVdoLcCAABxBQAADgAAAAAA&#10;AAABACAAAAAqAQAAZHJzL2Uyb0RvYy54bWxQSwUGAAAAAAYABgBZAQAAUwYAAAAA&#10;" adj="791,-52071">
                <v:fill on="t" opacity="16384f" focussize="0,0"/>
                <v:stroke weight="1.25pt" color="#FFFF00 [2404]" joinstyle="round"/>
                <v:imagedata o:title=""/>
                <o:lock v:ext="edit" aspectratio="f"/>
                <v:textbox>
                  <w:txbxContent>
                    <w:p w14:paraId="6DD2F9F5">
                      <w:pPr>
                        <w:keepNext w:val="0"/>
                        <w:keepLines w:val="0"/>
                        <w:pageBreakBefore w:val="0"/>
                        <w:widowControl w:val="0"/>
                        <w:kinsoku/>
                        <w:wordWrap/>
                        <w:overflowPunct/>
                        <w:topLinePunct w:val="0"/>
                        <w:bidi w:val="0"/>
                        <w:adjustRightInd/>
                        <w:snapToGrid/>
                        <w:spacing w:line="240" w:lineRule="exact"/>
                        <w:jc w:val="center"/>
                        <w:textAlignment w:val="auto"/>
                        <w:rPr>
                          <w:rFonts w:hint="eastAsia" w:eastAsia="宋体"/>
                          <w:b/>
                          <w:bCs/>
                          <w:color w:val="0000FF"/>
                          <w:lang w:eastAsia="zh-CN"/>
                        </w:rPr>
                      </w:pPr>
                      <w:r>
                        <w:rPr>
                          <w:rFonts w:hint="eastAsia"/>
                          <w:b/>
                          <w:bCs/>
                          <w:color w:val="0000FF"/>
                          <w:lang w:eastAsia="zh-CN"/>
                        </w:rPr>
                        <w:t>项目所在区域</w:t>
                      </w:r>
                    </w:p>
                  </w:txbxContent>
                </v:textbox>
              </v:shape>
            </w:pict>
          </mc:Fallback>
        </mc:AlternateContent>
      </w:r>
      <w:r>
        <w:rPr>
          <w:color w:val="auto"/>
          <w:sz w:val="21"/>
          <w:highlight w:val="none"/>
        </w:rPr>
        <mc:AlternateContent>
          <mc:Choice Requires="wps">
            <w:drawing>
              <wp:anchor distT="0" distB="0" distL="114300" distR="114300" simplePos="0" relativeHeight="251684864" behindDoc="0" locked="0" layoutInCell="1" allowOverlap="1">
                <wp:simplePos x="0" y="0"/>
                <wp:positionH relativeFrom="column">
                  <wp:posOffset>4231640</wp:posOffset>
                </wp:positionH>
                <wp:positionV relativeFrom="paragraph">
                  <wp:posOffset>1722120</wp:posOffset>
                </wp:positionV>
                <wp:extent cx="95885" cy="90170"/>
                <wp:effectExtent l="14605" t="15240" r="22860" b="27940"/>
                <wp:wrapNone/>
                <wp:docPr id="67" name="五角星 67"/>
                <wp:cNvGraphicFramePr/>
                <a:graphic xmlns:a="http://schemas.openxmlformats.org/drawingml/2006/main">
                  <a:graphicData uri="http://schemas.microsoft.com/office/word/2010/wordprocessingShape">
                    <wps:wsp>
                      <wps:cNvSpPr/>
                      <wps:spPr>
                        <a:xfrm>
                          <a:off x="0" y="0"/>
                          <a:ext cx="95885" cy="90170"/>
                        </a:xfrm>
                        <a:prstGeom prst="star5">
                          <a:avLst/>
                        </a:prstGeom>
                        <a:solidFill>
                          <a:srgbClr val="FF0000"/>
                        </a:solidFill>
                        <a:ln w="9525" cap="flat" cmpd="sng">
                          <a:solidFill>
                            <a:srgbClr val="000000"/>
                          </a:solidFill>
                          <a:prstDash val="solid"/>
                          <a:miter/>
                          <a:headEnd type="none" w="med" len="med"/>
                          <a:tailEnd type="none" w="med" len="med"/>
                        </a:ln>
                        <a:effectLst/>
                      </wps:spPr>
                      <wps:txbx>
                        <w:txbxContent>
                          <w:p w14:paraId="4146B869"/>
                        </w:txbxContent>
                      </wps:txbx>
                      <wps:bodyPr upright="1"/>
                    </wps:wsp>
                  </a:graphicData>
                </a:graphic>
              </wp:anchor>
            </w:drawing>
          </mc:Choice>
          <mc:Fallback>
            <w:pict>
              <v:shape id="_x0000_s1026" o:spid="_x0000_s1026" style="position:absolute;left:0pt;margin-left:333.2pt;margin-top:135.6pt;height:7.1pt;width:7.55pt;z-index:251684864;mso-width-relative:page;mso-height-relative:page;" fillcolor="#FF0000" filled="t" stroked="t" coordsize="95885,90170" o:gfxdata="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L0n212gAAAAsBAAAPAAAAAAAAAAEA&#10;IAAAACIAAABkcnMvZG93bnJldi54bWxQSwECFAAUAAAACACHTuJAlxbLcQ0CAAA6BAAADgAAAAAA&#10;AAABACAAAAApAQAAZHJzL2Uyb0RvYy54bWxQSwUGAAAAAAYABgBZAQAAqAUAAAAA&#10;" path="m0,34441l36625,34442,47942,0,59259,34442,95884,34441,66254,55727,77572,90169,47942,68883,18312,90169,29630,55727xe">
                <v:path textboxrect="0,0,95885,90170" o:connectlocs="47942,0;0,34441;18312,90169;77572,90169;95884,34441" o:connectangles="247,164,82,82,0"/>
                <v:fill on="t" focussize="0,0"/>
                <v:stroke color="#000000" joinstyle="miter"/>
                <v:imagedata o:title=""/>
                <o:lock v:ext="edit" aspectratio="f"/>
                <v:textbox>
                  <w:txbxContent>
                    <w:p w14:paraId="4146B869"/>
                  </w:txbxContent>
                </v:textbox>
              </v:shape>
            </w:pict>
          </mc:Fallback>
        </mc:AlternateContent>
      </w:r>
      <w:r>
        <w:rPr>
          <w:rStyle w:val="34"/>
          <w:rFonts w:hint="eastAsia" w:eastAsia="FangSong_GB2312"/>
          <w:color w:val="auto"/>
          <w:kern w:val="0"/>
          <w:szCs w:val="20"/>
          <w:highlight w:val="none"/>
          <w:lang w:eastAsia="zh-CN"/>
        </w:rPr>
        <w:drawing>
          <wp:anchor distT="0" distB="0" distL="114300" distR="114300" simplePos="0" relativeHeight="251682816" behindDoc="1" locked="0" layoutInCell="1" allowOverlap="1">
            <wp:simplePos x="0" y="0"/>
            <wp:positionH relativeFrom="column">
              <wp:posOffset>349885</wp:posOffset>
            </wp:positionH>
            <wp:positionV relativeFrom="paragraph">
              <wp:posOffset>168910</wp:posOffset>
            </wp:positionV>
            <wp:extent cx="8682355" cy="6114415"/>
            <wp:effectExtent l="0" t="0" r="4445" b="635"/>
            <wp:wrapNone/>
            <wp:docPr id="65" name="图片 22" descr="200ff01e-14de-4c3f-bc52-7111e43fea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2" descr="200ff01e-14de-4c3f-bc52-7111e43feab8"/>
                    <pic:cNvPicPr>
                      <a:picLocks noChangeAspect="1"/>
                    </pic:cNvPicPr>
                  </pic:nvPicPr>
                  <pic:blipFill>
                    <a:blip r:embed="rId69"/>
                    <a:stretch>
                      <a:fillRect/>
                    </a:stretch>
                  </pic:blipFill>
                  <pic:spPr>
                    <a:xfrm>
                      <a:off x="0" y="0"/>
                      <a:ext cx="8682355" cy="6114415"/>
                    </a:xfrm>
                    <a:prstGeom prst="rect">
                      <a:avLst/>
                    </a:prstGeom>
                    <a:noFill/>
                    <a:ln>
                      <a:noFill/>
                    </a:ln>
                  </pic:spPr>
                </pic:pic>
              </a:graphicData>
            </a:graphic>
          </wp:anchor>
        </w:drawing>
      </w:r>
    </w:p>
    <w:p w14:paraId="507D77A9">
      <w:pPr>
        <w:jc w:val="center"/>
        <w:rPr>
          <w:color w:val="auto"/>
          <w:highlight w:val="none"/>
        </w:rPr>
      </w:pPr>
      <w:r>
        <w:rPr>
          <w:color w:val="auto"/>
          <w:sz w:val="24"/>
          <w:highlight w:val="none"/>
        </w:rPr>
        <mc:AlternateContent>
          <mc:Choice Requires="wps">
            <w:drawing>
              <wp:anchor distT="0" distB="0" distL="114300" distR="114300" simplePos="0" relativeHeight="251669504" behindDoc="0" locked="0" layoutInCell="1" allowOverlap="1">
                <wp:simplePos x="0" y="0"/>
                <wp:positionH relativeFrom="column">
                  <wp:posOffset>113030</wp:posOffset>
                </wp:positionH>
                <wp:positionV relativeFrom="paragraph">
                  <wp:posOffset>133985</wp:posOffset>
                </wp:positionV>
                <wp:extent cx="2637155" cy="28956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2637155" cy="289560"/>
                        </a:xfrm>
                        <a:prstGeom prst="rect">
                          <a:avLst/>
                        </a:prstGeom>
                        <a:noFill/>
                        <a:ln>
                          <a:noFill/>
                        </a:ln>
                      </wps:spPr>
                      <wps:txbx>
                        <w:txbxContent>
                          <w:p w14:paraId="23036FD7">
                            <w:pPr>
                              <w:rPr>
                                <w:rFonts w:hint="default" w:ascii="Times New Roman" w:hAnsi="Times New Roman" w:eastAsia="黑体" w:cs="Times New Roman"/>
                                <w:b w:val="0"/>
                                <w:bCs/>
                                <w:color w:val="auto"/>
                                <w:lang w:val="en-US" w:eastAsia="zh-CN"/>
                              </w:rPr>
                            </w:pPr>
                            <w:r>
                              <w:rPr>
                                <w:rFonts w:hint="default" w:ascii="Times New Roman" w:hAnsi="Times New Roman" w:eastAsia="黑体" w:cs="Times New Roman"/>
                                <w:b w:val="0"/>
                                <w:bCs/>
                                <w:color w:val="auto"/>
                              </w:rPr>
                              <w:t>附图</w:t>
                            </w:r>
                            <w:r>
                              <w:rPr>
                                <w:rFonts w:hint="eastAsia" w:eastAsia="黑体" w:cs="Times New Roman"/>
                                <w:b w:val="0"/>
                                <w:bCs/>
                                <w:color w:val="auto"/>
                                <w:lang w:val="en-US" w:eastAsia="zh-CN"/>
                              </w:rPr>
                              <w:t>5：国土空间规划图</w:t>
                            </w:r>
                          </w:p>
                        </w:txbxContent>
                      </wps:txbx>
                      <wps:bodyPr wrap="square" upright="1">
                        <a:noAutofit/>
                      </wps:bodyPr>
                    </wps:wsp>
                  </a:graphicData>
                </a:graphic>
              </wp:anchor>
            </w:drawing>
          </mc:Choice>
          <mc:Fallback>
            <w:pict>
              <v:shape id="_x0000_s1026" o:spid="_x0000_s1026" o:spt="202" type="#_x0000_t202" style="position:absolute;left:0pt;margin-left:8.9pt;margin-top:10.55pt;height:22.8pt;width:207.65pt;z-index:251669504;mso-width-relative:page;mso-height-relative:page;" filled="f" stroked="f" coordsize="21600,21600" o:gfxdata="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IGu1lXVAAAACAEAAA8AAAAAAAAAAQAgAAAAIgAAAGRycy9kb3ducmV2&#10;LnhtbFBLAQIUABQAAAAIAIdO4kBGRXh2xgEAAHgDAAAOAAAAAAAAAAEAIAAAACQBAABkcnMvZTJv&#10;RG9jLnhtbFBLBQYAAAAABgAGAFkBAABcBQAAAAA=&#10;">
                <v:fill on="f" focussize="0,0"/>
                <v:stroke on="f"/>
                <v:imagedata o:title=""/>
                <o:lock v:ext="edit" aspectratio="f"/>
                <v:textbox>
                  <w:txbxContent>
                    <w:p w14:paraId="23036FD7">
                      <w:pPr>
                        <w:rPr>
                          <w:rFonts w:hint="default" w:ascii="Times New Roman" w:hAnsi="Times New Roman" w:eastAsia="黑体" w:cs="Times New Roman"/>
                          <w:b w:val="0"/>
                          <w:bCs/>
                          <w:color w:val="auto"/>
                          <w:lang w:val="en-US" w:eastAsia="zh-CN"/>
                        </w:rPr>
                      </w:pPr>
                      <w:r>
                        <w:rPr>
                          <w:rFonts w:hint="default" w:ascii="Times New Roman" w:hAnsi="Times New Roman" w:eastAsia="黑体" w:cs="Times New Roman"/>
                          <w:b w:val="0"/>
                          <w:bCs/>
                          <w:color w:val="auto"/>
                        </w:rPr>
                        <w:t>附图</w:t>
                      </w:r>
                      <w:r>
                        <w:rPr>
                          <w:rFonts w:hint="eastAsia" w:eastAsia="黑体" w:cs="Times New Roman"/>
                          <w:b w:val="0"/>
                          <w:bCs/>
                          <w:color w:val="auto"/>
                          <w:lang w:val="en-US" w:eastAsia="zh-CN"/>
                        </w:rPr>
                        <w:t>5：国土空间规划图</w:t>
                      </w:r>
                    </w:p>
                  </w:txbxContent>
                </v:textbox>
              </v:shape>
            </w:pict>
          </mc:Fallback>
        </mc:AlternateContent>
      </w:r>
    </w:p>
    <w:p w14:paraId="78645ECA">
      <w:pPr>
        <w:jc w:val="center"/>
        <w:rPr>
          <w:color w:val="auto"/>
          <w:highlight w:val="none"/>
        </w:rPr>
      </w:pPr>
      <w:r>
        <w:rPr>
          <w:color w:val="auto"/>
          <w:highlight w:val="none"/>
        </w:rPr>
        <w:drawing>
          <wp:anchor distT="0" distB="0" distL="114300" distR="114300" simplePos="0" relativeHeight="251685888" behindDoc="1" locked="0" layoutInCell="1" allowOverlap="1">
            <wp:simplePos x="0" y="0"/>
            <wp:positionH relativeFrom="column">
              <wp:posOffset>330835</wp:posOffset>
            </wp:positionH>
            <wp:positionV relativeFrom="paragraph">
              <wp:posOffset>187325</wp:posOffset>
            </wp:positionV>
            <wp:extent cx="6524625" cy="9126220"/>
            <wp:effectExtent l="0" t="0" r="9525" b="17780"/>
            <wp:wrapNone/>
            <wp:docPr id="68" name="图片 23" descr="C:/Users/Administrator/Desktop/淄博市国土空间总体规划（2021-2035年）.png淄博市国土空间总体规划（2021-2035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3" descr="C:/Users/Administrator/Desktop/淄博市国土空间总体规划（2021-2035年）.png淄博市国土空间总体规划（2021-2035年）"/>
                    <pic:cNvPicPr>
                      <a:picLocks noChangeAspect="1"/>
                    </pic:cNvPicPr>
                  </pic:nvPicPr>
                  <pic:blipFill>
                    <a:blip r:embed="rId70"/>
                    <a:srcRect t="63" b="-212"/>
                    <a:stretch>
                      <a:fillRect/>
                    </a:stretch>
                  </pic:blipFill>
                  <pic:spPr>
                    <a:xfrm>
                      <a:off x="0" y="0"/>
                      <a:ext cx="6524625" cy="9126220"/>
                    </a:xfrm>
                    <a:prstGeom prst="rect">
                      <a:avLst/>
                    </a:prstGeom>
                    <a:noFill/>
                    <a:ln>
                      <a:noFill/>
                    </a:ln>
                  </pic:spPr>
                </pic:pic>
              </a:graphicData>
            </a:graphic>
          </wp:anchor>
        </w:drawing>
      </w:r>
    </w:p>
    <w:p w14:paraId="3D9567C4">
      <w:pPr>
        <w:jc w:val="center"/>
        <w:rPr>
          <w:color w:val="auto"/>
          <w:highlight w:val="none"/>
        </w:rPr>
      </w:pPr>
    </w:p>
    <w:p w14:paraId="27BA91C3">
      <w:pPr>
        <w:jc w:val="center"/>
        <w:rPr>
          <w:color w:val="auto"/>
          <w:highlight w:val="none"/>
        </w:rPr>
      </w:pPr>
      <w:r>
        <w:rPr>
          <w:color w:val="auto"/>
          <w:sz w:val="21"/>
          <w:highlight w:val="none"/>
        </w:rPr>
        <mc:AlternateContent>
          <mc:Choice Requires="wps">
            <w:drawing>
              <wp:anchor distT="0" distB="0" distL="114300" distR="114300" simplePos="0" relativeHeight="251670528" behindDoc="0" locked="0" layoutInCell="1" allowOverlap="1">
                <wp:simplePos x="0" y="0"/>
                <wp:positionH relativeFrom="column">
                  <wp:posOffset>3401695</wp:posOffset>
                </wp:positionH>
                <wp:positionV relativeFrom="paragraph">
                  <wp:posOffset>3916680</wp:posOffset>
                </wp:positionV>
                <wp:extent cx="76200" cy="76200"/>
                <wp:effectExtent l="6350" t="6350" r="12700" b="12700"/>
                <wp:wrapNone/>
                <wp:docPr id="48" name="流程图: 过程 48"/>
                <wp:cNvGraphicFramePr/>
                <a:graphic xmlns:a="http://schemas.openxmlformats.org/drawingml/2006/main">
                  <a:graphicData uri="http://schemas.microsoft.com/office/word/2010/wordprocessingShape">
                    <wps:wsp>
                      <wps:cNvSpPr/>
                      <wps:spPr>
                        <a:xfrm>
                          <a:off x="3536950" y="4669155"/>
                          <a:ext cx="76200" cy="76200"/>
                        </a:xfrm>
                        <a:prstGeom prst="flowChartProcess">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9" type="#_x0000_t109" style="position:absolute;left:0pt;margin-left:267.85pt;margin-top:308.4pt;height:6pt;width:6pt;z-index:251670528;v-text-anchor:middle;mso-width-relative:page;mso-height-relative:page;" filled="f" stroked="t" coordsize="21600,21600" o:gfxdata="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E5MLndgAAAALAQAADwAAAAAAAAABACAAAAAi&#10;AAAAZHJzL2Rvd25yZXYueG1sUEsBAhQAFAAAAAgAh07iQCAMH298AgAA1gQAAA4AAAAAAAAAAQAg&#10;AAAAJwEAAGRycy9lMm9Eb2MueG1sUEsFBgAAAAAGAAYAWQEAABUGAAAAAA==&#10;">
                <v:fill on="f" focussize="0,0"/>
                <v:stroke weight="1pt" color="#FF0000 [2404]" joinstyle="round"/>
                <v:imagedata o:title=""/>
                <o:lock v:ext="edit" aspectratio="f"/>
              </v:shape>
            </w:pict>
          </mc:Fallback>
        </mc:AlternateContent>
      </w:r>
    </w:p>
    <w:p w14:paraId="3B76AB39">
      <w:pPr>
        <w:jc w:val="center"/>
        <w:rPr>
          <w:color w:val="auto"/>
          <w:highlight w:val="none"/>
        </w:rPr>
        <w:sectPr>
          <w:pgSz w:w="11906" w:h="16838"/>
          <w:pgMar w:top="232" w:right="232" w:bottom="232" w:left="232" w:header="0" w:footer="0" w:gutter="0"/>
          <w:pgBorders>
            <w:top w:val="none" w:sz="0" w:space="0"/>
            <w:left w:val="none" w:sz="0" w:space="0"/>
            <w:bottom w:val="none" w:sz="0" w:space="0"/>
            <w:right w:val="none" w:sz="0" w:space="0"/>
          </w:pgBorders>
          <w:cols w:space="425" w:num="1"/>
          <w:docGrid w:type="lines" w:linePitch="312" w:charSpace="0"/>
        </w:sectPr>
      </w:pPr>
      <w:r>
        <w:rPr>
          <w:color w:val="auto"/>
          <w:sz w:val="21"/>
          <w:highlight w:val="none"/>
        </w:rPr>
        <mc:AlternateContent>
          <mc:Choice Requires="wps">
            <w:drawing>
              <wp:anchor distT="0" distB="0" distL="114300" distR="114300" simplePos="0" relativeHeight="251671552" behindDoc="0" locked="0" layoutInCell="1" allowOverlap="1">
                <wp:simplePos x="0" y="0"/>
                <wp:positionH relativeFrom="column">
                  <wp:posOffset>2569845</wp:posOffset>
                </wp:positionH>
                <wp:positionV relativeFrom="paragraph">
                  <wp:posOffset>4725035</wp:posOffset>
                </wp:positionV>
                <wp:extent cx="1075690" cy="284480"/>
                <wp:effectExtent l="7620" t="693420" r="21590" b="12700"/>
                <wp:wrapNone/>
                <wp:docPr id="51" name="矩形标注 51"/>
                <wp:cNvGraphicFramePr/>
                <a:graphic xmlns:a="http://schemas.openxmlformats.org/drawingml/2006/main">
                  <a:graphicData uri="http://schemas.microsoft.com/office/word/2010/wordprocessingShape">
                    <wps:wsp>
                      <wps:cNvSpPr/>
                      <wps:spPr>
                        <a:xfrm>
                          <a:off x="5066665" y="5191125"/>
                          <a:ext cx="1075690" cy="284480"/>
                        </a:xfrm>
                        <a:prstGeom prst="wedgeRectCallout">
                          <a:avLst>
                            <a:gd name="adj1" fmla="val -46340"/>
                            <a:gd name="adj2" fmla="val -291071"/>
                          </a:avLst>
                        </a:prstGeom>
                        <a:solidFill>
                          <a:schemeClr val="accent1">
                            <a:alpha val="25000"/>
                          </a:schemeClr>
                        </a:solidFill>
                        <a:ln w="158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F589D47">
                            <w:pPr>
                              <w:keepNext w:val="0"/>
                              <w:keepLines w:val="0"/>
                              <w:pageBreakBefore w:val="0"/>
                              <w:widowControl w:val="0"/>
                              <w:kinsoku/>
                              <w:wordWrap/>
                              <w:overflowPunct/>
                              <w:topLinePunct w:val="0"/>
                              <w:bidi w:val="0"/>
                              <w:adjustRightInd/>
                              <w:snapToGrid/>
                              <w:spacing w:line="240" w:lineRule="exact"/>
                              <w:jc w:val="center"/>
                              <w:textAlignment w:val="auto"/>
                              <w:rPr>
                                <w:rFonts w:hint="eastAsia" w:eastAsia="宋体"/>
                                <w:b/>
                                <w:bCs/>
                                <w:color w:val="0000FF"/>
                                <w:lang w:eastAsia="zh-CN"/>
                              </w:rPr>
                            </w:pPr>
                            <w:r>
                              <w:rPr>
                                <w:rFonts w:hint="eastAsia"/>
                                <w:b/>
                                <w:bCs/>
                                <w:color w:val="0000FF"/>
                                <w:lang w:eastAsia="zh-CN"/>
                              </w:rPr>
                              <w:t>项目所在区域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2.35pt;margin-top:372.05pt;height:22.4pt;width:84.7pt;z-index:251671552;v-text-anchor:middle;mso-width-relative:page;mso-height-relative:page;" fillcolor="#4F81BD [3204]" filled="t" stroked="t" coordsize="21600,21600" o:gfxdata="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zWpQY9kAAAALAQAA&#10;DwAAAAAAAAABACAAAAAiAAAAZHJzL2Rvd25yZXYueG1sUEsBAhQAFAAAAAgAh07iQCwNrXDDAgAA&#10;fQUAAA4AAAAAAAAAAQAgAAAAKAEAAGRycy9lMm9Eb2MueG1sUEsFBgAAAAAGAAYAWQEAAF0GAAAA&#10;AA==&#10;" adj="791,-52071">
                <v:fill on="t" opacity="16384f" focussize="0,0"/>
                <v:stroke weight="1.25pt" color="#FFFF00 [2404]" joinstyle="round"/>
                <v:imagedata o:title=""/>
                <o:lock v:ext="edit" aspectratio="f"/>
                <v:textbox>
                  <w:txbxContent>
                    <w:p w14:paraId="1F589D47">
                      <w:pPr>
                        <w:keepNext w:val="0"/>
                        <w:keepLines w:val="0"/>
                        <w:pageBreakBefore w:val="0"/>
                        <w:widowControl w:val="0"/>
                        <w:kinsoku/>
                        <w:wordWrap/>
                        <w:overflowPunct/>
                        <w:topLinePunct w:val="0"/>
                        <w:bidi w:val="0"/>
                        <w:adjustRightInd/>
                        <w:snapToGrid/>
                        <w:spacing w:line="240" w:lineRule="exact"/>
                        <w:jc w:val="center"/>
                        <w:textAlignment w:val="auto"/>
                        <w:rPr>
                          <w:rFonts w:hint="eastAsia" w:eastAsia="宋体"/>
                          <w:b/>
                          <w:bCs/>
                          <w:color w:val="0000FF"/>
                          <w:lang w:eastAsia="zh-CN"/>
                        </w:rPr>
                      </w:pPr>
                      <w:r>
                        <w:rPr>
                          <w:rFonts w:hint="eastAsia"/>
                          <w:b/>
                          <w:bCs/>
                          <w:color w:val="0000FF"/>
                          <w:lang w:eastAsia="zh-CN"/>
                        </w:rPr>
                        <w:t>项目所在区域</w:t>
                      </w:r>
                    </w:p>
                  </w:txbxContent>
                </v:textbox>
              </v:shape>
            </w:pict>
          </mc:Fallback>
        </mc:AlternateContent>
      </w:r>
    </w:p>
    <w:p w14:paraId="52938B30">
      <w:pPr>
        <w:jc w:val="center"/>
        <w:rPr>
          <w:color w:val="auto"/>
          <w:highlight w:val="none"/>
        </w:rPr>
      </w:pPr>
    </w:p>
    <w:p w14:paraId="7EA02204">
      <w:pPr>
        <w:jc w:val="center"/>
        <w:rPr>
          <w:color w:val="auto"/>
          <w:highlight w:val="none"/>
        </w:rPr>
      </w:pPr>
      <w:r>
        <w:rPr>
          <w:color w:val="auto"/>
          <w:sz w:val="24"/>
          <w:highlight w:val="none"/>
        </w:rPr>
        <mc:AlternateContent>
          <mc:Choice Requires="wps">
            <w:drawing>
              <wp:anchor distT="0" distB="0" distL="114300" distR="114300" simplePos="0" relativeHeight="251673600" behindDoc="0" locked="0" layoutInCell="1" allowOverlap="1">
                <wp:simplePos x="0" y="0"/>
                <wp:positionH relativeFrom="column">
                  <wp:posOffset>271780</wp:posOffset>
                </wp:positionH>
                <wp:positionV relativeFrom="paragraph">
                  <wp:posOffset>39370</wp:posOffset>
                </wp:positionV>
                <wp:extent cx="3703320" cy="40005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3703320" cy="400050"/>
                        </a:xfrm>
                        <a:prstGeom prst="rect">
                          <a:avLst/>
                        </a:prstGeom>
                        <a:noFill/>
                        <a:ln>
                          <a:noFill/>
                        </a:ln>
                      </wps:spPr>
                      <wps:txbx>
                        <w:txbxContent>
                          <w:p w14:paraId="60410CAF">
                            <w:pPr>
                              <w:rPr>
                                <w:rFonts w:hint="default" w:ascii="Times New Roman" w:hAnsi="Times New Roman" w:eastAsia="黑体" w:cs="Times New Roman"/>
                                <w:b w:val="0"/>
                                <w:bCs/>
                                <w:color w:val="auto"/>
                                <w:lang w:eastAsia="zh-CN"/>
                              </w:rPr>
                            </w:pPr>
                            <w:r>
                              <w:rPr>
                                <w:rFonts w:hint="default" w:ascii="Times New Roman" w:hAnsi="Times New Roman" w:eastAsia="黑体" w:cs="Times New Roman"/>
                                <w:b w:val="0"/>
                                <w:bCs/>
                                <w:color w:val="auto"/>
                              </w:rPr>
                              <w:t>附图</w:t>
                            </w:r>
                            <w:r>
                              <w:rPr>
                                <w:rFonts w:hint="eastAsia" w:eastAsia="黑体" w:cs="Times New Roman"/>
                                <w:b w:val="0"/>
                                <w:bCs/>
                                <w:color w:val="auto"/>
                                <w:lang w:val="en-US" w:eastAsia="zh-CN"/>
                              </w:rPr>
                              <w:t>6</w:t>
                            </w:r>
                            <w:r>
                              <w:rPr>
                                <w:rFonts w:hint="default" w:ascii="Times New Roman" w:hAnsi="Times New Roman" w:eastAsia="黑体" w:cs="Times New Roman"/>
                                <w:b w:val="0"/>
                                <w:bCs/>
                                <w:color w:val="auto"/>
                              </w:rPr>
                              <w:t>：</w:t>
                            </w:r>
                            <w:r>
                              <w:rPr>
                                <w:rFonts w:hint="eastAsia" w:ascii="Times New Roman" w:hAnsi="Times New Roman" w:eastAsia="黑体" w:cs="Times New Roman"/>
                                <w:b w:val="0"/>
                                <w:bCs/>
                                <w:color w:val="auto"/>
                                <w:lang w:eastAsia="zh-CN"/>
                              </w:rPr>
                              <w:t>淄博市环境管控单元图（</w:t>
                            </w:r>
                            <w:r>
                              <w:rPr>
                                <w:rFonts w:hint="eastAsia" w:ascii="Times New Roman" w:hAnsi="Times New Roman" w:eastAsia="黑体" w:cs="Times New Roman"/>
                                <w:b w:val="0"/>
                                <w:bCs/>
                                <w:color w:val="auto"/>
                                <w:lang w:val="en-US" w:eastAsia="zh-CN"/>
                              </w:rPr>
                              <w:t>2023年</w:t>
                            </w:r>
                            <w:r>
                              <w:rPr>
                                <w:rFonts w:hint="eastAsia" w:ascii="Times New Roman" w:hAnsi="Times New Roman" w:eastAsia="黑体" w:cs="Times New Roman"/>
                                <w:b w:val="0"/>
                                <w:bCs/>
                                <w:color w:val="auto"/>
                                <w:lang w:eastAsia="zh-CN"/>
                              </w:rPr>
                              <w:t>动态更新版）</w:t>
                            </w:r>
                          </w:p>
                        </w:txbxContent>
                      </wps:txbx>
                      <wps:bodyPr upright="1"/>
                    </wps:wsp>
                  </a:graphicData>
                </a:graphic>
              </wp:anchor>
            </w:drawing>
          </mc:Choice>
          <mc:Fallback>
            <w:pict>
              <v:shape id="_x0000_s1026" o:spid="_x0000_s1026" o:spt="202" type="#_x0000_t202" style="position:absolute;left:0pt;margin-left:21.4pt;margin-top:3.1pt;height:31.5pt;width:291.6pt;z-index:251673600;mso-width-relative:page;mso-height-relative:page;" filled="f" stroked="f" coordsize="21600,21600" o:gfxdata="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tjek91QAA&#10;AAcBAAAPAAAAAAAAAAEAIAAAACIAAABkcnMvZG93bnJldi54bWxQSwECFAAUAAAACACHTuJALm5z&#10;La8BAABQAwAADgAAAAAAAAABACAAAAAkAQAAZHJzL2Uyb0RvYy54bWxQSwUGAAAAAAYABgBZAQAA&#10;RQUAAAAA&#10;">
                <v:fill on="f" focussize="0,0"/>
                <v:stroke on="f"/>
                <v:imagedata o:title=""/>
                <o:lock v:ext="edit" aspectratio="f"/>
                <v:textbox>
                  <w:txbxContent>
                    <w:p w14:paraId="60410CAF">
                      <w:pPr>
                        <w:rPr>
                          <w:rFonts w:hint="default" w:ascii="Times New Roman" w:hAnsi="Times New Roman" w:eastAsia="黑体" w:cs="Times New Roman"/>
                          <w:b w:val="0"/>
                          <w:bCs/>
                          <w:color w:val="auto"/>
                          <w:lang w:eastAsia="zh-CN"/>
                        </w:rPr>
                      </w:pPr>
                      <w:r>
                        <w:rPr>
                          <w:rFonts w:hint="default" w:ascii="Times New Roman" w:hAnsi="Times New Roman" w:eastAsia="黑体" w:cs="Times New Roman"/>
                          <w:b w:val="0"/>
                          <w:bCs/>
                          <w:color w:val="auto"/>
                        </w:rPr>
                        <w:t>附图</w:t>
                      </w:r>
                      <w:r>
                        <w:rPr>
                          <w:rFonts w:hint="eastAsia" w:eastAsia="黑体" w:cs="Times New Roman"/>
                          <w:b w:val="0"/>
                          <w:bCs/>
                          <w:color w:val="auto"/>
                          <w:lang w:val="en-US" w:eastAsia="zh-CN"/>
                        </w:rPr>
                        <w:t>6</w:t>
                      </w:r>
                      <w:r>
                        <w:rPr>
                          <w:rFonts w:hint="default" w:ascii="Times New Roman" w:hAnsi="Times New Roman" w:eastAsia="黑体" w:cs="Times New Roman"/>
                          <w:b w:val="0"/>
                          <w:bCs/>
                          <w:color w:val="auto"/>
                        </w:rPr>
                        <w:t>：</w:t>
                      </w:r>
                      <w:r>
                        <w:rPr>
                          <w:rFonts w:hint="eastAsia" w:ascii="Times New Roman" w:hAnsi="Times New Roman" w:eastAsia="黑体" w:cs="Times New Roman"/>
                          <w:b w:val="0"/>
                          <w:bCs/>
                          <w:color w:val="auto"/>
                          <w:lang w:eastAsia="zh-CN"/>
                        </w:rPr>
                        <w:t>淄博市环境管控单元图（</w:t>
                      </w:r>
                      <w:r>
                        <w:rPr>
                          <w:rFonts w:hint="eastAsia" w:ascii="Times New Roman" w:hAnsi="Times New Roman" w:eastAsia="黑体" w:cs="Times New Roman"/>
                          <w:b w:val="0"/>
                          <w:bCs/>
                          <w:color w:val="auto"/>
                          <w:lang w:val="en-US" w:eastAsia="zh-CN"/>
                        </w:rPr>
                        <w:t>2023年</w:t>
                      </w:r>
                      <w:r>
                        <w:rPr>
                          <w:rFonts w:hint="eastAsia" w:ascii="Times New Roman" w:hAnsi="Times New Roman" w:eastAsia="黑体" w:cs="Times New Roman"/>
                          <w:b w:val="0"/>
                          <w:bCs/>
                          <w:color w:val="auto"/>
                          <w:lang w:eastAsia="zh-CN"/>
                        </w:rPr>
                        <w:t>动态更新版）</w:t>
                      </w:r>
                    </w:p>
                  </w:txbxContent>
                </v:textbox>
              </v:shape>
            </w:pict>
          </mc:Fallback>
        </mc:AlternateContent>
      </w:r>
    </w:p>
    <w:p w14:paraId="6045E318">
      <w:pPr>
        <w:jc w:val="center"/>
        <w:rPr>
          <w:color w:val="auto"/>
          <w:highlight w:val="none"/>
        </w:rPr>
      </w:pPr>
      <w:r>
        <w:rPr>
          <w:rFonts w:hint="eastAsia" w:ascii="方正小标宋简体" w:hAnsi="方正小标宋简体" w:eastAsia="方正小标宋简体" w:cs="方正小标宋简体"/>
          <w:color w:val="auto"/>
          <w:sz w:val="44"/>
          <w:szCs w:val="44"/>
          <w:highlight w:val="none"/>
          <w:lang w:val="en-US" w:eastAsia="zh-CN"/>
        </w:rPr>
        <w:drawing>
          <wp:anchor distT="0" distB="0" distL="114300" distR="114300" simplePos="0" relativeHeight="251672576" behindDoc="1" locked="0" layoutInCell="1" allowOverlap="1">
            <wp:simplePos x="0" y="0"/>
            <wp:positionH relativeFrom="column">
              <wp:posOffset>365760</wp:posOffset>
            </wp:positionH>
            <wp:positionV relativeFrom="paragraph">
              <wp:posOffset>57150</wp:posOffset>
            </wp:positionV>
            <wp:extent cx="6682105" cy="9138920"/>
            <wp:effectExtent l="0" t="0" r="4445" b="5080"/>
            <wp:wrapNone/>
            <wp:docPr id="55" name="图片 1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8" descr="图片1"/>
                    <pic:cNvPicPr>
                      <a:picLocks noChangeAspect="1"/>
                    </pic:cNvPicPr>
                  </pic:nvPicPr>
                  <pic:blipFill>
                    <a:blip r:embed="rId71"/>
                    <a:stretch>
                      <a:fillRect/>
                    </a:stretch>
                  </pic:blipFill>
                  <pic:spPr>
                    <a:xfrm>
                      <a:off x="0" y="0"/>
                      <a:ext cx="6682105" cy="9138920"/>
                    </a:xfrm>
                    <a:prstGeom prst="rect">
                      <a:avLst/>
                    </a:prstGeom>
                    <a:noFill/>
                    <a:ln>
                      <a:noFill/>
                    </a:ln>
                  </pic:spPr>
                </pic:pic>
              </a:graphicData>
            </a:graphic>
          </wp:anchor>
        </w:drawing>
      </w:r>
    </w:p>
    <w:p w14:paraId="7426026E">
      <w:pPr>
        <w:jc w:val="center"/>
        <w:rPr>
          <w:color w:val="auto"/>
          <w:highlight w:val="none"/>
        </w:rPr>
      </w:pPr>
    </w:p>
    <w:p w14:paraId="713839AF">
      <w:pPr>
        <w:jc w:val="center"/>
        <w:rPr>
          <w:color w:val="auto"/>
          <w:highlight w:val="none"/>
        </w:rPr>
      </w:pPr>
    </w:p>
    <w:p w14:paraId="1509D501">
      <w:pPr>
        <w:jc w:val="center"/>
        <w:rPr>
          <w:color w:val="auto"/>
          <w:highlight w:val="none"/>
        </w:rPr>
      </w:pPr>
    </w:p>
    <w:p w14:paraId="353D4687">
      <w:pPr>
        <w:jc w:val="center"/>
        <w:rPr>
          <w:color w:val="auto"/>
          <w:highlight w:val="none"/>
        </w:rPr>
      </w:pPr>
    </w:p>
    <w:p w14:paraId="0AC7879B">
      <w:pPr>
        <w:jc w:val="center"/>
        <w:rPr>
          <w:color w:val="auto"/>
          <w:highlight w:val="none"/>
        </w:rPr>
      </w:pPr>
    </w:p>
    <w:p w14:paraId="23AA01A1">
      <w:pPr>
        <w:jc w:val="center"/>
        <w:rPr>
          <w:color w:val="auto"/>
          <w:highlight w:val="none"/>
        </w:rPr>
      </w:pPr>
    </w:p>
    <w:p w14:paraId="4C0D396E">
      <w:pPr>
        <w:jc w:val="center"/>
        <w:rPr>
          <w:color w:val="auto"/>
          <w:highlight w:val="none"/>
        </w:rPr>
      </w:pPr>
    </w:p>
    <w:p w14:paraId="326116CA">
      <w:pPr>
        <w:jc w:val="center"/>
        <w:rPr>
          <w:color w:val="auto"/>
          <w:highlight w:val="none"/>
        </w:rPr>
      </w:pPr>
    </w:p>
    <w:p w14:paraId="51B41774">
      <w:pPr>
        <w:jc w:val="center"/>
        <w:rPr>
          <w:color w:val="auto"/>
          <w:highlight w:val="none"/>
        </w:rPr>
      </w:pPr>
    </w:p>
    <w:p w14:paraId="04F48F57">
      <w:pPr>
        <w:jc w:val="center"/>
        <w:rPr>
          <w:color w:val="auto"/>
          <w:highlight w:val="none"/>
        </w:rPr>
        <w:sectPr>
          <w:pgSz w:w="11906" w:h="16838"/>
          <w:pgMar w:top="232" w:right="232" w:bottom="232" w:left="232" w:header="0" w:footer="0" w:gutter="0"/>
          <w:pgBorders>
            <w:top w:val="none" w:sz="0" w:space="0"/>
            <w:left w:val="none" w:sz="0" w:space="0"/>
            <w:bottom w:val="none" w:sz="0" w:space="0"/>
            <w:right w:val="none" w:sz="0" w:space="0"/>
          </w:pgBorders>
          <w:cols w:space="425" w:num="1"/>
          <w:docGrid w:type="lines" w:linePitch="312" w:charSpace="0"/>
        </w:sectPr>
      </w:pPr>
      <w:r>
        <w:rPr>
          <w:color w:val="auto"/>
          <w:sz w:val="21"/>
          <w:highlight w:val="none"/>
        </w:rPr>
        <mc:AlternateContent>
          <mc:Choice Requires="wps">
            <w:drawing>
              <wp:anchor distT="0" distB="0" distL="114300" distR="114300" simplePos="0" relativeHeight="251675648" behindDoc="0" locked="0" layoutInCell="1" allowOverlap="1">
                <wp:simplePos x="0" y="0"/>
                <wp:positionH relativeFrom="column">
                  <wp:posOffset>3893820</wp:posOffset>
                </wp:positionH>
                <wp:positionV relativeFrom="paragraph">
                  <wp:posOffset>1721485</wp:posOffset>
                </wp:positionV>
                <wp:extent cx="809625" cy="303530"/>
                <wp:effectExtent l="0" t="0" r="0" b="0"/>
                <wp:wrapNone/>
                <wp:docPr id="58" name="文本框 58"/>
                <wp:cNvGraphicFramePr/>
                <a:graphic xmlns:a="http://schemas.openxmlformats.org/drawingml/2006/main">
                  <a:graphicData uri="http://schemas.microsoft.com/office/word/2010/wordprocessingShape">
                    <wps:wsp>
                      <wps:cNvSpPr txBox="1"/>
                      <wps:spPr>
                        <a:xfrm>
                          <a:off x="3015615" y="2621280"/>
                          <a:ext cx="809625" cy="303530"/>
                        </a:xfrm>
                        <a:prstGeom prst="rect">
                          <a:avLst/>
                        </a:prstGeom>
                        <a:noFill/>
                        <a:ln>
                          <a:noFill/>
                        </a:ln>
                        <a:effectLst/>
                      </wps:spPr>
                      <wps:txbx>
                        <w:txbxContent>
                          <w:p w14:paraId="0D5E9A9E">
                            <w:pPr>
                              <w:rPr>
                                <w:rFonts w:hint="eastAsia" w:eastAsia="宋体"/>
                                <w:b/>
                                <w:bCs/>
                                <w:color w:val="FF0000"/>
                                <w:sz w:val="18"/>
                                <w:szCs w:val="21"/>
                                <w:lang w:eastAsia="zh-CN"/>
                              </w:rPr>
                            </w:pPr>
                            <w:r>
                              <w:rPr>
                                <w:rFonts w:hint="eastAsia"/>
                                <w:b/>
                                <w:bCs/>
                                <w:color w:val="0000FF"/>
                                <w:sz w:val="18"/>
                                <w:szCs w:val="21"/>
                                <w:lang w:eastAsia="zh-CN"/>
                              </w:rPr>
                              <w:t>项目位置</w:t>
                            </w:r>
                          </w:p>
                        </w:txbxContent>
                      </wps:txbx>
                      <wps:bodyPr upright="1"/>
                    </wps:wsp>
                  </a:graphicData>
                </a:graphic>
              </wp:anchor>
            </w:drawing>
          </mc:Choice>
          <mc:Fallback>
            <w:pict>
              <v:shape id="_x0000_s1026" o:spid="_x0000_s1026" o:spt="202" type="#_x0000_t202" style="position:absolute;left:0pt;margin-left:306.6pt;margin-top:135.55pt;height:23.9pt;width:63.75pt;z-index:251675648;mso-width-relative:page;mso-height-relative:page;" filled="f" stroked="f" coordsize="21600,21600" o:gfxdata="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SiHVZ2QAAAAsBAAAPAAAAAAAAAAEAIAAAACIAAABkcnMvZG93bnJldi54bWxQ&#10;SwECFAAUAAAACACHTuJAwxXHD70BAABpAwAADgAAAAAAAAABACAAAAAoAQAAZHJzL2Uyb0RvYy54&#10;bWxQSwUGAAAAAAYABgBZAQAAVwUAAAAA&#10;">
                <v:fill on="f" focussize="0,0"/>
                <v:stroke on="f"/>
                <v:imagedata o:title=""/>
                <o:lock v:ext="edit" aspectratio="f"/>
                <v:textbox>
                  <w:txbxContent>
                    <w:p w14:paraId="0D5E9A9E">
                      <w:pPr>
                        <w:rPr>
                          <w:rFonts w:hint="eastAsia" w:eastAsia="宋体"/>
                          <w:b/>
                          <w:bCs/>
                          <w:color w:val="FF0000"/>
                          <w:sz w:val="18"/>
                          <w:szCs w:val="21"/>
                          <w:lang w:eastAsia="zh-CN"/>
                        </w:rPr>
                      </w:pPr>
                      <w:r>
                        <w:rPr>
                          <w:rFonts w:hint="eastAsia"/>
                          <w:b/>
                          <w:bCs/>
                          <w:color w:val="0000FF"/>
                          <w:sz w:val="18"/>
                          <w:szCs w:val="21"/>
                          <w:lang w:eastAsia="zh-CN"/>
                        </w:rPr>
                        <w:t>项目位置</w:t>
                      </w:r>
                    </w:p>
                  </w:txbxContent>
                </v:textbox>
              </v:shape>
            </w:pict>
          </mc:Fallback>
        </mc:AlternateContent>
      </w:r>
      <w:r>
        <w:rPr>
          <w:color w:val="auto"/>
          <w:sz w:val="21"/>
          <w:highlight w:val="none"/>
        </w:rPr>
        <mc:AlternateContent>
          <mc:Choice Requires="wps">
            <w:drawing>
              <wp:anchor distT="0" distB="0" distL="114300" distR="114300" simplePos="0" relativeHeight="251674624" behindDoc="0" locked="0" layoutInCell="1" allowOverlap="1">
                <wp:simplePos x="0" y="0"/>
                <wp:positionH relativeFrom="column">
                  <wp:posOffset>3750945</wp:posOffset>
                </wp:positionH>
                <wp:positionV relativeFrom="paragraph">
                  <wp:posOffset>1769110</wp:posOffset>
                </wp:positionV>
                <wp:extent cx="314325" cy="202565"/>
                <wp:effectExtent l="0" t="5080" r="9525" b="1905"/>
                <wp:wrapNone/>
                <wp:docPr id="57" name="直接箭头连接符 57"/>
                <wp:cNvGraphicFramePr/>
                <a:graphic xmlns:a="http://schemas.openxmlformats.org/drawingml/2006/main">
                  <a:graphicData uri="http://schemas.microsoft.com/office/word/2010/wordprocessingShape">
                    <wps:wsp>
                      <wps:cNvCnPr/>
                      <wps:spPr>
                        <a:xfrm flipH="1">
                          <a:off x="0" y="0"/>
                          <a:ext cx="314325" cy="202565"/>
                        </a:xfrm>
                        <a:prstGeom prst="straightConnector1">
                          <a:avLst/>
                        </a:prstGeom>
                        <a:ln w="12700" cap="flat" cmpd="sng">
                          <a:solidFill>
                            <a:srgbClr val="0000FF"/>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flip:x;margin-left:295.35pt;margin-top:139.3pt;height:15.95pt;width:24.75pt;z-index:251674624;mso-width-relative:page;mso-height-relative:page;" filled="f" stroked="t" coordsize="21600,21600" o:gfxdata="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bDvBj2QAAAAsBAAAP&#10;AAAAAAAAAAEAIAAAACIAAABkcnMvZG93bnJldi54bWxQSwECFAAUAAAACACHTuJAlUu15BcCAAAL&#10;BAAADgAAAAAAAAABACAAAAAoAQAAZHJzL2Uyb0RvYy54bWxQSwUGAAAAAAYABgBZAQAAsQUAAAAA&#10;">
                <v:fill on="f" focussize="0,0"/>
                <v:stroke weight="1pt" color="#0000FF" joinstyle="round" endarrow="block"/>
                <v:imagedata o:title=""/>
                <o:lock v:ext="edit" aspectratio="f"/>
              </v:shape>
            </w:pict>
          </mc:Fallback>
        </mc:AlternateContent>
      </w:r>
      <w:r>
        <w:rPr>
          <w:color w:val="auto"/>
          <w:sz w:val="21"/>
          <w:highlight w:val="none"/>
        </w:rPr>
        <mc:AlternateContent>
          <mc:Choice Requires="wps">
            <w:drawing>
              <wp:anchor distT="0" distB="0" distL="114300" distR="114300" simplePos="0" relativeHeight="251686912" behindDoc="0" locked="0" layoutInCell="1" allowOverlap="1">
                <wp:simplePos x="0" y="0"/>
                <wp:positionH relativeFrom="column">
                  <wp:posOffset>3655060</wp:posOffset>
                </wp:positionH>
                <wp:positionV relativeFrom="paragraph">
                  <wp:posOffset>1890395</wp:posOffset>
                </wp:positionV>
                <wp:extent cx="154305" cy="129540"/>
                <wp:effectExtent l="0" t="0" r="17145" b="3810"/>
                <wp:wrapNone/>
                <wp:docPr id="69" name="五角星 69"/>
                <wp:cNvGraphicFramePr/>
                <a:graphic xmlns:a="http://schemas.openxmlformats.org/drawingml/2006/main">
                  <a:graphicData uri="http://schemas.microsoft.com/office/word/2010/wordprocessingShape">
                    <wps:wsp>
                      <wps:cNvSpPr/>
                      <wps:spPr>
                        <a:xfrm>
                          <a:off x="0" y="0"/>
                          <a:ext cx="154305" cy="129540"/>
                        </a:xfrm>
                        <a:prstGeom prst="star5">
                          <a:avLst/>
                        </a:prstGeom>
                        <a:solidFill>
                          <a:schemeClr val="accent5"/>
                        </a:solidFill>
                        <a:ln>
                          <a:noFill/>
                        </a:ln>
                      </wps:spPr>
                      <wps:bodyPr upright="1"/>
                    </wps:wsp>
                  </a:graphicData>
                </a:graphic>
              </wp:anchor>
            </w:drawing>
          </mc:Choice>
          <mc:Fallback>
            <w:pict>
              <v:shape id="_x0000_s1026" o:spid="_x0000_s1026" style="position:absolute;left:0pt;margin-left:287.8pt;margin-top:148.85pt;height:10.2pt;width:12.15pt;z-index:251686912;mso-width-relative:page;mso-height-relative:page;" fillcolor="#4BACC6 [3208]" filled="t" stroked="f" coordsize="154305,129540" o:gfxdata="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H6/7F/bAAAACwEAAA8AAAAAAAAAAQAgAAAAIgAAAGRycy9kb3ducmV2Lnht&#10;bFBLAQIUABQAAAAIAIdO4kCApP9qvQEAAGQDAAAOAAAAAAAAAAEAIAAAACoBAABkcnMvZTJvRG9j&#10;LnhtbFBLBQYAAAAABgAGAFkBAABZBQAAAAA=&#10;" path="m0,49479l58939,49480,77152,0,95365,49480,154304,49479,106621,80059,124835,129539,77152,98959,29469,129539,47683,80059xe">
                <v:path o:connectlocs="77152,0;0,49479;29469,129539;124835,129539;154304,49479" o:connectangles="247,164,82,82,0"/>
                <v:fill on="t" focussize="0,0"/>
                <v:stroke on="f"/>
                <v:imagedata o:title=""/>
                <o:lock v:ext="edit" aspectratio="f"/>
              </v:shape>
            </w:pict>
          </mc:Fallback>
        </mc:AlternateContent>
      </w:r>
    </w:p>
    <w:p w14:paraId="138766EC">
      <w:pPr>
        <w:jc w:val="center"/>
        <w:rPr>
          <w:color w:val="auto"/>
          <w:highlight w:val="none"/>
        </w:rPr>
      </w:pPr>
    </w:p>
    <w:p w14:paraId="4ACF8E24">
      <w:pPr>
        <w:jc w:val="center"/>
        <w:rPr>
          <w:color w:val="auto"/>
          <w:highlight w:val="none"/>
        </w:rPr>
      </w:pPr>
    </w:p>
    <w:sectPr>
      <w:headerReference r:id="rId17" w:type="default"/>
      <w:footerReference r:id="rId18" w:type="default"/>
      <w:pgSz w:w="16838" w:h="11906" w:orient="landscape"/>
      <w:pgMar w:top="232" w:right="232" w:bottom="232" w:left="232" w:header="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AFF" w:usb1="C0007841" w:usb2="00000009" w:usb3="00000000" w:csb0="400001FF" w:csb1="FFFF0000"/>
  </w:font>
  <w:font w:name="宋体">
    <w:panose1 w:val="02010600030101010101"/>
    <w:charset w:val="72"/>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方正小标宋_GBK">
    <w:altName w:val="微软雅黑"/>
    <w:panose1 w:val="00000000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FangSong_GB2312">
    <w:altName w:val="仿宋"/>
    <w:panose1 w:val="00000000000000000000"/>
    <w:charset w:val="86"/>
    <w:family w:val="auto"/>
    <w:pitch w:val="default"/>
    <w:sig w:usb0="00000000" w:usb1="00000000" w:usb2="00000000" w:usb3="00000000" w:csb0="00040000" w:csb1="00000000"/>
  </w:font>
  <w:font w:name="方正小标宋简体">
    <w:altName w:val="Arial Unicode MS"/>
    <w:panose1 w:val="02000000000000000000"/>
    <w:charset w:val="86"/>
    <w:family w:val="script"/>
    <w:pitch w:val="default"/>
    <w:sig w:usb0="00000000" w:usb1="00000000" w:usb2="00000000" w:usb3="00000000" w:csb0="00040000" w:csb1="00000000"/>
  </w:font>
  <w:font w:name="Arial Unicode MS">
    <w:panose1 w:val="020B0604020202020204"/>
    <w:charset w:val="86"/>
    <w:family w:val="swiss"/>
    <w:pitch w:val="default"/>
    <w:sig w:usb0="FFFFFFFF" w:usb1="E9FFFFFF" w:usb2="0000003F" w:usb3="00000000" w:csb0="603F01FF" w:csb1="FFFF0000"/>
  </w:font>
  <w:font w:name="Arial">
    <w:panose1 w:val="020B0604020202020204"/>
    <w:charset w:val="00"/>
    <w:family w:val="auto"/>
    <w:pitch w:val="default"/>
    <w:sig w:usb0="E0002AFF" w:usb1="C0007843"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D2CECF">
    <w:pPr>
      <w:pStyle w:val="23"/>
      <w:ind w:right="360" w:firstLine="360"/>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D043C5">
    <w:pPr>
      <w:ind w:right="360" w:firstLine="360"/>
      <w:jc w:val="center"/>
      <w:rPr>
        <w:rFonts w:hint="eastAsia" w:ascii="宋体" w:hAnsi="宋体"/>
        <w:sz w:val="24"/>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0E8188"/>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F3130A">
    <w:pPr>
      <w:pStyle w:val="23"/>
      <w:framePr w:wrap="around" w:vAnchor="text" w:hAnchor="margin" w:xAlign="center" w:y="1"/>
      <w:rPr>
        <w:rStyle w:val="33"/>
      </w:rPr>
    </w:pPr>
    <w:r>
      <w:fldChar w:fldCharType="begin"/>
    </w:r>
    <w:r>
      <w:rPr>
        <w:rStyle w:val="33"/>
      </w:rPr>
      <w:instrText xml:space="preserve">PAGE  </w:instrText>
    </w:r>
    <w:r>
      <w:fldChar w:fldCharType="end"/>
    </w:r>
  </w:p>
  <w:p w14:paraId="47321954">
    <w:pPr>
      <w:pStyle w:val="23"/>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44AA23">
    <w:pPr>
      <w:pStyle w:val="23"/>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5021D1">
    <w:pPr>
      <w:pStyle w:val="23"/>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42EC18">
    <w:pPr>
      <w:jc w:val="center"/>
      <w:rPr>
        <w:rFonts w:hint="eastAsia" w:ascii="宋体" w:hAnsi="宋体"/>
        <w:sz w:val="24"/>
      </w:rPr>
    </w:pPr>
    <w:r>
      <w:rPr>
        <w:rFonts w:hint="eastAsia" w:ascii="宋体" w:hAnsi="宋体"/>
        <w:sz w:val="24"/>
      </w:rPr>
      <w:t xml:space="preserve">— </w:t>
    </w:r>
    <w:r>
      <w:rPr>
        <w:rFonts w:ascii="宋体" w:hAnsi="宋体"/>
        <w:sz w:val="24"/>
      </w:rPr>
      <w:fldChar w:fldCharType="begin"/>
    </w:r>
    <w:r>
      <w:rPr>
        <w:rFonts w:ascii="宋体" w:hAnsi="宋体"/>
        <w:sz w:val="24"/>
      </w:rPr>
      <w:instrText xml:space="preserve">PAGE  </w:instrText>
    </w:r>
    <w:r>
      <w:rPr>
        <w:rFonts w:ascii="宋体" w:hAnsi="宋体"/>
        <w:sz w:val="24"/>
      </w:rPr>
      <w:fldChar w:fldCharType="separate"/>
    </w:r>
    <w:r>
      <w:rPr>
        <w:rFonts w:ascii="宋体" w:hAnsi="宋体"/>
        <w:sz w:val="24"/>
      </w:rPr>
      <w:t>33</w:t>
    </w:r>
    <w:r>
      <w:rPr>
        <w:rFonts w:ascii="宋体" w:hAnsi="宋体"/>
        <w:sz w:val="24"/>
      </w:rPr>
      <w:fldChar w:fldCharType="end"/>
    </w:r>
    <w:r>
      <w:rPr>
        <w:rFonts w:ascii="宋体" w:hAnsi="宋体"/>
        <w:sz w:val="24"/>
      </w:rPr>
      <w:t xml:space="preserve"> </w:t>
    </w:r>
    <w:r>
      <w:rPr>
        <w:rFonts w:hint="eastAsia" w:ascii="宋体" w:hAnsi="宋体"/>
        <w:sz w:val="24"/>
      </w:rPr>
      <w:t>—</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26F15E">
    <w:pPr>
      <w:jc w:val="center"/>
      <w:rPr>
        <w:rFonts w:hint="eastAsia" w:ascii="宋体" w:hAnsi="宋体"/>
        <w:sz w:val="24"/>
      </w:rPr>
    </w:pPr>
    <w:r>
      <w:rPr>
        <w:rFonts w:hint="eastAsia" w:ascii="宋体" w:hAnsi="宋体"/>
        <w:sz w:val="24"/>
      </w:rPr>
      <w:t xml:space="preserve">— </w:t>
    </w:r>
    <w:r>
      <w:rPr>
        <w:rFonts w:ascii="宋体" w:hAnsi="宋体"/>
        <w:sz w:val="24"/>
      </w:rPr>
      <w:t xml:space="preserve"> </w:t>
    </w:r>
    <w:r>
      <w:rPr>
        <w:rFonts w:ascii="宋体" w:hAnsi="宋体"/>
        <w:sz w:val="24"/>
      </w:rPr>
      <w:fldChar w:fldCharType="begin"/>
    </w:r>
    <w:r>
      <w:rPr>
        <w:rFonts w:ascii="宋体" w:hAnsi="宋体"/>
        <w:sz w:val="24"/>
      </w:rPr>
      <w:instrText xml:space="preserve">PAGE  </w:instrText>
    </w:r>
    <w:r>
      <w:rPr>
        <w:rFonts w:ascii="宋体" w:hAnsi="宋体"/>
        <w:sz w:val="24"/>
      </w:rPr>
      <w:fldChar w:fldCharType="separate"/>
    </w:r>
    <w:r>
      <w:rPr>
        <w:rFonts w:ascii="宋体" w:hAnsi="宋体"/>
        <w:sz w:val="24"/>
      </w:rPr>
      <w:t>42</w:t>
    </w:r>
    <w:r>
      <w:rPr>
        <w:rFonts w:ascii="宋体" w:hAnsi="宋体"/>
        <w:sz w:val="24"/>
      </w:rPr>
      <w:fldChar w:fldCharType="end"/>
    </w:r>
    <w:r>
      <w:rPr>
        <w:rFonts w:ascii="宋体" w:hAnsi="宋体"/>
        <w:sz w:val="24"/>
      </w:rPr>
      <w:t xml:space="preserve"> </w:t>
    </w:r>
    <w:r>
      <w:rPr>
        <w:rFonts w:hint="eastAsia" w:ascii="宋体" w:hAnsi="宋体"/>
        <w:sz w:val="24"/>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B23297">
    <w:pPr>
      <w:jc w:val="center"/>
      <w:rPr>
        <w:rFonts w:hint="eastAsia" w:ascii="宋体" w:hAnsi="宋体"/>
        <w:sz w:val="24"/>
      </w:rPr>
    </w:pPr>
    <w:r>
      <w:rPr>
        <w:rFonts w:hint="eastAsia" w:ascii="宋体" w:hAnsi="宋体"/>
        <w:sz w:val="24"/>
      </w:rPr>
      <w:t xml:space="preserve">— </w:t>
    </w:r>
    <w:r>
      <w:rPr>
        <w:rFonts w:ascii="宋体" w:hAnsi="宋体"/>
        <w:sz w:val="24"/>
      </w:rPr>
      <w:t xml:space="preserve"> </w:t>
    </w:r>
    <w:r>
      <w:rPr>
        <w:rFonts w:ascii="宋体" w:hAnsi="宋体"/>
        <w:sz w:val="24"/>
      </w:rPr>
      <w:fldChar w:fldCharType="begin"/>
    </w:r>
    <w:r>
      <w:rPr>
        <w:rFonts w:ascii="宋体" w:hAnsi="宋体"/>
        <w:sz w:val="24"/>
      </w:rPr>
      <w:instrText xml:space="preserve">PAGE  </w:instrText>
    </w:r>
    <w:r>
      <w:rPr>
        <w:rFonts w:ascii="宋体" w:hAnsi="宋体"/>
        <w:sz w:val="24"/>
      </w:rPr>
      <w:fldChar w:fldCharType="separate"/>
    </w:r>
    <w:r>
      <w:rPr>
        <w:rFonts w:ascii="宋体" w:hAnsi="宋体"/>
        <w:sz w:val="24"/>
      </w:rPr>
      <w:t>78</w:t>
    </w:r>
    <w:r>
      <w:rPr>
        <w:rFonts w:ascii="宋体" w:hAnsi="宋体"/>
        <w:sz w:val="24"/>
      </w:rPr>
      <w:fldChar w:fldCharType="end"/>
    </w:r>
    <w:r>
      <w:rPr>
        <w:rFonts w:ascii="宋体" w:hAnsi="宋体"/>
        <w:sz w:val="24"/>
      </w:rPr>
      <w:t xml:space="preserve"> </w:t>
    </w:r>
    <w:r>
      <w:rPr>
        <w:rFonts w:hint="eastAsia" w:ascii="宋体" w:hAnsi="宋体"/>
        <w:sz w:val="24"/>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59709A">
    <w:pPr>
      <w:ind w:right="360" w:firstLine="360"/>
      <w:jc w:val="center"/>
      <w:rPr>
        <w:rFonts w:hint="eastAsia" w:ascii="宋体" w:hAnsi="宋体"/>
        <w:sz w:val="24"/>
      </w:rPr>
    </w:pPr>
    <w:r>
      <w:rPr>
        <w:rFonts w:ascii="宋体" w:hAnsi="宋体"/>
        <w:sz w:val="24"/>
      </w:rPr>
      <w:t xml:space="preserve">—  </w:t>
    </w:r>
    <w:r>
      <w:rPr>
        <w:rFonts w:ascii="宋体" w:hAnsi="宋体"/>
        <w:sz w:val="24"/>
      </w:rPr>
      <w:fldChar w:fldCharType="begin"/>
    </w:r>
    <w:r>
      <w:rPr>
        <w:rFonts w:ascii="宋体" w:hAnsi="宋体"/>
        <w:sz w:val="24"/>
      </w:rPr>
      <w:instrText xml:space="preserve">PAGE  </w:instrText>
    </w:r>
    <w:r>
      <w:rPr>
        <w:rFonts w:ascii="宋体" w:hAnsi="宋体"/>
        <w:sz w:val="24"/>
      </w:rPr>
      <w:fldChar w:fldCharType="separate"/>
    </w:r>
    <w:r>
      <w:rPr>
        <w:rFonts w:ascii="宋体" w:hAnsi="宋体"/>
        <w:sz w:val="24"/>
      </w:rPr>
      <w:t>79</w:t>
    </w:r>
    <w:r>
      <w:rPr>
        <w:rFonts w:ascii="宋体" w:hAnsi="宋体"/>
        <w:sz w:val="24"/>
      </w:rPr>
      <w:fldChar w:fldCharType="end"/>
    </w:r>
    <w:r>
      <w:rPr>
        <w:rFonts w:hint="eastAsia" w:ascii="宋体" w:hAnsi="宋体"/>
        <w:sz w:val="24"/>
      </w:rPr>
      <w:t xml:space="preserve">  </w:t>
    </w:r>
    <w:r>
      <w:rPr>
        <w:rFonts w:ascii="宋体" w:hAnsi="宋体"/>
        <w:sz w:val="24"/>
      </w:rPr>
      <w:t>—</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1AEF7B">
    <w:pPr>
      <w:ind w:right="360" w:firstLine="360"/>
      <w:jc w:val="center"/>
      <w:rPr>
        <w:rFonts w:hint="eastAsia" w:ascii="宋体" w:hAnsi="宋体"/>
        <w:sz w:val="24"/>
      </w:rPr>
    </w:pPr>
    <w:r>
      <w:rPr>
        <w:rFonts w:hint="eastAsia" w:ascii="宋体" w:hAnsi="宋体"/>
        <w:sz w:val="24"/>
      </w:rPr>
      <w:t>附件</w:t>
    </w:r>
    <w:r>
      <w:rPr>
        <w:rFonts w:ascii="宋体" w:hAnsi="宋体"/>
        <w:sz w:val="24"/>
      </w:rPr>
      <w:t xml:space="preserve"> </w:t>
    </w:r>
    <w:r>
      <w:rPr>
        <w:rFonts w:ascii="宋体" w:hAnsi="宋体"/>
        <w:sz w:val="24"/>
      </w:rPr>
      <w:fldChar w:fldCharType="begin"/>
    </w:r>
    <w:r>
      <w:rPr>
        <w:rFonts w:ascii="宋体" w:hAnsi="宋体"/>
        <w:sz w:val="24"/>
      </w:rPr>
      <w:instrText xml:space="preserve">PAGE  </w:instrText>
    </w:r>
    <w:r>
      <w:rPr>
        <w:rFonts w:ascii="宋体" w:hAnsi="宋体"/>
        <w:sz w:val="24"/>
      </w:rPr>
      <w:fldChar w:fldCharType="separate"/>
    </w:r>
    <w:r>
      <w:rPr>
        <w:rFonts w:ascii="宋体" w:hAnsi="宋体"/>
        <w:sz w:val="24"/>
      </w:rPr>
      <w:t>79</w:t>
    </w:r>
    <w:r>
      <w:rPr>
        <w:rFonts w:ascii="宋体" w:hAnsi="宋体"/>
        <w:sz w:val="24"/>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A76578"/>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656002">
    <w:pPr>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B45ADE">
    <w:pPr>
      <w:pStyle w:val="1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950B72">
    <w:pPr>
      <w:pStyle w:val="19"/>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A32301">
    <w:pP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9042EC9"/>
    <w:multiLevelType w:val="singleLevel"/>
    <w:tmpl w:val="79042EC9"/>
    <w:lvl w:ilvl="0" w:tentative="0">
      <w:start w:val="1"/>
      <w:numFmt w:val="bullet"/>
      <w:pStyle w:val="17"/>
      <w:lvlText w:val=""/>
      <w:lvlJc w:val="left"/>
      <w:pPr>
        <w:tabs>
          <w:tab w:val="left" w:pos="2040"/>
        </w:tabs>
        <w:ind w:left="2040" w:hanging="36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c4MTUzNGMyMDBlNjI1NTZlN2I1NjhiYjA4MDBiYjQifQ=="/>
  </w:docVars>
  <w:rsids>
    <w:rsidRoot w:val="00172A27"/>
    <w:rsid w:val="0000040C"/>
    <w:rsid w:val="0000051C"/>
    <w:rsid w:val="00000878"/>
    <w:rsid w:val="00001407"/>
    <w:rsid w:val="0000160F"/>
    <w:rsid w:val="00001AA8"/>
    <w:rsid w:val="00002189"/>
    <w:rsid w:val="00003216"/>
    <w:rsid w:val="000035A3"/>
    <w:rsid w:val="00003920"/>
    <w:rsid w:val="0000434C"/>
    <w:rsid w:val="00004FC1"/>
    <w:rsid w:val="00005A33"/>
    <w:rsid w:val="000060B3"/>
    <w:rsid w:val="00006E99"/>
    <w:rsid w:val="000077E5"/>
    <w:rsid w:val="000078DF"/>
    <w:rsid w:val="000101D0"/>
    <w:rsid w:val="000104A2"/>
    <w:rsid w:val="0001057D"/>
    <w:rsid w:val="000105C8"/>
    <w:rsid w:val="00010A62"/>
    <w:rsid w:val="000117AA"/>
    <w:rsid w:val="000121CC"/>
    <w:rsid w:val="0001238C"/>
    <w:rsid w:val="00012660"/>
    <w:rsid w:val="00014F34"/>
    <w:rsid w:val="00015B56"/>
    <w:rsid w:val="00015E20"/>
    <w:rsid w:val="000161A5"/>
    <w:rsid w:val="000170F0"/>
    <w:rsid w:val="00017555"/>
    <w:rsid w:val="00017560"/>
    <w:rsid w:val="000176DD"/>
    <w:rsid w:val="00020211"/>
    <w:rsid w:val="00020FEA"/>
    <w:rsid w:val="00021380"/>
    <w:rsid w:val="0002170B"/>
    <w:rsid w:val="00021778"/>
    <w:rsid w:val="00021B39"/>
    <w:rsid w:val="00021E8D"/>
    <w:rsid w:val="00022311"/>
    <w:rsid w:val="000225CA"/>
    <w:rsid w:val="00023C58"/>
    <w:rsid w:val="00023E8A"/>
    <w:rsid w:val="00024527"/>
    <w:rsid w:val="00025258"/>
    <w:rsid w:val="00025C9A"/>
    <w:rsid w:val="00025F6F"/>
    <w:rsid w:val="00026260"/>
    <w:rsid w:val="0002698B"/>
    <w:rsid w:val="00027E58"/>
    <w:rsid w:val="00030A91"/>
    <w:rsid w:val="00030C20"/>
    <w:rsid w:val="0003101B"/>
    <w:rsid w:val="000312CA"/>
    <w:rsid w:val="00032024"/>
    <w:rsid w:val="00032272"/>
    <w:rsid w:val="000329E1"/>
    <w:rsid w:val="00032EC7"/>
    <w:rsid w:val="00033685"/>
    <w:rsid w:val="00034086"/>
    <w:rsid w:val="0003451F"/>
    <w:rsid w:val="00034C72"/>
    <w:rsid w:val="0003568D"/>
    <w:rsid w:val="000357B1"/>
    <w:rsid w:val="0003585A"/>
    <w:rsid w:val="00036309"/>
    <w:rsid w:val="000365D0"/>
    <w:rsid w:val="000371BC"/>
    <w:rsid w:val="00037752"/>
    <w:rsid w:val="00040041"/>
    <w:rsid w:val="00040329"/>
    <w:rsid w:val="00040352"/>
    <w:rsid w:val="000404BB"/>
    <w:rsid w:val="000409C1"/>
    <w:rsid w:val="0004195A"/>
    <w:rsid w:val="0004364B"/>
    <w:rsid w:val="00043CA4"/>
    <w:rsid w:val="00043D64"/>
    <w:rsid w:val="000440B7"/>
    <w:rsid w:val="00044E53"/>
    <w:rsid w:val="00045267"/>
    <w:rsid w:val="00045647"/>
    <w:rsid w:val="0004610C"/>
    <w:rsid w:val="00046A01"/>
    <w:rsid w:val="00050197"/>
    <w:rsid w:val="000504E6"/>
    <w:rsid w:val="00050751"/>
    <w:rsid w:val="000508D7"/>
    <w:rsid w:val="00050A06"/>
    <w:rsid w:val="00050A7B"/>
    <w:rsid w:val="00050CA1"/>
    <w:rsid w:val="00050CB5"/>
    <w:rsid w:val="00050E69"/>
    <w:rsid w:val="00051296"/>
    <w:rsid w:val="00051678"/>
    <w:rsid w:val="00051B8A"/>
    <w:rsid w:val="0005317A"/>
    <w:rsid w:val="00053345"/>
    <w:rsid w:val="000533F6"/>
    <w:rsid w:val="00053446"/>
    <w:rsid w:val="0005361E"/>
    <w:rsid w:val="00053F65"/>
    <w:rsid w:val="0005419E"/>
    <w:rsid w:val="00054938"/>
    <w:rsid w:val="000554B1"/>
    <w:rsid w:val="00057380"/>
    <w:rsid w:val="00057AD4"/>
    <w:rsid w:val="000601DD"/>
    <w:rsid w:val="0006159C"/>
    <w:rsid w:val="0006192B"/>
    <w:rsid w:val="00061A47"/>
    <w:rsid w:val="00061A82"/>
    <w:rsid w:val="00061B1F"/>
    <w:rsid w:val="000622FA"/>
    <w:rsid w:val="00063626"/>
    <w:rsid w:val="000638BE"/>
    <w:rsid w:val="00063EFC"/>
    <w:rsid w:val="00064455"/>
    <w:rsid w:val="0006484B"/>
    <w:rsid w:val="00064AF3"/>
    <w:rsid w:val="00064CD1"/>
    <w:rsid w:val="00064F3B"/>
    <w:rsid w:val="000651FD"/>
    <w:rsid w:val="00065831"/>
    <w:rsid w:val="00065A48"/>
    <w:rsid w:val="00065A96"/>
    <w:rsid w:val="000663FA"/>
    <w:rsid w:val="00066826"/>
    <w:rsid w:val="00066C29"/>
    <w:rsid w:val="00066CFB"/>
    <w:rsid w:val="00067712"/>
    <w:rsid w:val="00067A39"/>
    <w:rsid w:val="00067C56"/>
    <w:rsid w:val="00067CD5"/>
    <w:rsid w:val="00067D78"/>
    <w:rsid w:val="000702A7"/>
    <w:rsid w:val="00070470"/>
    <w:rsid w:val="0007074A"/>
    <w:rsid w:val="00070F4A"/>
    <w:rsid w:val="00071176"/>
    <w:rsid w:val="000711F9"/>
    <w:rsid w:val="00071F09"/>
    <w:rsid w:val="00072474"/>
    <w:rsid w:val="0007262D"/>
    <w:rsid w:val="0007294D"/>
    <w:rsid w:val="00072A43"/>
    <w:rsid w:val="00072CDE"/>
    <w:rsid w:val="000733C4"/>
    <w:rsid w:val="000735F8"/>
    <w:rsid w:val="00073A1D"/>
    <w:rsid w:val="0007467E"/>
    <w:rsid w:val="0007472E"/>
    <w:rsid w:val="00074783"/>
    <w:rsid w:val="00074FCD"/>
    <w:rsid w:val="000751F0"/>
    <w:rsid w:val="00075E06"/>
    <w:rsid w:val="000760BC"/>
    <w:rsid w:val="000765EB"/>
    <w:rsid w:val="00077019"/>
    <w:rsid w:val="00077559"/>
    <w:rsid w:val="00077A54"/>
    <w:rsid w:val="000802E4"/>
    <w:rsid w:val="0008070B"/>
    <w:rsid w:val="00080A38"/>
    <w:rsid w:val="00080C7B"/>
    <w:rsid w:val="00080D41"/>
    <w:rsid w:val="00080EDA"/>
    <w:rsid w:val="00080F15"/>
    <w:rsid w:val="000810AC"/>
    <w:rsid w:val="000816A7"/>
    <w:rsid w:val="00081A02"/>
    <w:rsid w:val="00082231"/>
    <w:rsid w:val="00082883"/>
    <w:rsid w:val="00082C4A"/>
    <w:rsid w:val="00082EE5"/>
    <w:rsid w:val="0008361E"/>
    <w:rsid w:val="000838E5"/>
    <w:rsid w:val="00083E8C"/>
    <w:rsid w:val="00083EC5"/>
    <w:rsid w:val="00084230"/>
    <w:rsid w:val="00084402"/>
    <w:rsid w:val="000844C4"/>
    <w:rsid w:val="00084AD1"/>
    <w:rsid w:val="00084E74"/>
    <w:rsid w:val="00084FCD"/>
    <w:rsid w:val="000856ED"/>
    <w:rsid w:val="00085828"/>
    <w:rsid w:val="000858DC"/>
    <w:rsid w:val="000859D6"/>
    <w:rsid w:val="00085AD5"/>
    <w:rsid w:val="000866A5"/>
    <w:rsid w:val="000869E6"/>
    <w:rsid w:val="00086A8A"/>
    <w:rsid w:val="00086D10"/>
    <w:rsid w:val="00086EF5"/>
    <w:rsid w:val="00086F15"/>
    <w:rsid w:val="00087B0B"/>
    <w:rsid w:val="00090867"/>
    <w:rsid w:val="00090879"/>
    <w:rsid w:val="00090987"/>
    <w:rsid w:val="00090DB5"/>
    <w:rsid w:val="00091648"/>
    <w:rsid w:val="000921E9"/>
    <w:rsid w:val="00092566"/>
    <w:rsid w:val="00092582"/>
    <w:rsid w:val="00092616"/>
    <w:rsid w:val="00092A16"/>
    <w:rsid w:val="00092A17"/>
    <w:rsid w:val="00092A51"/>
    <w:rsid w:val="00092D38"/>
    <w:rsid w:val="0009301F"/>
    <w:rsid w:val="0009318E"/>
    <w:rsid w:val="0009377B"/>
    <w:rsid w:val="000942C6"/>
    <w:rsid w:val="00094306"/>
    <w:rsid w:val="00094874"/>
    <w:rsid w:val="000949C2"/>
    <w:rsid w:val="00094EB5"/>
    <w:rsid w:val="00094FCF"/>
    <w:rsid w:val="00095035"/>
    <w:rsid w:val="000954EA"/>
    <w:rsid w:val="000956A3"/>
    <w:rsid w:val="000956F8"/>
    <w:rsid w:val="00095980"/>
    <w:rsid w:val="00095A0B"/>
    <w:rsid w:val="00096019"/>
    <w:rsid w:val="00096BFF"/>
    <w:rsid w:val="00096EE3"/>
    <w:rsid w:val="00097650"/>
    <w:rsid w:val="0009793D"/>
    <w:rsid w:val="00097BCE"/>
    <w:rsid w:val="00097C6D"/>
    <w:rsid w:val="00097CAE"/>
    <w:rsid w:val="00097CDD"/>
    <w:rsid w:val="000A0018"/>
    <w:rsid w:val="000A00A9"/>
    <w:rsid w:val="000A0762"/>
    <w:rsid w:val="000A0794"/>
    <w:rsid w:val="000A0DF0"/>
    <w:rsid w:val="000A1381"/>
    <w:rsid w:val="000A2085"/>
    <w:rsid w:val="000A20C9"/>
    <w:rsid w:val="000A251B"/>
    <w:rsid w:val="000A2B7F"/>
    <w:rsid w:val="000A30C8"/>
    <w:rsid w:val="000A31A3"/>
    <w:rsid w:val="000A3713"/>
    <w:rsid w:val="000A3BCD"/>
    <w:rsid w:val="000A3BCF"/>
    <w:rsid w:val="000A3BF8"/>
    <w:rsid w:val="000A434D"/>
    <w:rsid w:val="000A43D1"/>
    <w:rsid w:val="000A4580"/>
    <w:rsid w:val="000A5317"/>
    <w:rsid w:val="000A5F35"/>
    <w:rsid w:val="000A634F"/>
    <w:rsid w:val="000A741E"/>
    <w:rsid w:val="000A7466"/>
    <w:rsid w:val="000A787F"/>
    <w:rsid w:val="000A78B7"/>
    <w:rsid w:val="000A7CA3"/>
    <w:rsid w:val="000A7E44"/>
    <w:rsid w:val="000B00C3"/>
    <w:rsid w:val="000B058F"/>
    <w:rsid w:val="000B079C"/>
    <w:rsid w:val="000B0BD7"/>
    <w:rsid w:val="000B0C73"/>
    <w:rsid w:val="000B111D"/>
    <w:rsid w:val="000B1A79"/>
    <w:rsid w:val="000B1B7F"/>
    <w:rsid w:val="000B2A45"/>
    <w:rsid w:val="000B2E68"/>
    <w:rsid w:val="000B321E"/>
    <w:rsid w:val="000B33B6"/>
    <w:rsid w:val="000B3615"/>
    <w:rsid w:val="000B39FB"/>
    <w:rsid w:val="000B4467"/>
    <w:rsid w:val="000B4C94"/>
    <w:rsid w:val="000B4DB9"/>
    <w:rsid w:val="000B50FB"/>
    <w:rsid w:val="000B555C"/>
    <w:rsid w:val="000B5CBC"/>
    <w:rsid w:val="000B66D6"/>
    <w:rsid w:val="000B7338"/>
    <w:rsid w:val="000B7562"/>
    <w:rsid w:val="000B7BC7"/>
    <w:rsid w:val="000B7CA5"/>
    <w:rsid w:val="000C09AC"/>
    <w:rsid w:val="000C171B"/>
    <w:rsid w:val="000C1A39"/>
    <w:rsid w:val="000C1B0E"/>
    <w:rsid w:val="000C1C20"/>
    <w:rsid w:val="000C27D4"/>
    <w:rsid w:val="000C29B3"/>
    <w:rsid w:val="000C383F"/>
    <w:rsid w:val="000C3A68"/>
    <w:rsid w:val="000C4997"/>
    <w:rsid w:val="000C4A34"/>
    <w:rsid w:val="000C4BA9"/>
    <w:rsid w:val="000C5786"/>
    <w:rsid w:val="000C5ACE"/>
    <w:rsid w:val="000C5BA2"/>
    <w:rsid w:val="000C5BF9"/>
    <w:rsid w:val="000C5E4C"/>
    <w:rsid w:val="000C6810"/>
    <w:rsid w:val="000C6EB0"/>
    <w:rsid w:val="000C7653"/>
    <w:rsid w:val="000C767F"/>
    <w:rsid w:val="000C7E6C"/>
    <w:rsid w:val="000D058E"/>
    <w:rsid w:val="000D0911"/>
    <w:rsid w:val="000D0A6B"/>
    <w:rsid w:val="000D0B86"/>
    <w:rsid w:val="000D12E1"/>
    <w:rsid w:val="000D15DE"/>
    <w:rsid w:val="000D1B1E"/>
    <w:rsid w:val="000D1CBF"/>
    <w:rsid w:val="000D1DB3"/>
    <w:rsid w:val="000D203B"/>
    <w:rsid w:val="000D2126"/>
    <w:rsid w:val="000D242D"/>
    <w:rsid w:val="000D2552"/>
    <w:rsid w:val="000D2934"/>
    <w:rsid w:val="000D3373"/>
    <w:rsid w:val="000D3AB7"/>
    <w:rsid w:val="000D4129"/>
    <w:rsid w:val="000D4312"/>
    <w:rsid w:val="000D4DA0"/>
    <w:rsid w:val="000D506A"/>
    <w:rsid w:val="000D53CA"/>
    <w:rsid w:val="000D5A44"/>
    <w:rsid w:val="000D5B71"/>
    <w:rsid w:val="000D602D"/>
    <w:rsid w:val="000D63E2"/>
    <w:rsid w:val="000D6558"/>
    <w:rsid w:val="000D66E4"/>
    <w:rsid w:val="000D6B5A"/>
    <w:rsid w:val="000D74D2"/>
    <w:rsid w:val="000D7511"/>
    <w:rsid w:val="000E01E3"/>
    <w:rsid w:val="000E04AD"/>
    <w:rsid w:val="000E07CC"/>
    <w:rsid w:val="000E0B92"/>
    <w:rsid w:val="000E0F34"/>
    <w:rsid w:val="000E1951"/>
    <w:rsid w:val="000E1CA6"/>
    <w:rsid w:val="000E37AD"/>
    <w:rsid w:val="000E37AE"/>
    <w:rsid w:val="000E3ED2"/>
    <w:rsid w:val="000E3F15"/>
    <w:rsid w:val="000E440F"/>
    <w:rsid w:val="000E44CB"/>
    <w:rsid w:val="000E4B34"/>
    <w:rsid w:val="000E4E19"/>
    <w:rsid w:val="000E523B"/>
    <w:rsid w:val="000E5A8B"/>
    <w:rsid w:val="000E5B1B"/>
    <w:rsid w:val="000E5B24"/>
    <w:rsid w:val="000E6C8E"/>
    <w:rsid w:val="000E70F7"/>
    <w:rsid w:val="000E720B"/>
    <w:rsid w:val="000E7364"/>
    <w:rsid w:val="000F0185"/>
    <w:rsid w:val="000F0277"/>
    <w:rsid w:val="000F1829"/>
    <w:rsid w:val="000F18E4"/>
    <w:rsid w:val="000F1A1E"/>
    <w:rsid w:val="000F1FBD"/>
    <w:rsid w:val="000F22D2"/>
    <w:rsid w:val="000F2387"/>
    <w:rsid w:val="000F252C"/>
    <w:rsid w:val="000F25EE"/>
    <w:rsid w:val="000F2680"/>
    <w:rsid w:val="000F30F3"/>
    <w:rsid w:val="000F3511"/>
    <w:rsid w:val="000F3C22"/>
    <w:rsid w:val="000F4434"/>
    <w:rsid w:val="000F507C"/>
    <w:rsid w:val="000F5467"/>
    <w:rsid w:val="000F5F5B"/>
    <w:rsid w:val="000F6286"/>
    <w:rsid w:val="000F6B2A"/>
    <w:rsid w:val="000F6BFC"/>
    <w:rsid w:val="000F70B3"/>
    <w:rsid w:val="000F7213"/>
    <w:rsid w:val="000F7D27"/>
    <w:rsid w:val="000F7EF7"/>
    <w:rsid w:val="0010016B"/>
    <w:rsid w:val="001002CA"/>
    <w:rsid w:val="00100932"/>
    <w:rsid w:val="00100D48"/>
    <w:rsid w:val="001011C3"/>
    <w:rsid w:val="0010149C"/>
    <w:rsid w:val="0010172A"/>
    <w:rsid w:val="00101E6D"/>
    <w:rsid w:val="0010279E"/>
    <w:rsid w:val="00102D34"/>
    <w:rsid w:val="00102DD7"/>
    <w:rsid w:val="00103681"/>
    <w:rsid w:val="00104260"/>
    <w:rsid w:val="00104BC0"/>
    <w:rsid w:val="00104CEA"/>
    <w:rsid w:val="00105015"/>
    <w:rsid w:val="001064CA"/>
    <w:rsid w:val="00107075"/>
    <w:rsid w:val="00107909"/>
    <w:rsid w:val="00107B59"/>
    <w:rsid w:val="00107FE5"/>
    <w:rsid w:val="001100BF"/>
    <w:rsid w:val="001103F1"/>
    <w:rsid w:val="00110657"/>
    <w:rsid w:val="00110BF3"/>
    <w:rsid w:val="00110CF4"/>
    <w:rsid w:val="00111362"/>
    <w:rsid w:val="00111673"/>
    <w:rsid w:val="00111DE6"/>
    <w:rsid w:val="00111DED"/>
    <w:rsid w:val="00112413"/>
    <w:rsid w:val="00113BC4"/>
    <w:rsid w:val="00113C5A"/>
    <w:rsid w:val="00114924"/>
    <w:rsid w:val="0011511D"/>
    <w:rsid w:val="00115365"/>
    <w:rsid w:val="00115CF9"/>
    <w:rsid w:val="0011604B"/>
    <w:rsid w:val="00116663"/>
    <w:rsid w:val="00116C08"/>
    <w:rsid w:val="00116CD2"/>
    <w:rsid w:val="001173B8"/>
    <w:rsid w:val="00117FBB"/>
    <w:rsid w:val="00120D30"/>
    <w:rsid w:val="00120F2A"/>
    <w:rsid w:val="00121046"/>
    <w:rsid w:val="001211BE"/>
    <w:rsid w:val="00121C74"/>
    <w:rsid w:val="001226E2"/>
    <w:rsid w:val="00122782"/>
    <w:rsid w:val="00122B44"/>
    <w:rsid w:val="00123114"/>
    <w:rsid w:val="001233E2"/>
    <w:rsid w:val="0012390D"/>
    <w:rsid w:val="00124D50"/>
    <w:rsid w:val="00125231"/>
    <w:rsid w:val="0012536F"/>
    <w:rsid w:val="001259FB"/>
    <w:rsid w:val="0012659C"/>
    <w:rsid w:val="00126958"/>
    <w:rsid w:val="001269BB"/>
    <w:rsid w:val="00126A55"/>
    <w:rsid w:val="001270E7"/>
    <w:rsid w:val="00127111"/>
    <w:rsid w:val="001274D9"/>
    <w:rsid w:val="0012756D"/>
    <w:rsid w:val="00130461"/>
    <w:rsid w:val="0013046B"/>
    <w:rsid w:val="00130686"/>
    <w:rsid w:val="00130D75"/>
    <w:rsid w:val="00131F42"/>
    <w:rsid w:val="00131FD4"/>
    <w:rsid w:val="00131FFF"/>
    <w:rsid w:val="00132127"/>
    <w:rsid w:val="00132371"/>
    <w:rsid w:val="00132B9D"/>
    <w:rsid w:val="00132C9A"/>
    <w:rsid w:val="00132CFF"/>
    <w:rsid w:val="0013409D"/>
    <w:rsid w:val="00134766"/>
    <w:rsid w:val="00135180"/>
    <w:rsid w:val="001352DA"/>
    <w:rsid w:val="0013532C"/>
    <w:rsid w:val="0013540C"/>
    <w:rsid w:val="00135631"/>
    <w:rsid w:val="001357F1"/>
    <w:rsid w:val="001359A3"/>
    <w:rsid w:val="00135F0A"/>
    <w:rsid w:val="00135F9F"/>
    <w:rsid w:val="001361D3"/>
    <w:rsid w:val="001363BE"/>
    <w:rsid w:val="00137125"/>
    <w:rsid w:val="001371AD"/>
    <w:rsid w:val="00137782"/>
    <w:rsid w:val="00137ED5"/>
    <w:rsid w:val="001406E1"/>
    <w:rsid w:val="00140986"/>
    <w:rsid w:val="00140B22"/>
    <w:rsid w:val="00140FA8"/>
    <w:rsid w:val="0014127E"/>
    <w:rsid w:val="00141A09"/>
    <w:rsid w:val="00142603"/>
    <w:rsid w:val="00142AAF"/>
    <w:rsid w:val="00142FEB"/>
    <w:rsid w:val="001436C7"/>
    <w:rsid w:val="00143A2D"/>
    <w:rsid w:val="00143B82"/>
    <w:rsid w:val="00143CAA"/>
    <w:rsid w:val="00143F8D"/>
    <w:rsid w:val="0014407A"/>
    <w:rsid w:val="00144175"/>
    <w:rsid w:val="0014423E"/>
    <w:rsid w:val="00144246"/>
    <w:rsid w:val="001446A3"/>
    <w:rsid w:val="0014474C"/>
    <w:rsid w:val="001451D3"/>
    <w:rsid w:val="001459B2"/>
    <w:rsid w:val="00145A41"/>
    <w:rsid w:val="00146F0F"/>
    <w:rsid w:val="00147003"/>
    <w:rsid w:val="00147E95"/>
    <w:rsid w:val="00150AF0"/>
    <w:rsid w:val="00151266"/>
    <w:rsid w:val="001514A5"/>
    <w:rsid w:val="00151620"/>
    <w:rsid w:val="00151675"/>
    <w:rsid w:val="00151A9F"/>
    <w:rsid w:val="00152829"/>
    <w:rsid w:val="00153667"/>
    <w:rsid w:val="001539D0"/>
    <w:rsid w:val="00153B3A"/>
    <w:rsid w:val="00153CAE"/>
    <w:rsid w:val="00153D54"/>
    <w:rsid w:val="00153DC5"/>
    <w:rsid w:val="00153EA3"/>
    <w:rsid w:val="00154355"/>
    <w:rsid w:val="0015492D"/>
    <w:rsid w:val="00155139"/>
    <w:rsid w:val="00155FB0"/>
    <w:rsid w:val="0015611B"/>
    <w:rsid w:val="00156522"/>
    <w:rsid w:val="001570A9"/>
    <w:rsid w:val="001571C6"/>
    <w:rsid w:val="00157435"/>
    <w:rsid w:val="0015759B"/>
    <w:rsid w:val="00157ACC"/>
    <w:rsid w:val="00157BB8"/>
    <w:rsid w:val="0016151F"/>
    <w:rsid w:val="0016197E"/>
    <w:rsid w:val="0016219A"/>
    <w:rsid w:val="0016267A"/>
    <w:rsid w:val="0016283D"/>
    <w:rsid w:val="001628F8"/>
    <w:rsid w:val="00162C97"/>
    <w:rsid w:val="001634AC"/>
    <w:rsid w:val="001634D6"/>
    <w:rsid w:val="00163BD0"/>
    <w:rsid w:val="00163F9F"/>
    <w:rsid w:val="001641FF"/>
    <w:rsid w:val="00164365"/>
    <w:rsid w:val="00164778"/>
    <w:rsid w:val="00164884"/>
    <w:rsid w:val="00165049"/>
    <w:rsid w:val="001655DD"/>
    <w:rsid w:val="001656B3"/>
    <w:rsid w:val="00165985"/>
    <w:rsid w:val="00165A94"/>
    <w:rsid w:val="001660C5"/>
    <w:rsid w:val="0016664C"/>
    <w:rsid w:val="001676A2"/>
    <w:rsid w:val="001678F1"/>
    <w:rsid w:val="0017026D"/>
    <w:rsid w:val="00170FE5"/>
    <w:rsid w:val="0017113E"/>
    <w:rsid w:val="00171EDE"/>
    <w:rsid w:val="001720A9"/>
    <w:rsid w:val="001723E5"/>
    <w:rsid w:val="001724A3"/>
    <w:rsid w:val="001725AC"/>
    <w:rsid w:val="00172A27"/>
    <w:rsid w:val="00172D8E"/>
    <w:rsid w:val="00173A48"/>
    <w:rsid w:val="00173F8B"/>
    <w:rsid w:val="00174713"/>
    <w:rsid w:val="0017478E"/>
    <w:rsid w:val="00174BB7"/>
    <w:rsid w:val="0017504D"/>
    <w:rsid w:val="00175238"/>
    <w:rsid w:val="001753C1"/>
    <w:rsid w:val="001756E6"/>
    <w:rsid w:val="00175AE7"/>
    <w:rsid w:val="00175FED"/>
    <w:rsid w:val="00176030"/>
    <w:rsid w:val="001760FA"/>
    <w:rsid w:val="001762BA"/>
    <w:rsid w:val="0017640B"/>
    <w:rsid w:val="00176586"/>
    <w:rsid w:val="001765B7"/>
    <w:rsid w:val="0017671A"/>
    <w:rsid w:val="00177422"/>
    <w:rsid w:val="00177A45"/>
    <w:rsid w:val="00177CD5"/>
    <w:rsid w:val="00177E9D"/>
    <w:rsid w:val="00177EF0"/>
    <w:rsid w:val="001807B4"/>
    <w:rsid w:val="00180AD0"/>
    <w:rsid w:val="00180D65"/>
    <w:rsid w:val="00180F21"/>
    <w:rsid w:val="0018106F"/>
    <w:rsid w:val="001811D5"/>
    <w:rsid w:val="00181BF8"/>
    <w:rsid w:val="00181F38"/>
    <w:rsid w:val="00182A59"/>
    <w:rsid w:val="00182A74"/>
    <w:rsid w:val="00182EA5"/>
    <w:rsid w:val="00183478"/>
    <w:rsid w:val="001837C2"/>
    <w:rsid w:val="00183A3E"/>
    <w:rsid w:val="00184590"/>
    <w:rsid w:val="001845C4"/>
    <w:rsid w:val="00185114"/>
    <w:rsid w:val="0018661C"/>
    <w:rsid w:val="00186820"/>
    <w:rsid w:val="00186F43"/>
    <w:rsid w:val="001870D1"/>
    <w:rsid w:val="001870F7"/>
    <w:rsid w:val="0018724E"/>
    <w:rsid w:val="0018781E"/>
    <w:rsid w:val="00187DD6"/>
    <w:rsid w:val="00187E6D"/>
    <w:rsid w:val="001902A8"/>
    <w:rsid w:val="00190530"/>
    <w:rsid w:val="001909B1"/>
    <w:rsid w:val="0019133F"/>
    <w:rsid w:val="0019187E"/>
    <w:rsid w:val="00191BE9"/>
    <w:rsid w:val="00191CC4"/>
    <w:rsid w:val="00191D49"/>
    <w:rsid w:val="0019262D"/>
    <w:rsid w:val="00192BB1"/>
    <w:rsid w:val="0019309D"/>
    <w:rsid w:val="0019333D"/>
    <w:rsid w:val="00193DA5"/>
    <w:rsid w:val="00193F3E"/>
    <w:rsid w:val="0019480B"/>
    <w:rsid w:val="001948F4"/>
    <w:rsid w:val="00194ED3"/>
    <w:rsid w:val="00194EE4"/>
    <w:rsid w:val="00194F19"/>
    <w:rsid w:val="001950DC"/>
    <w:rsid w:val="0019516A"/>
    <w:rsid w:val="00195431"/>
    <w:rsid w:val="001958EA"/>
    <w:rsid w:val="00195AF4"/>
    <w:rsid w:val="00195D02"/>
    <w:rsid w:val="00195D2C"/>
    <w:rsid w:val="00195F64"/>
    <w:rsid w:val="001961CF"/>
    <w:rsid w:val="00196433"/>
    <w:rsid w:val="001969A6"/>
    <w:rsid w:val="001978A4"/>
    <w:rsid w:val="00197993"/>
    <w:rsid w:val="00197AAD"/>
    <w:rsid w:val="00197B74"/>
    <w:rsid w:val="001A17B4"/>
    <w:rsid w:val="001A1B35"/>
    <w:rsid w:val="001A1D86"/>
    <w:rsid w:val="001A2571"/>
    <w:rsid w:val="001A2652"/>
    <w:rsid w:val="001A2AD2"/>
    <w:rsid w:val="001A2D60"/>
    <w:rsid w:val="001A3726"/>
    <w:rsid w:val="001A3738"/>
    <w:rsid w:val="001A38E9"/>
    <w:rsid w:val="001A3C2D"/>
    <w:rsid w:val="001A3E42"/>
    <w:rsid w:val="001A3EFE"/>
    <w:rsid w:val="001A41EE"/>
    <w:rsid w:val="001A48A2"/>
    <w:rsid w:val="001A48DE"/>
    <w:rsid w:val="001A4D68"/>
    <w:rsid w:val="001A4F5C"/>
    <w:rsid w:val="001A53F1"/>
    <w:rsid w:val="001A5710"/>
    <w:rsid w:val="001A5E49"/>
    <w:rsid w:val="001A5F90"/>
    <w:rsid w:val="001A5FC5"/>
    <w:rsid w:val="001A611B"/>
    <w:rsid w:val="001A655E"/>
    <w:rsid w:val="001A6B1A"/>
    <w:rsid w:val="001A6C06"/>
    <w:rsid w:val="001A6F61"/>
    <w:rsid w:val="001B0379"/>
    <w:rsid w:val="001B083C"/>
    <w:rsid w:val="001B0C9D"/>
    <w:rsid w:val="001B0EFC"/>
    <w:rsid w:val="001B1D62"/>
    <w:rsid w:val="001B1F75"/>
    <w:rsid w:val="001B241A"/>
    <w:rsid w:val="001B2F29"/>
    <w:rsid w:val="001B338A"/>
    <w:rsid w:val="001B33E7"/>
    <w:rsid w:val="001B3F13"/>
    <w:rsid w:val="001B425E"/>
    <w:rsid w:val="001B4967"/>
    <w:rsid w:val="001B4A75"/>
    <w:rsid w:val="001B4BBA"/>
    <w:rsid w:val="001B5E4C"/>
    <w:rsid w:val="001B5EE0"/>
    <w:rsid w:val="001B5EE6"/>
    <w:rsid w:val="001B612C"/>
    <w:rsid w:val="001B6CE9"/>
    <w:rsid w:val="001B72B8"/>
    <w:rsid w:val="001B7795"/>
    <w:rsid w:val="001B77EB"/>
    <w:rsid w:val="001C03ED"/>
    <w:rsid w:val="001C0499"/>
    <w:rsid w:val="001C0F1A"/>
    <w:rsid w:val="001C1192"/>
    <w:rsid w:val="001C1C51"/>
    <w:rsid w:val="001C2FDC"/>
    <w:rsid w:val="001C3721"/>
    <w:rsid w:val="001C3B07"/>
    <w:rsid w:val="001C3C76"/>
    <w:rsid w:val="001C4855"/>
    <w:rsid w:val="001C493E"/>
    <w:rsid w:val="001C49E1"/>
    <w:rsid w:val="001C5040"/>
    <w:rsid w:val="001C5125"/>
    <w:rsid w:val="001C536E"/>
    <w:rsid w:val="001C5889"/>
    <w:rsid w:val="001C5B57"/>
    <w:rsid w:val="001C5B97"/>
    <w:rsid w:val="001C6165"/>
    <w:rsid w:val="001C6353"/>
    <w:rsid w:val="001C68FA"/>
    <w:rsid w:val="001C69B3"/>
    <w:rsid w:val="001C7E33"/>
    <w:rsid w:val="001D024E"/>
    <w:rsid w:val="001D0974"/>
    <w:rsid w:val="001D0CFD"/>
    <w:rsid w:val="001D13FA"/>
    <w:rsid w:val="001D1BAB"/>
    <w:rsid w:val="001D25F3"/>
    <w:rsid w:val="001D2807"/>
    <w:rsid w:val="001D4081"/>
    <w:rsid w:val="001D4168"/>
    <w:rsid w:val="001D4293"/>
    <w:rsid w:val="001D4519"/>
    <w:rsid w:val="001D4935"/>
    <w:rsid w:val="001D49E4"/>
    <w:rsid w:val="001D4C6E"/>
    <w:rsid w:val="001D5167"/>
    <w:rsid w:val="001D53C5"/>
    <w:rsid w:val="001D5595"/>
    <w:rsid w:val="001D5EC5"/>
    <w:rsid w:val="001D63F9"/>
    <w:rsid w:val="001D7874"/>
    <w:rsid w:val="001D78EF"/>
    <w:rsid w:val="001D7CAB"/>
    <w:rsid w:val="001D7F22"/>
    <w:rsid w:val="001D7FEF"/>
    <w:rsid w:val="001E0CE2"/>
    <w:rsid w:val="001E0F35"/>
    <w:rsid w:val="001E1056"/>
    <w:rsid w:val="001E212F"/>
    <w:rsid w:val="001E2DB1"/>
    <w:rsid w:val="001E3497"/>
    <w:rsid w:val="001E36AB"/>
    <w:rsid w:val="001E40A8"/>
    <w:rsid w:val="001E4AAE"/>
    <w:rsid w:val="001E50BB"/>
    <w:rsid w:val="001E5359"/>
    <w:rsid w:val="001E57A7"/>
    <w:rsid w:val="001E5977"/>
    <w:rsid w:val="001E6307"/>
    <w:rsid w:val="001E655F"/>
    <w:rsid w:val="001E66CA"/>
    <w:rsid w:val="001E6FDB"/>
    <w:rsid w:val="001E744C"/>
    <w:rsid w:val="001E74AB"/>
    <w:rsid w:val="001E74FF"/>
    <w:rsid w:val="001E759B"/>
    <w:rsid w:val="001F05A4"/>
    <w:rsid w:val="001F07B6"/>
    <w:rsid w:val="001F0D1D"/>
    <w:rsid w:val="001F0F17"/>
    <w:rsid w:val="001F1E6F"/>
    <w:rsid w:val="001F1FFB"/>
    <w:rsid w:val="001F2E4D"/>
    <w:rsid w:val="001F2F7E"/>
    <w:rsid w:val="001F3347"/>
    <w:rsid w:val="001F3F6A"/>
    <w:rsid w:val="001F4216"/>
    <w:rsid w:val="001F52A6"/>
    <w:rsid w:val="001F5D30"/>
    <w:rsid w:val="001F6040"/>
    <w:rsid w:val="001F60E7"/>
    <w:rsid w:val="001F6176"/>
    <w:rsid w:val="001F62C0"/>
    <w:rsid w:val="001F63B4"/>
    <w:rsid w:val="001F6433"/>
    <w:rsid w:val="001F6453"/>
    <w:rsid w:val="001F65CF"/>
    <w:rsid w:val="001F69E4"/>
    <w:rsid w:val="001F6CBA"/>
    <w:rsid w:val="001F6F49"/>
    <w:rsid w:val="001F7204"/>
    <w:rsid w:val="001F72FE"/>
    <w:rsid w:val="001F7E89"/>
    <w:rsid w:val="00200A51"/>
    <w:rsid w:val="00201162"/>
    <w:rsid w:val="0020123A"/>
    <w:rsid w:val="0020185D"/>
    <w:rsid w:val="00202FCB"/>
    <w:rsid w:val="00203132"/>
    <w:rsid w:val="00203565"/>
    <w:rsid w:val="0020375D"/>
    <w:rsid w:val="00203F30"/>
    <w:rsid w:val="00204F31"/>
    <w:rsid w:val="00205423"/>
    <w:rsid w:val="002062E4"/>
    <w:rsid w:val="002065DA"/>
    <w:rsid w:val="00207265"/>
    <w:rsid w:val="00207329"/>
    <w:rsid w:val="00207C80"/>
    <w:rsid w:val="00207D5C"/>
    <w:rsid w:val="00207F24"/>
    <w:rsid w:val="00210301"/>
    <w:rsid w:val="0021052F"/>
    <w:rsid w:val="00210827"/>
    <w:rsid w:val="00210B7F"/>
    <w:rsid w:val="00210CDB"/>
    <w:rsid w:val="00211372"/>
    <w:rsid w:val="0021185C"/>
    <w:rsid w:val="00211D62"/>
    <w:rsid w:val="00211E5B"/>
    <w:rsid w:val="0021203A"/>
    <w:rsid w:val="002125B4"/>
    <w:rsid w:val="0021320A"/>
    <w:rsid w:val="00213326"/>
    <w:rsid w:val="0021338D"/>
    <w:rsid w:val="002133DC"/>
    <w:rsid w:val="002138BA"/>
    <w:rsid w:val="00213D7F"/>
    <w:rsid w:val="00213F3C"/>
    <w:rsid w:val="00214859"/>
    <w:rsid w:val="00214BCE"/>
    <w:rsid w:val="002153CD"/>
    <w:rsid w:val="00215561"/>
    <w:rsid w:val="002155B8"/>
    <w:rsid w:val="002156EB"/>
    <w:rsid w:val="002166AF"/>
    <w:rsid w:val="0021672C"/>
    <w:rsid w:val="00216CEC"/>
    <w:rsid w:val="0021794E"/>
    <w:rsid w:val="00217F8A"/>
    <w:rsid w:val="00220063"/>
    <w:rsid w:val="002202F3"/>
    <w:rsid w:val="002204AA"/>
    <w:rsid w:val="00220982"/>
    <w:rsid w:val="00220DE6"/>
    <w:rsid w:val="00220EA9"/>
    <w:rsid w:val="002219E8"/>
    <w:rsid w:val="002219FE"/>
    <w:rsid w:val="00221A08"/>
    <w:rsid w:val="00221E2C"/>
    <w:rsid w:val="0022267F"/>
    <w:rsid w:val="002227F8"/>
    <w:rsid w:val="00222897"/>
    <w:rsid w:val="00222CE9"/>
    <w:rsid w:val="00222DBC"/>
    <w:rsid w:val="00222F29"/>
    <w:rsid w:val="00223044"/>
    <w:rsid w:val="00223231"/>
    <w:rsid w:val="00223645"/>
    <w:rsid w:val="00223F8C"/>
    <w:rsid w:val="00224730"/>
    <w:rsid w:val="00224839"/>
    <w:rsid w:val="002249B2"/>
    <w:rsid w:val="00224AB5"/>
    <w:rsid w:val="00224E46"/>
    <w:rsid w:val="00225027"/>
    <w:rsid w:val="00225237"/>
    <w:rsid w:val="00225312"/>
    <w:rsid w:val="002254A1"/>
    <w:rsid w:val="002254E3"/>
    <w:rsid w:val="0022563A"/>
    <w:rsid w:val="00225CFB"/>
    <w:rsid w:val="00225D9C"/>
    <w:rsid w:val="002262F4"/>
    <w:rsid w:val="00226472"/>
    <w:rsid w:val="00226516"/>
    <w:rsid w:val="00226574"/>
    <w:rsid w:val="00226F5A"/>
    <w:rsid w:val="0022725F"/>
    <w:rsid w:val="002272B3"/>
    <w:rsid w:val="002278C5"/>
    <w:rsid w:val="002278E2"/>
    <w:rsid w:val="002278EC"/>
    <w:rsid w:val="002301FE"/>
    <w:rsid w:val="00230B97"/>
    <w:rsid w:val="00231203"/>
    <w:rsid w:val="00231870"/>
    <w:rsid w:val="00231B46"/>
    <w:rsid w:val="00231C5A"/>
    <w:rsid w:val="00231CF3"/>
    <w:rsid w:val="00231FC1"/>
    <w:rsid w:val="0023280E"/>
    <w:rsid w:val="0023295F"/>
    <w:rsid w:val="00232A88"/>
    <w:rsid w:val="00233290"/>
    <w:rsid w:val="002332F7"/>
    <w:rsid w:val="0023358B"/>
    <w:rsid w:val="00233659"/>
    <w:rsid w:val="00233DA4"/>
    <w:rsid w:val="002343A5"/>
    <w:rsid w:val="002343C4"/>
    <w:rsid w:val="00235001"/>
    <w:rsid w:val="00235244"/>
    <w:rsid w:val="002357CD"/>
    <w:rsid w:val="002359A1"/>
    <w:rsid w:val="00236028"/>
    <w:rsid w:val="00236067"/>
    <w:rsid w:val="00236604"/>
    <w:rsid w:val="00236980"/>
    <w:rsid w:val="00236D20"/>
    <w:rsid w:val="00236D42"/>
    <w:rsid w:val="002377D1"/>
    <w:rsid w:val="00240278"/>
    <w:rsid w:val="00240A70"/>
    <w:rsid w:val="00240B7F"/>
    <w:rsid w:val="00240CF0"/>
    <w:rsid w:val="002416D8"/>
    <w:rsid w:val="00241A6E"/>
    <w:rsid w:val="00241D2C"/>
    <w:rsid w:val="00241FB4"/>
    <w:rsid w:val="002421F1"/>
    <w:rsid w:val="00242986"/>
    <w:rsid w:val="00242C4B"/>
    <w:rsid w:val="00242C8B"/>
    <w:rsid w:val="002436C1"/>
    <w:rsid w:val="00243D0B"/>
    <w:rsid w:val="00243D0C"/>
    <w:rsid w:val="002440F8"/>
    <w:rsid w:val="0024451D"/>
    <w:rsid w:val="002448F4"/>
    <w:rsid w:val="00244A2E"/>
    <w:rsid w:val="00244CA1"/>
    <w:rsid w:val="00244E86"/>
    <w:rsid w:val="002451D6"/>
    <w:rsid w:val="002454DD"/>
    <w:rsid w:val="00245557"/>
    <w:rsid w:val="002455A1"/>
    <w:rsid w:val="00245A1C"/>
    <w:rsid w:val="0024679C"/>
    <w:rsid w:val="00247974"/>
    <w:rsid w:val="0025062D"/>
    <w:rsid w:val="002506BC"/>
    <w:rsid w:val="00251139"/>
    <w:rsid w:val="0025145F"/>
    <w:rsid w:val="00251974"/>
    <w:rsid w:val="0025197A"/>
    <w:rsid w:val="00251BB2"/>
    <w:rsid w:val="00252272"/>
    <w:rsid w:val="002526E2"/>
    <w:rsid w:val="00252A6B"/>
    <w:rsid w:val="00252C3E"/>
    <w:rsid w:val="00254345"/>
    <w:rsid w:val="00254CB2"/>
    <w:rsid w:val="00255462"/>
    <w:rsid w:val="002556C8"/>
    <w:rsid w:val="00255D4B"/>
    <w:rsid w:val="002566DA"/>
    <w:rsid w:val="0025682E"/>
    <w:rsid w:val="00256923"/>
    <w:rsid w:val="0025708D"/>
    <w:rsid w:val="002602AA"/>
    <w:rsid w:val="002602BA"/>
    <w:rsid w:val="002605B3"/>
    <w:rsid w:val="00260DCF"/>
    <w:rsid w:val="002612F8"/>
    <w:rsid w:val="002615A0"/>
    <w:rsid w:val="00261AC3"/>
    <w:rsid w:val="00261C1B"/>
    <w:rsid w:val="00262294"/>
    <w:rsid w:val="0026300C"/>
    <w:rsid w:val="00263399"/>
    <w:rsid w:val="00263436"/>
    <w:rsid w:val="002635A9"/>
    <w:rsid w:val="0026391E"/>
    <w:rsid w:val="002639BB"/>
    <w:rsid w:val="00263D3B"/>
    <w:rsid w:val="00264173"/>
    <w:rsid w:val="00264557"/>
    <w:rsid w:val="00266973"/>
    <w:rsid w:val="00266C12"/>
    <w:rsid w:val="00266E9B"/>
    <w:rsid w:val="00266EC5"/>
    <w:rsid w:val="00266FAC"/>
    <w:rsid w:val="00267648"/>
    <w:rsid w:val="002676B1"/>
    <w:rsid w:val="002677F7"/>
    <w:rsid w:val="002705E0"/>
    <w:rsid w:val="00270664"/>
    <w:rsid w:val="00271793"/>
    <w:rsid w:val="00271EC9"/>
    <w:rsid w:val="002725B7"/>
    <w:rsid w:val="00272676"/>
    <w:rsid w:val="002730D7"/>
    <w:rsid w:val="00273254"/>
    <w:rsid w:val="002738BC"/>
    <w:rsid w:val="00273B01"/>
    <w:rsid w:val="002746B0"/>
    <w:rsid w:val="00274984"/>
    <w:rsid w:val="00274BDC"/>
    <w:rsid w:val="00274FFF"/>
    <w:rsid w:val="00275127"/>
    <w:rsid w:val="00275494"/>
    <w:rsid w:val="002756F0"/>
    <w:rsid w:val="0027572A"/>
    <w:rsid w:val="00275CA5"/>
    <w:rsid w:val="00276163"/>
    <w:rsid w:val="00276168"/>
    <w:rsid w:val="0027692F"/>
    <w:rsid w:val="00277522"/>
    <w:rsid w:val="00277CE9"/>
    <w:rsid w:val="002800B8"/>
    <w:rsid w:val="00280510"/>
    <w:rsid w:val="002805AB"/>
    <w:rsid w:val="002808AA"/>
    <w:rsid w:val="002808CE"/>
    <w:rsid w:val="00280B64"/>
    <w:rsid w:val="00281139"/>
    <w:rsid w:val="00281522"/>
    <w:rsid w:val="002815A8"/>
    <w:rsid w:val="00281866"/>
    <w:rsid w:val="00281DF5"/>
    <w:rsid w:val="00281E05"/>
    <w:rsid w:val="002823A0"/>
    <w:rsid w:val="002828DC"/>
    <w:rsid w:val="002829D0"/>
    <w:rsid w:val="00282BC3"/>
    <w:rsid w:val="002831ED"/>
    <w:rsid w:val="002832A8"/>
    <w:rsid w:val="00283748"/>
    <w:rsid w:val="00283D81"/>
    <w:rsid w:val="0028406A"/>
    <w:rsid w:val="00284204"/>
    <w:rsid w:val="00284416"/>
    <w:rsid w:val="00285040"/>
    <w:rsid w:val="0028516E"/>
    <w:rsid w:val="00285857"/>
    <w:rsid w:val="00287377"/>
    <w:rsid w:val="00290870"/>
    <w:rsid w:val="0029133E"/>
    <w:rsid w:val="00291773"/>
    <w:rsid w:val="00291914"/>
    <w:rsid w:val="00292465"/>
    <w:rsid w:val="002925CD"/>
    <w:rsid w:val="00292D3F"/>
    <w:rsid w:val="00293107"/>
    <w:rsid w:val="00293A65"/>
    <w:rsid w:val="002948F1"/>
    <w:rsid w:val="00294B00"/>
    <w:rsid w:val="00294E4F"/>
    <w:rsid w:val="0029531A"/>
    <w:rsid w:val="002953AC"/>
    <w:rsid w:val="00295C95"/>
    <w:rsid w:val="002963BE"/>
    <w:rsid w:val="002966CE"/>
    <w:rsid w:val="002A037B"/>
    <w:rsid w:val="002A0480"/>
    <w:rsid w:val="002A0862"/>
    <w:rsid w:val="002A0B0A"/>
    <w:rsid w:val="002A109F"/>
    <w:rsid w:val="002A128C"/>
    <w:rsid w:val="002A1403"/>
    <w:rsid w:val="002A1439"/>
    <w:rsid w:val="002A1450"/>
    <w:rsid w:val="002A168C"/>
    <w:rsid w:val="002A194A"/>
    <w:rsid w:val="002A1BB8"/>
    <w:rsid w:val="002A2291"/>
    <w:rsid w:val="002A28A2"/>
    <w:rsid w:val="002A293D"/>
    <w:rsid w:val="002A2D58"/>
    <w:rsid w:val="002A2F26"/>
    <w:rsid w:val="002A2F54"/>
    <w:rsid w:val="002A3746"/>
    <w:rsid w:val="002A3863"/>
    <w:rsid w:val="002A3C28"/>
    <w:rsid w:val="002A3DC7"/>
    <w:rsid w:val="002A41E2"/>
    <w:rsid w:val="002A44F5"/>
    <w:rsid w:val="002A4B61"/>
    <w:rsid w:val="002A4BEA"/>
    <w:rsid w:val="002A638F"/>
    <w:rsid w:val="002A6496"/>
    <w:rsid w:val="002A6644"/>
    <w:rsid w:val="002A72BA"/>
    <w:rsid w:val="002A79A4"/>
    <w:rsid w:val="002A7C82"/>
    <w:rsid w:val="002A7F1E"/>
    <w:rsid w:val="002B0DD9"/>
    <w:rsid w:val="002B0F0D"/>
    <w:rsid w:val="002B12F1"/>
    <w:rsid w:val="002B1A8C"/>
    <w:rsid w:val="002B1B0F"/>
    <w:rsid w:val="002B27F5"/>
    <w:rsid w:val="002B2A56"/>
    <w:rsid w:val="002B2ED6"/>
    <w:rsid w:val="002B3E8F"/>
    <w:rsid w:val="002B44A8"/>
    <w:rsid w:val="002B4870"/>
    <w:rsid w:val="002B49E2"/>
    <w:rsid w:val="002B5667"/>
    <w:rsid w:val="002B5928"/>
    <w:rsid w:val="002B5DDC"/>
    <w:rsid w:val="002B5FCC"/>
    <w:rsid w:val="002B68FD"/>
    <w:rsid w:val="002B754D"/>
    <w:rsid w:val="002B7906"/>
    <w:rsid w:val="002B7B00"/>
    <w:rsid w:val="002B7C44"/>
    <w:rsid w:val="002C214D"/>
    <w:rsid w:val="002C25B3"/>
    <w:rsid w:val="002C2B17"/>
    <w:rsid w:val="002C324B"/>
    <w:rsid w:val="002C366F"/>
    <w:rsid w:val="002C38E8"/>
    <w:rsid w:val="002C42C9"/>
    <w:rsid w:val="002C4626"/>
    <w:rsid w:val="002C4995"/>
    <w:rsid w:val="002C49AE"/>
    <w:rsid w:val="002C4B8F"/>
    <w:rsid w:val="002C5EAE"/>
    <w:rsid w:val="002C5EF1"/>
    <w:rsid w:val="002C65AB"/>
    <w:rsid w:val="002C69DD"/>
    <w:rsid w:val="002C6A2A"/>
    <w:rsid w:val="002C6C0F"/>
    <w:rsid w:val="002C7465"/>
    <w:rsid w:val="002C77BA"/>
    <w:rsid w:val="002C7AC9"/>
    <w:rsid w:val="002C7B27"/>
    <w:rsid w:val="002C7EAF"/>
    <w:rsid w:val="002C7F90"/>
    <w:rsid w:val="002D026D"/>
    <w:rsid w:val="002D02C8"/>
    <w:rsid w:val="002D0BA5"/>
    <w:rsid w:val="002D0F32"/>
    <w:rsid w:val="002D17E6"/>
    <w:rsid w:val="002D20CC"/>
    <w:rsid w:val="002D21BF"/>
    <w:rsid w:val="002D2628"/>
    <w:rsid w:val="002D27F4"/>
    <w:rsid w:val="002D28B1"/>
    <w:rsid w:val="002D2D70"/>
    <w:rsid w:val="002D380A"/>
    <w:rsid w:val="002D39DB"/>
    <w:rsid w:val="002D3DD0"/>
    <w:rsid w:val="002D3DD5"/>
    <w:rsid w:val="002D3E45"/>
    <w:rsid w:val="002D3E49"/>
    <w:rsid w:val="002D3EA0"/>
    <w:rsid w:val="002D4B99"/>
    <w:rsid w:val="002D4D7E"/>
    <w:rsid w:val="002D501E"/>
    <w:rsid w:val="002D5460"/>
    <w:rsid w:val="002D5674"/>
    <w:rsid w:val="002D5B82"/>
    <w:rsid w:val="002D63D1"/>
    <w:rsid w:val="002D67B6"/>
    <w:rsid w:val="002D71CC"/>
    <w:rsid w:val="002D73DE"/>
    <w:rsid w:val="002D7581"/>
    <w:rsid w:val="002D76BE"/>
    <w:rsid w:val="002D7945"/>
    <w:rsid w:val="002E03AA"/>
    <w:rsid w:val="002E0455"/>
    <w:rsid w:val="002E08F8"/>
    <w:rsid w:val="002E0B08"/>
    <w:rsid w:val="002E1CBF"/>
    <w:rsid w:val="002E1F3A"/>
    <w:rsid w:val="002E28C5"/>
    <w:rsid w:val="002E298A"/>
    <w:rsid w:val="002E2D0A"/>
    <w:rsid w:val="002E3B49"/>
    <w:rsid w:val="002E43ED"/>
    <w:rsid w:val="002E454E"/>
    <w:rsid w:val="002E4717"/>
    <w:rsid w:val="002E4A8F"/>
    <w:rsid w:val="002E4FF9"/>
    <w:rsid w:val="002E6402"/>
    <w:rsid w:val="002E66AC"/>
    <w:rsid w:val="002E7D8D"/>
    <w:rsid w:val="002F00B8"/>
    <w:rsid w:val="002F02A8"/>
    <w:rsid w:val="002F104D"/>
    <w:rsid w:val="002F1A83"/>
    <w:rsid w:val="002F1B56"/>
    <w:rsid w:val="002F1D3C"/>
    <w:rsid w:val="002F1D48"/>
    <w:rsid w:val="002F22C7"/>
    <w:rsid w:val="002F277D"/>
    <w:rsid w:val="002F2802"/>
    <w:rsid w:val="002F30EA"/>
    <w:rsid w:val="002F339F"/>
    <w:rsid w:val="002F36DB"/>
    <w:rsid w:val="002F3A92"/>
    <w:rsid w:val="002F3A99"/>
    <w:rsid w:val="002F3BB5"/>
    <w:rsid w:val="002F3C3B"/>
    <w:rsid w:val="002F4302"/>
    <w:rsid w:val="002F4F85"/>
    <w:rsid w:val="002F573A"/>
    <w:rsid w:val="002F5A31"/>
    <w:rsid w:val="002F68E4"/>
    <w:rsid w:val="002F6F64"/>
    <w:rsid w:val="002F7385"/>
    <w:rsid w:val="002F74C5"/>
    <w:rsid w:val="002F7652"/>
    <w:rsid w:val="0030030D"/>
    <w:rsid w:val="003014ED"/>
    <w:rsid w:val="00301924"/>
    <w:rsid w:val="00301978"/>
    <w:rsid w:val="00301F43"/>
    <w:rsid w:val="003022FC"/>
    <w:rsid w:val="0030237E"/>
    <w:rsid w:val="00302694"/>
    <w:rsid w:val="00302D44"/>
    <w:rsid w:val="00302DE3"/>
    <w:rsid w:val="0030332C"/>
    <w:rsid w:val="00303703"/>
    <w:rsid w:val="00303A6E"/>
    <w:rsid w:val="00303DAD"/>
    <w:rsid w:val="003050B3"/>
    <w:rsid w:val="003050C8"/>
    <w:rsid w:val="003051C2"/>
    <w:rsid w:val="00305926"/>
    <w:rsid w:val="00305D3B"/>
    <w:rsid w:val="00306A6E"/>
    <w:rsid w:val="0030737E"/>
    <w:rsid w:val="00307603"/>
    <w:rsid w:val="0030772A"/>
    <w:rsid w:val="00307E4F"/>
    <w:rsid w:val="003105F7"/>
    <w:rsid w:val="00310B57"/>
    <w:rsid w:val="00310B72"/>
    <w:rsid w:val="00311AED"/>
    <w:rsid w:val="00312296"/>
    <w:rsid w:val="00312BD9"/>
    <w:rsid w:val="003135A5"/>
    <w:rsid w:val="0031376A"/>
    <w:rsid w:val="00313854"/>
    <w:rsid w:val="00313923"/>
    <w:rsid w:val="00314953"/>
    <w:rsid w:val="00314C89"/>
    <w:rsid w:val="00314F0E"/>
    <w:rsid w:val="00315A92"/>
    <w:rsid w:val="00315D32"/>
    <w:rsid w:val="00316529"/>
    <w:rsid w:val="00316658"/>
    <w:rsid w:val="0031687D"/>
    <w:rsid w:val="00316C4E"/>
    <w:rsid w:val="00316E22"/>
    <w:rsid w:val="00316E33"/>
    <w:rsid w:val="00317620"/>
    <w:rsid w:val="00317D8B"/>
    <w:rsid w:val="003202BF"/>
    <w:rsid w:val="003206B9"/>
    <w:rsid w:val="00320C2B"/>
    <w:rsid w:val="00321D8E"/>
    <w:rsid w:val="003220EC"/>
    <w:rsid w:val="00322575"/>
    <w:rsid w:val="00322651"/>
    <w:rsid w:val="00322A25"/>
    <w:rsid w:val="0032325A"/>
    <w:rsid w:val="00323441"/>
    <w:rsid w:val="00323853"/>
    <w:rsid w:val="00323D4E"/>
    <w:rsid w:val="00323F87"/>
    <w:rsid w:val="0032468B"/>
    <w:rsid w:val="003248A1"/>
    <w:rsid w:val="00324B53"/>
    <w:rsid w:val="00324C8F"/>
    <w:rsid w:val="00325742"/>
    <w:rsid w:val="00325928"/>
    <w:rsid w:val="00325A0F"/>
    <w:rsid w:val="00325E31"/>
    <w:rsid w:val="003269AA"/>
    <w:rsid w:val="0032760F"/>
    <w:rsid w:val="003315DA"/>
    <w:rsid w:val="00331C26"/>
    <w:rsid w:val="00331F7E"/>
    <w:rsid w:val="00332140"/>
    <w:rsid w:val="00332323"/>
    <w:rsid w:val="0033274D"/>
    <w:rsid w:val="00332863"/>
    <w:rsid w:val="003332CC"/>
    <w:rsid w:val="00333B76"/>
    <w:rsid w:val="0033563E"/>
    <w:rsid w:val="0033573D"/>
    <w:rsid w:val="00335AF2"/>
    <w:rsid w:val="0033643A"/>
    <w:rsid w:val="00336525"/>
    <w:rsid w:val="0033684D"/>
    <w:rsid w:val="0033694D"/>
    <w:rsid w:val="0033696F"/>
    <w:rsid w:val="0033698F"/>
    <w:rsid w:val="00337B42"/>
    <w:rsid w:val="003400E4"/>
    <w:rsid w:val="003403E1"/>
    <w:rsid w:val="00340915"/>
    <w:rsid w:val="00340B3E"/>
    <w:rsid w:val="00340D15"/>
    <w:rsid w:val="00340D4D"/>
    <w:rsid w:val="00340E09"/>
    <w:rsid w:val="003411C9"/>
    <w:rsid w:val="00341B42"/>
    <w:rsid w:val="00342015"/>
    <w:rsid w:val="003423FB"/>
    <w:rsid w:val="00342479"/>
    <w:rsid w:val="0034296C"/>
    <w:rsid w:val="0034348F"/>
    <w:rsid w:val="00343788"/>
    <w:rsid w:val="003439E0"/>
    <w:rsid w:val="00343D32"/>
    <w:rsid w:val="00344735"/>
    <w:rsid w:val="00344782"/>
    <w:rsid w:val="0034532E"/>
    <w:rsid w:val="00345A46"/>
    <w:rsid w:val="00345F2B"/>
    <w:rsid w:val="00346517"/>
    <w:rsid w:val="00347F2F"/>
    <w:rsid w:val="00347F46"/>
    <w:rsid w:val="0035089A"/>
    <w:rsid w:val="00351057"/>
    <w:rsid w:val="00351431"/>
    <w:rsid w:val="00351617"/>
    <w:rsid w:val="00352359"/>
    <w:rsid w:val="003528C1"/>
    <w:rsid w:val="00352A87"/>
    <w:rsid w:val="00352B7B"/>
    <w:rsid w:val="00352BE8"/>
    <w:rsid w:val="00352D69"/>
    <w:rsid w:val="00353152"/>
    <w:rsid w:val="0035321E"/>
    <w:rsid w:val="003533B8"/>
    <w:rsid w:val="00353563"/>
    <w:rsid w:val="003535A6"/>
    <w:rsid w:val="00353A81"/>
    <w:rsid w:val="00353D80"/>
    <w:rsid w:val="00353D94"/>
    <w:rsid w:val="0035479E"/>
    <w:rsid w:val="00354BB4"/>
    <w:rsid w:val="00354EB4"/>
    <w:rsid w:val="00356653"/>
    <w:rsid w:val="0035743F"/>
    <w:rsid w:val="0035784B"/>
    <w:rsid w:val="00357BE2"/>
    <w:rsid w:val="00357CFE"/>
    <w:rsid w:val="003606B4"/>
    <w:rsid w:val="0036170C"/>
    <w:rsid w:val="003617E8"/>
    <w:rsid w:val="00361C1B"/>
    <w:rsid w:val="0036208E"/>
    <w:rsid w:val="00362213"/>
    <w:rsid w:val="00362769"/>
    <w:rsid w:val="003629D4"/>
    <w:rsid w:val="00363861"/>
    <w:rsid w:val="00363A5B"/>
    <w:rsid w:val="00363DAB"/>
    <w:rsid w:val="0036439F"/>
    <w:rsid w:val="003645AA"/>
    <w:rsid w:val="00364609"/>
    <w:rsid w:val="00364A80"/>
    <w:rsid w:val="00364E34"/>
    <w:rsid w:val="003654FF"/>
    <w:rsid w:val="0036591F"/>
    <w:rsid w:val="0036593A"/>
    <w:rsid w:val="00365EAF"/>
    <w:rsid w:val="00366E0F"/>
    <w:rsid w:val="00366EA5"/>
    <w:rsid w:val="00372364"/>
    <w:rsid w:val="003725C9"/>
    <w:rsid w:val="00372BAB"/>
    <w:rsid w:val="00372CA3"/>
    <w:rsid w:val="00372D12"/>
    <w:rsid w:val="00374164"/>
    <w:rsid w:val="00374C4E"/>
    <w:rsid w:val="0037528F"/>
    <w:rsid w:val="00375A9E"/>
    <w:rsid w:val="00375CBB"/>
    <w:rsid w:val="0037650E"/>
    <w:rsid w:val="00376563"/>
    <w:rsid w:val="003766D8"/>
    <w:rsid w:val="00376886"/>
    <w:rsid w:val="0037693D"/>
    <w:rsid w:val="00376A66"/>
    <w:rsid w:val="00376FB2"/>
    <w:rsid w:val="00377088"/>
    <w:rsid w:val="00377337"/>
    <w:rsid w:val="00377513"/>
    <w:rsid w:val="003813F3"/>
    <w:rsid w:val="003814BD"/>
    <w:rsid w:val="00381A72"/>
    <w:rsid w:val="00381C35"/>
    <w:rsid w:val="00382716"/>
    <w:rsid w:val="003827C8"/>
    <w:rsid w:val="0038280B"/>
    <w:rsid w:val="003829DD"/>
    <w:rsid w:val="00384676"/>
    <w:rsid w:val="00384776"/>
    <w:rsid w:val="00384AF4"/>
    <w:rsid w:val="00384FD1"/>
    <w:rsid w:val="00384FFB"/>
    <w:rsid w:val="00385A48"/>
    <w:rsid w:val="00385DA5"/>
    <w:rsid w:val="00386147"/>
    <w:rsid w:val="003861A4"/>
    <w:rsid w:val="00386911"/>
    <w:rsid w:val="003869D9"/>
    <w:rsid w:val="003872C5"/>
    <w:rsid w:val="003875DB"/>
    <w:rsid w:val="003877EF"/>
    <w:rsid w:val="0039027E"/>
    <w:rsid w:val="00390857"/>
    <w:rsid w:val="003909ED"/>
    <w:rsid w:val="00390CB7"/>
    <w:rsid w:val="00391085"/>
    <w:rsid w:val="0039160D"/>
    <w:rsid w:val="0039184A"/>
    <w:rsid w:val="00391C5F"/>
    <w:rsid w:val="0039205C"/>
    <w:rsid w:val="00392601"/>
    <w:rsid w:val="00393BA9"/>
    <w:rsid w:val="003940C3"/>
    <w:rsid w:val="003944DF"/>
    <w:rsid w:val="00394B9F"/>
    <w:rsid w:val="00394F83"/>
    <w:rsid w:val="003950C5"/>
    <w:rsid w:val="00396423"/>
    <w:rsid w:val="003974AB"/>
    <w:rsid w:val="003A06E3"/>
    <w:rsid w:val="003A0898"/>
    <w:rsid w:val="003A0E6F"/>
    <w:rsid w:val="003A10C7"/>
    <w:rsid w:val="003A187E"/>
    <w:rsid w:val="003A19E0"/>
    <w:rsid w:val="003A1A18"/>
    <w:rsid w:val="003A1B1B"/>
    <w:rsid w:val="003A20BC"/>
    <w:rsid w:val="003A25DF"/>
    <w:rsid w:val="003A27F2"/>
    <w:rsid w:val="003A2BAA"/>
    <w:rsid w:val="003A2DFE"/>
    <w:rsid w:val="003A2E8B"/>
    <w:rsid w:val="003A36AD"/>
    <w:rsid w:val="003A3A20"/>
    <w:rsid w:val="003A3C29"/>
    <w:rsid w:val="003A3D51"/>
    <w:rsid w:val="003A436E"/>
    <w:rsid w:val="003A4BF3"/>
    <w:rsid w:val="003A5683"/>
    <w:rsid w:val="003A58C3"/>
    <w:rsid w:val="003A65A9"/>
    <w:rsid w:val="003A6B11"/>
    <w:rsid w:val="003A6C62"/>
    <w:rsid w:val="003A7243"/>
    <w:rsid w:val="003A72F9"/>
    <w:rsid w:val="003A778C"/>
    <w:rsid w:val="003A7ABF"/>
    <w:rsid w:val="003A7B2B"/>
    <w:rsid w:val="003A7D2C"/>
    <w:rsid w:val="003B080A"/>
    <w:rsid w:val="003B0BF9"/>
    <w:rsid w:val="003B0F1F"/>
    <w:rsid w:val="003B1085"/>
    <w:rsid w:val="003B12BE"/>
    <w:rsid w:val="003B2BAF"/>
    <w:rsid w:val="003B2D79"/>
    <w:rsid w:val="003B344A"/>
    <w:rsid w:val="003B420D"/>
    <w:rsid w:val="003B4377"/>
    <w:rsid w:val="003B48D9"/>
    <w:rsid w:val="003B4924"/>
    <w:rsid w:val="003B4C6D"/>
    <w:rsid w:val="003B4C92"/>
    <w:rsid w:val="003B4DD7"/>
    <w:rsid w:val="003B5989"/>
    <w:rsid w:val="003B5A13"/>
    <w:rsid w:val="003B5C5F"/>
    <w:rsid w:val="003B68AB"/>
    <w:rsid w:val="003B69B5"/>
    <w:rsid w:val="003B7401"/>
    <w:rsid w:val="003B75DC"/>
    <w:rsid w:val="003B7959"/>
    <w:rsid w:val="003B7D9E"/>
    <w:rsid w:val="003C0398"/>
    <w:rsid w:val="003C0790"/>
    <w:rsid w:val="003C07AD"/>
    <w:rsid w:val="003C1A4D"/>
    <w:rsid w:val="003C1CCE"/>
    <w:rsid w:val="003C21C5"/>
    <w:rsid w:val="003C23B4"/>
    <w:rsid w:val="003C248A"/>
    <w:rsid w:val="003C3572"/>
    <w:rsid w:val="003C3A43"/>
    <w:rsid w:val="003C3B4C"/>
    <w:rsid w:val="003C414A"/>
    <w:rsid w:val="003C4278"/>
    <w:rsid w:val="003C44F8"/>
    <w:rsid w:val="003C46A3"/>
    <w:rsid w:val="003C496A"/>
    <w:rsid w:val="003C4C62"/>
    <w:rsid w:val="003C4EBF"/>
    <w:rsid w:val="003C5840"/>
    <w:rsid w:val="003C5A5A"/>
    <w:rsid w:val="003C6111"/>
    <w:rsid w:val="003C63F0"/>
    <w:rsid w:val="003C6694"/>
    <w:rsid w:val="003C6C16"/>
    <w:rsid w:val="003C6CD2"/>
    <w:rsid w:val="003C764D"/>
    <w:rsid w:val="003C76CE"/>
    <w:rsid w:val="003D0B10"/>
    <w:rsid w:val="003D1829"/>
    <w:rsid w:val="003D1897"/>
    <w:rsid w:val="003D1B26"/>
    <w:rsid w:val="003D2409"/>
    <w:rsid w:val="003D2AA1"/>
    <w:rsid w:val="003D2AE0"/>
    <w:rsid w:val="003D2B17"/>
    <w:rsid w:val="003D3081"/>
    <w:rsid w:val="003D325E"/>
    <w:rsid w:val="003D329A"/>
    <w:rsid w:val="003D33A1"/>
    <w:rsid w:val="003D3AFF"/>
    <w:rsid w:val="003D43EA"/>
    <w:rsid w:val="003D48E8"/>
    <w:rsid w:val="003D4B55"/>
    <w:rsid w:val="003D4BA8"/>
    <w:rsid w:val="003D5940"/>
    <w:rsid w:val="003D5D41"/>
    <w:rsid w:val="003D6214"/>
    <w:rsid w:val="003D692A"/>
    <w:rsid w:val="003D6FCB"/>
    <w:rsid w:val="003D6FD1"/>
    <w:rsid w:val="003D74E7"/>
    <w:rsid w:val="003D7717"/>
    <w:rsid w:val="003D794D"/>
    <w:rsid w:val="003D7C73"/>
    <w:rsid w:val="003D7E9E"/>
    <w:rsid w:val="003E054A"/>
    <w:rsid w:val="003E054C"/>
    <w:rsid w:val="003E0636"/>
    <w:rsid w:val="003E2EE7"/>
    <w:rsid w:val="003E3058"/>
    <w:rsid w:val="003E31D9"/>
    <w:rsid w:val="003E3429"/>
    <w:rsid w:val="003E3ED6"/>
    <w:rsid w:val="003E3F7F"/>
    <w:rsid w:val="003E46A0"/>
    <w:rsid w:val="003E4DDC"/>
    <w:rsid w:val="003E68E1"/>
    <w:rsid w:val="003E7675"/>
    <w:rsid w:val="003E76A9"/>
    <w:rsid w:val="003F06AC"/>
    <w:rsid w:val="003F0809"/>
    <w:rsid w:val="003F0B9D"/>
    <w:rsid w:val="003F0C2F"/>
    <w:rsid w:val="003F0F33"/>
    <w:rsid w:val="003F1DC3"/>
    <w:rsid w:val="003F2100"/>
    <w:rsid w:val="003F2324"/>
    <w:rsid w:val="003F244F"/>
    <w:rsid w:val="003F2B4A"/>
    <w:rsid w:val="003F2C15"/>
    <w:rsid w:val="003F32CC"/>
    <w:rsid w:val="003F35C6"/>
    <w:rsid w:val="003F40F8"/>
    <w:rsid w:val="003F41E6"/>
    <w:rsid w:val="003F4CFF"/>
    <w:rsid w:val="003F583F"/>
    <w:rsid w:val="003F598F"/>
    <w:rsid w:val="003F5F04"/>
    <w:rsid w:val="003F68FC"/>
    <w:rsid w:val="003F6A76"/>
    <w:rsid w:val="003F6A8C"/>
    <w:rsid w:val="003F6F51"/>
    <w:rsid w:val="003F755C"/>
    <w:rsid w:val="003F7744"/>
    <w:rsid w:val="003F7C65"/>
    <w:rsid w:val="00400AE0"/>
    <w:rsid w:val="00401507"/>
    <w:rsid w:val="0040163E"/>
    <w:rsid w:val="00401D76"/>
    <w:rsid w:val="004021E3"/>
    <w:rsid w:val="004024F2"/>
    <w:rsid w:val="00402C6A"/>
    <w:rsid w:val="00403604"/>
    <w:rsid w:val="00403C46"/>
    <w:rsid w:val="00403EC5"/>
    <w:rsid w:val="00404462"/>
    <w:rsid w:val="0040477C"/>
    <w:rsid w:val="0040483A"/>
    <w:rsid w:val="00404ED3"/>
    <w:rsid w:val="00405AA9"/>
    <w:rsid w:val="00405E7F"/>
    <w:rsid w:val="0040642D"/>
    <w:rsid w:val="0040671F"/>
    <w:rsid w:val="00406D14"/>
    <w:rsid w:val="00406F01"/>
    <w:rsid w:val="00407256"/>
    <w:rsid w:val="004073D5"/>
    <w:rsid w:val="00410DFA"/>
    <w:rsid w:val="00410DFB"/>
    <w:rsid w:val="00411681"/>
    <w:rsid w:val="00411BE4"/>
    <w:rsid w:val="0041317E"/>
    <w:rsid w:val="00413567"/>
    <w:rsid w:val="004136D5"/>
    <w:rsid w:val="00413BBD"/>
    <w:rsid w:val="00413D9F"/>
    <w:rsid w:val="00414364"/>
    <w:rsid w:val="00414491"/>
    <w:rsid w:val="00414E32"/>
    <w:rsid w:val="004161C7"/>
    <w:rsid w:val="00416C48"/>
    <w:rsid w:val="00416CAF"/>
    <w:rsid w:val="00416D50"/>
    <w:rsid w:val="00416D63"/>
    <w:rsid w:val="00416FD5"/>
    <w:rsid w:val="00417772"/>
    <w:rsid w:val="0042015E"/>
    <w:rsid w:val="004201C4"/>
    <w:rsid w:val="00420DC7"/>
    <w:rsid w:val="00420E6A"/>
    <w:rsid w:val="0042113C"/>
    <w:rsid w:val="00421296"/>
    <w:rsid w:val="00421342"/>
    <w:rsid w:val="004213DE"/>
    <w:rsid w:val="004214A4"/>
    <w:rsid w:val="0042182D"/>
    <w:rsid w:val="0042185A"/>
    <w:rsid w:val="00421C42"/>
    <w:rsid w:val="004222ED"/>
    <w:rsid w:val="00422A04"/>
    <w:rsid w:val="00422C1D"/>
    <w:rsid w:val="00423873"/>
    <w:rsid w:val="00423E41"/>
    <w:rsid w:val="00424189"/>
    <w:rsid w:val="004246DC"/>
    <w:rsid w:val="00424A71"/>
    <w:rsid w:val="00424DF5"/>
    <w:rsid w:val="0042533C"/>
    <w:rsid w:val="00425A9E"/>
    <w:rsid w:val="00425D5A"/>
    <w:rsid w:val="00425F08"/>
    <w:rsid w:val="004260E3"/>
    <w:rsid w:val="00426BED"/>
    <w:rsid w:val="00426D6B"/>
    <w:rsid w:val="004271D0"/>
    <w:rsid w:val="004275BA"/>
    <w:rsid w:val="00427B45"/>
    <w:rsid w:val="00427EC9"/>
    <w:rsid w:val="004303F6"/>
    <w:rsid w:val="0043045B"/>
    <w:rsid w:val="00430AB3"/>
    <w:rsid w:val="004313D4"/>
    <w:rsid w:val="004316A0"/>
    <w:rsid w:val="00431C3D"/>
    <w:rsid w:val="00431E6C"/>
    <w:rsid w:val="004321E1"/>
    <w:rsid w:val="00432522"/>
    <w:rsid w:val="00432682"/>
    <w:rsid w:val="004328D7"/>
    <w:rsid w:val="004328F2"/>
    <w:rsid w:val="00433550"/>
    <w:rsid w:val="00433778"/>
    <w:rsid w:val="00433CE7"/>
    <w:rsid w:val="004340DA"/>
    <w:rsid w:val="004348B0"/>
    <w:rsid w:val="00434BBE"/>
    <w:rsid w:val="00434CA6"/>
    <w:rsid w:val="00434CBA"/>
    <w:rsid w:val="0043562F"/>
    <w:rsid w:val="00435789"/>
    <w:rsid w:val="00435A2A"/>
    <w:rsid w:val="00435CBF"/>
    <w:rsid w:val="00436266"/>
    <w:rsid w:val="00436297"/>
    <w:rsid w:val="00437653"/>
    <w:rsid w:val="00437A73"/>
    <w:rsid w:val="00437CC9"/>
    <w:rsid w:val="00437E33"/>
    <w:rsid w:val="004400C4"/>
    <w:rsid w:val="00440342"/>
    <w:rsid w:val="0044048E"/>
    <w:rsid w:val="00440B7C"/>
    <w:rsid w:val="0044103E"/>
    <w:rsid w:val="00441987"/>
    <w:rsid w:val="004428CE"/>
    <w:rsid w:val="00442C69"/>
    <w:rsid w:val="00442FD5"/>
    <w:rsid w:val="00443304"/>
    <w:rsid w:val="00443585"/>
    <w:rsid w:val="00444349"/>
    <w:rsid w:val="004443EC"/>
    <w:rsid w:val="00444548"/>
    <w:rsid w:val="004446E1"/>
    <w:rsid w:val="004446F3"/>
    <w:rsid w:val="004447B1"/>
    <w:rsid w:val="0044530A"/>
    <w:rsid w:val="004454CB"/>
    <w:rsid w:val="00445505"/>
    <w:rsid w:val="0044572F"/>
    <w:rsid w:val="00445B93"/>
    <w:rsid w:val="00445E7F"/>
    <w:rsid w:val="0044606E"/>
    <w:rsid w:val="00447A65"/>
    <w:rsid w:val="00447B0C"/>
    <w:rsid w:val="00450630"/>
    <w:rsid w:val="00450DDD"/>
    <w:rsid w:val="00451889"/>
    <w:rsid w:val="0045235F"/>
    <w:rsid w:val="004526B3"/>
    <w:rsid w:val="00452738"/>
    <w:rsid w:val="00452988"/>
    <w:rsid w:val="00452F15"/>
    <w:rsid w:val="00453012"/>
    <w:rsid w:val="0045321D"/>
    <w:rsid w:val="00453DBD"/>
    <w:rsid w:val="004540C7"/>
    <w:rsid w:val="0045412C"/>
    <w:rsid w:val="0045465C"/>
    <w:rsid w:val="00454D76"/>
    <w:rsid w:val="00454E16"/>
    <w:rsid w:val="00455A58"/>
    <w:rsid w:val="00455FEB"/>
    <w:rsid w:val="00456091"/>
    <w:rsid w:val="00456518"/>
    <w:rsid w:val="00456628"/>
    <w:rsid w:val="00456635"/>
    <w:rsid w:val="00456B4D"/>
    <w:rsid w:val="004579F6"/>
    <w:rsid w:val="00457AB4"/>
    <w:rsid w:val="00457DFE"/>
    <w:rsid w:val="0046082B"/>
    <w:rsid w:val="00460A56"/>
    <w:rsid w:val="00460E08"/>
    <w:rsid w:val="00460F73"/>
    <w:rsid w:val="00461090"/>
    <w:rsid w:val="00461A78"/>
    <w:rsid w:val="00463658"/>
    <w:rsid w:val="00464819"/>
    <w:rsid w:val="00464B27"/>
    <w:rsid w:val="0046520B"/>
    <w:rsid w:val="00465463"/>
    <w:rsid w:val="004657B4"/>
    <w:rsid w:val="00465B1D"/>
    <w:rsid w:val="00465C47"/>
    <w:rsid w:val="00465D5D"/>
    <w:rsid w:val="00465D73"/>
    <w:rsid w:val="00465DD4"/>
    <w:rsid w:val="00466321"/>
    <w:rsid w:val="0046649A"/>
    <w:rsid w:val="004671B6"/>
    <w:rsid w:val="004674BA"/>
    <w:rsid w:val="00467637"/>
    <w:rsid w:val="004677BB"/>
    <w:rsid w:val="0046783E"/>
    <w:rsid w:val="00467A26"/>
    <w:rsid w:val="0047003A"/>
    <w:rsid w:val="00470052"/>
    <w:rsid w:val="00470A61"/>
    <w:rsid w:val="00470E8C"/>
    <w:rsid w:val="00471072"/>
    <w:rsid w:val="00471A71"/>
    <w:rsid w:val="00471CA0"/>
    <w:rsid w:val="00472B80"/>
    <w:rsid w:val="00473398"/>
    <w:rsid w:val="00473857"/>
    <w:rsid w:val="0047482D"/>
    <w:rsid w:val="00474BB9"/>
    <w:rsid w:val="00476399"/>
    <w:rsid w:val="004768FC"/>
    <w:rsid w:val="00476E60"/>
    <w:rsid w:val="004772BC"/>
    <w:rsid w:val="00477364"/>
    <w:rsid w:val="0047792F"/>
    <w:rsid w:val="004779CC"/>
    <w:rsid w:val="004809CA"/>
    <w:rsid w:val="00480A68"/>
    <w:rsid w:val="00480E43"/>
    <w:rsid w:val="00480E5B"/>
    <w:rsid w:val="0048120D"/>
    <w:rsid w:val="004817A3"/>
    <w:rsid w:val="00481C4A"/>
    <w:rsid w:val="00481D3C"/>
    <w:rsid w:val="00482207"/>
    <w:rsid w:val="004822E7"/>
    <w:rsid w:val="00482E6C"/>
    <w:rsid w:val="00484B9B"/>
    <w:rsid w:val="004853F5"/>
    <w:rsid w:val="004855F6"/>
    <w:rsid w:val="00485BC5"/>
    <w:rsid w:val="004861D1"/>
    <w:rsid w:val="0048661E"/>
    <w:rsid w:val="00486959"/>
    <w:rsid w:val="00487534"/>
    <w:rsid w:val="00487620"/>
    <w:rsid w:val="00487DE9"/>
    <w:rsid w:val="00487EA9"/>
    <w:rsid w:val="00490765"/>
    <w:rsid w:val="00490C53"/>
    <w:rsid w:val="0049171D"/>
    <w:rsid w:val="00491F2D"/>
    <w:rsid w:val="00492187"/>
    <w:rsid w:val="004926EE"/>
    <w:rsid w:val="00492A28"/>
    <w:rsid w:val="00492F33"/>
    <w:rsid w:val="00493A59"/>
    <w:rsid w:val="00494346"/>
    <w:rsid w:val="00494670"/>
    <w:rsid w:val="004951B0"/>
    <w:rsid w:val="00495C2C"/>
    <w:rsid w:val="0049630E"/>
    <w:rsid w:val="00496749"/>
    <w:rsid w:val="0049690D"/>
    <w:rsid w:val="00496E37"/>
    <w:rsid w:val="00496E57"/>
    <w:rsid w:val="004976FE"/>
    <w:rsid w:val="00497A0F"/>
    <w:rsid w:val="00497AF0"/>
    <w:rsid w:val="00497ECB"/>
    <w:rsid w:val="00497FC7"/>
    <w:rsid w:val="004A0673"/>
    <w:rsid w:val="004A0ADC"/>
    <w:rsid w:val="004A0E1E"/>
    <w:rsid w:val="004A0E95"/>
    <w:rsid w:val="004A0EA0"/>
    <w:rsid w:val="004A1094"/>
    <w:rsid w:val="004A1274"/>
    <w:rsid w:val="004A1B77"/>
    <w:rsid w:val="004A36F5"/>
    <w:rsid w:val="004A3823"/>
    <w:rsid w:val="004A3B34"/>
    <w:rsid w:val="004A42D3"/>
    <w:rsid w:val="004A43B4"/>
    <w:rsid w:val="004A493A"/>
    <w:rsid w:val="004A49C0"/>
    <w:rsid w:val="004A54D1"/>
    <w:rsid w:val="004A6016"/>
    <w:rsid w:val="004A652C"/>
    <w:rsid w:val="004A6826"/>
    <w:rsid w:val="004A72C1"/>
    <w:rsid w:val="004A73C8"/>
    <w:rsid w:val="004A7876"/>
    <w:rsid w:val="004A7B7B"/>
    <w:rsid w:val="004A7C9C"/>
    <w:rsid w:val="004A7D9B"/>
    <w:rsid w:val="004B0994"/>
    <w:rsid w:val="004B0E7B"/>
    <w:rsid w:val="004B1D47"/>
    <w:rsid w:val="004B2226"/>
    <w:rsid w:val="004B24CA"/>
    <w:rsid w:val="004B3E28"/>
    <w:rsid w:val="004B43F8"/>
    <w:rsid w:val="004B46A0"/>
    <w:rsid w:val="004B4F23"/>
    <w:rsid w:val="004B541E"/>
    <w:rsid w:val="004B56CD"/>
    <w:rsid w:val="004B590A"/>
    <w:rsid w:val="004B624C"/>
    <w:rsid w:val="004B6E92"/>
    <w:rsid w:val="004B74AA"/>
    <w:rsid w:val="004B7B47"/>
    <w:rsid w:val="004B7DA7"/>
    <w:rsid w:val="004B7DE9"/>
    <w:rsid w:val="004C1336"/>
    <w:rsid w:val="004C1757"/>
    <w:rsid w:val="004C19C0"/>
    <w:rsid w:val="004C1E44"/>
    <w:rsid w:val="004C2285"/>
    <w:rsid w:val="004C251C"/>
    <w:rsid w:val="004C2890"/>
    <w:rsid w:val="004C3CCF"/>
    <w:rsid w:val="004C3EA3"/>
    <w:rsid w:val="004C3FC6"/>
    <w:rsid w:val="004C495B"/>
    <w:rsid w:val="004C4F04"/>
    <w:rsid w:val="004C4FE5"/>
    <w:rsid w:val="004C65C0"/>
    <w:rsid w:val="004C667E"/>
    <w:rsid w:val="004C67B3"/>
    <w:rsid w:val="004C6A5B"/>
    <w:rsid w:val="004C6AD2"/>
    <w:rsid w:val="004C6E6F"/>
    <w:rsid w:val="004C70B0"/>
    <w:rsid w:val="004C7C27"/>
    <w:rsid w:val="004D012C"/>
    <w:rsid w:val="004D0147"/>
    <w:rsid w:val="004D0397"/>
    <w:rsid w:val="004D0887"/>
    <w:rsid w:val="004D0B10"/>
    <w:rsid w:val="004D1BFE"/>
    <w:rsid w:val="004D22DD"/>
    <w:rsid w:val="004D3AD6"/>
    <w:rsid w:val="004D3F74"/>
    <w:rsid w:val="004D4028"/>
    <w:rsid w:val="004D4892"/>
    <w:rsid w:val="004D50FF"/>
    <w:rsid w:val="004D57AC"/>
    <w:rsid w:val="004D5CB2"/>
    <w:rsid w:val="004D6D45"/>
    <w:rsid w:val="004D7677"/>
    <w:rsid w:val="004D769E"/>
    <w:rsid w:val="004D79EA"/>
    <w:rsid w:val="004D7E77"/>
    <w:rsid w:val="004E03FB"/>
    <w:rsid w:val="004E087B"/>
    <w:rsid w:val="004E09BE"/>
    <w:rsid w:val="004E0D59"/>
    <w:rsid w:val="004E0D82"/>
    <w:rsid w:val="004E15E5"/>
    <w:rsid w:val="004E1803"/>
    <w:rsid w:val="004E1EA0"/>
    <w:rsid w:val="004E2359"/>
    <w:rsid w:val="004E2572"/>
    <w:rsid w:val="004E3116"/>
    <w:rsid w:val="004E33D2"/>
    <w:rsid w:val="004E3428"/>
    <w:rsid w:val="004E3712"/>
    <w:rsid w:val="004E43FB"/>
    <w:rsid w:val="004E48C6"/>
    <w:rsid w:val="004E5A69"/>
    <w:rsid w:val="004E64F2"/>
    <w:rsid w:val="004E6528"/>
    <w:rsid w:val="004E6946"/>
    <w:rsid w:val="004E70CF"/>
    <w:rsid w:val="004E7EE9"/>
    <w:rsid w:val="004F020F"/>
    <w:rsid w:val="004F026C"/>
    <w:rsid w:val="004F0C5A"/>
    <w:rsid w:val="004F14D3"/>
    <w:rsid w:val="004F17D0"/>
    <w:rsid w:val="004F1AD8"/>
    <w:rsid w:val="004F1BBD"/>
    <w:rsid w:val="004F2247"/>
    <w:rsid w:val="004F2B43"/>
    <w:rsid w:val="004F2F2C"/>
    <w:rsid w:val="004F3625"/>
    <w:rsid w:val="004F36A2"/>
    <w:rsid w:val="004F3AE9"/>
    <w:rsid w:val="004F3B2E"/>
    <w:rsid w:val="004F3E2A"/>
    <w:rsid w:val="004F3F05"/>
    <w:rsid w:val="004F40A0"/>
    <w:rsid w:val="004F42E6"/>
    <w:rsid w:val="004F5150"/>
    <w:rsid w:val="004F56C6"/>
    <w:rsid w:val="004F5AC7"/>
    <w:rsid w:val="004F5ADA"/>
    <w:rsid w:val="004F61C7"/>
    <w:rsid w:val="004F64D2"/>
    <w:rsid w:val="004F68A0"/>
    <w:rsid w:val="004F6CA0"/>
    <w:rsid w:val="004F755B"/>
    <w:rsid w:val="004F7AFB"/>
    <w:rsid w:val="005006AB"/>
    <w:rsid w:val="00500E11"/>
    <w:rsid w:val="00501094"/>
    <w:rsid w:val="005011A8"/>
    <w:rsid w:val="005015D9"/>
    <w:rsid w:val="0050189C"/>
    <w:rsid w:val="005018A9"/>
    <w:rsid w:val="005019A1"/>
    <w:rsid w:val="005034E1"/>
    <w:rsid w:val="00503513"/>
    <w:rsid w:val="00503856"/>
    <w:rsid w:val="005039CB"/>
    <w:rsid w:val="00503B84"/>
    <w:rsid w:val="0050401A"/>
    <w:rsid w:val="005048AD"/>
    <w:rsid w:val="005048D8"/>
    <w:rsid w:val="00504D92"/>
    <w:rsid w:val="00504FB5"/>
    <w:rsid w:val="00505372"/>
    <w:rsid w:val="0050558F"/>
    <w:rsid w:val="00505D0F"/>
    <w:rsid w:val="0050609F"/>
    <w:rsid w:val="00506286"/>
    <w:rsid w:val="00506362"/>
    <w:rsid w:val="005070DD"/>
    <w:rsid w:val="005076FC"/>
    <w:rsid w:val="00507EB2"/>
    <w:rsid w:val="00510421"/>
    <w:rsid w:val="00510523"/>
    <w:rsid w:val="00510813"/>
    <w:rsid w:val="00510F73"/>
    <w:rsid w:val="00511990"/>
    <w:rsid w:val="00511A65"/>
    <w:rsid w:val="00511D89"/>
    <w:rsid w:val="00511DE0"/>
    <w:rsid w:val="00512547"/>
    <w:rsid w:val="00512566"/>
    <w:rsid w:val="00512D45"/>
    <w:rsid w:val="00513042"/>
    <w:rsid w:val="005132FA"/>
    <w:rsid w:val="00513827"/>
    <w:rsid w:val="005138BD"/>
    <w:rsid w:val="00513A69"/>
    <w:rsid w:val="00514870"/>
    <w:rsid w:val="005148EA"/>
    <w:rsid w:val="00514AC2"/>
    <w:rsid w:val="00514B9B"/>
    <w:rsid w:val="00514BC5"/>
    <w:rsid w:val="00514D74"/>
    <w:rsid w:val="00515022"/>
    <w:rsid w:val="0051508A"/>
    <w:rsid w:val="005158D5"/>
    <w:rsid w:val="00515B6D"/>
    <w:rsid w:val="005160F9"/>
    <w:rsid w:val="00516451"/>
    <w:rsid w:val="00516780"/>
    <w:rsid w:val="0051692B"/>
    <w:rsid w:val="00516B70"/>
    <w:rsid w:val="00516C6C"/>
    <w:rsid w:val="005179DF"/>
    <w:rsid w:val="00517B42"/>
    <w:rsid w:val="00517CC9"/>
    <w:rsid w:val="00517F02"/>
    <w:rsid w:val="005201DD"/>
    <w:rsid w:val="00520962"/>
    <w:rsid w:val="005209F4"/>
    <w:rsid w:val="00520AA1"/>
    <w:rsid w:val="00520C7F"/>
    <w:rsid w:val="00520CD1"/>
    <w:rsid w:val="00520F6A"/>
    <w:rsid w:val="0052132D"/>
    <w:rsid w:val="005217AF"/>
    <w:rsid w:val="005217C4"/>
    <w:rsid w:val="00521B2C"/>
    <w:rsid w:val="0052201E"/>
    <w:rsid w:val="0052289E"/>
    <w:rsid w:val="00522A81"/>
    <w:rsid w:val="00522DA1"/>
    <w:rsid w:val="00523514"/>
    <w:rsid w:val="00523E05"/>
    <w:rsid w:val="00523FAE"/>
    <w:rsid w:val="00524117"/>
    <w:rsid w:val="00524303"/>
    <w:rsid w:val="00524991"/>
    <w:rsid w:val="005254EA"/>
    <w:rsid w:val="005258A2"/>
    <w:rsid w:val="00525B97"/>
    <w:rsid w:val="00525CE5"/>
    <w:rsid w:val="005261ED"/>
    <w:rsid w:val="00527141"/>
    <w:rsid w:val="00527D90"/>
    <w:rsid w:val="0053092B"/>
    <w:rsid w:val="00530C42"/>
    <w:rsid w:val="005326C8"/>
    <w:rsid w:val="00532C6D"/>
    <w:rsid w:val="005333FD"/>
    <w:rsid w:val="005334E9"/>
    <w:rsid w:val="00533AB8"/>
    <w:rsid w:val="00533E2E"/>
    <w:rsid w:val="00534169"/>
    <w:rsid w:val="005347D2"/>
    <w:rsid w:val="00534D70"/>
    <w:rsid w:val="00534E1C"/>
    <w:rsid w:val="00534F88"/>
    <w:rsid w:val="00535024"/>
    <w:rsid w:val="00535A92"/>
    <w:rsid w:val="00535F39"/>
    <w:rsid w:val="005360F4"/>
    <w:rsid w:val="0053681C"/>
    <w:rsid w:val="00537255"/>
    <w:rsid w:val="00537708"/>
    <w:rsid w:val="005377D9"/>
    <w:rsid w:val="00537F07"/>
    <w:rsid w:val="00537FA7"/>
    <w:rsid w:val="005401AE"/>
    <w:rsid w:val="00540A86"/>
    <w:rsid w:val="00540E60"/>
    <w:rsid w:val="00541185"/>
    <w:rsid w:val="005419E5"/>
    <w:rsid w:val="00541CB6"/>
    <w:rsid w:val="005420B7"/>
    <w:rsid w:val="00542314"/>
    <w:rsid w:val="00542467"/>
    <w:rsid w:val="00542E07"/>
    <w:rsid w:val="00542EB3"/>
    <w:rsid w:val="00543277"/>
    <w:rsid w:val="00543332"/>
    <w:rsid w:val="00543C23"/>
    <w:rsid w:val="00543C6C"/>
    <w:rsid w:val="00544114"/>
    <w:rsid w:val="005446FD"/>
    <w:rsid w:val="00545424"/>
    <w:rsid w:val="00545777"/>
    <w:rsid w:val="0054599B"/>
    <w:rsid w:val="00545E81"/>
    <w:rsid w:val="005462A6"/>
    <w:rsid w:val="00546716"/>
    <w:rsid w:val="005468C7"/>
    <w:rsid w:val="00547092"/>
    <w:rsid w:val="00547565"/>
    <w:rsid w:val="00547A68"/>
    <w:rsid w:val="005507D4"/>
    <w:rsid w:val="00550979"/>
    <w:rsid w:val="005509C3"/>
    <w:rsid w:val="00551153"/>
    <w:rsid w:val="005511F1"/>
    <w:rsid w:val="00551537"/>
    <w:rsid w:val="00551C3C"/>
    <w:rsid w:val="005525AE"/>
    <w:rsid w:val="0055273E"/>
    <w:rsid w:val="005528F7"/>
    <w:rsid w:val="005533E8"/>
    <w:rsid w:val="00553659"/>
    <w:rsid w:val="0055390B"/>
    <w:rsid w:val="00553B4F"/>
    <w:rsid w:val="00554061"/>
    <w:rsid w:val="005541F7"/>
    <w:rsid w:val="00554634"/>
    <w:rsid w:val="00554A7B"/>
    <w:rsid w:val="00554B1C"/>
    <w:rsid w:val="00554CC1"/>
    <w:rsid w:val="00554F55"/>
    <w:rsid w:val="00555115"/>
    <w:rsid w:val="005554D8"/>
    <w:rsid w:val="0055572C"/>
    <w:rsid w:val="0055654C"/>
    <w:rsid w:val="00556B9D"/>
    <w:rsid w:val="00556D28"/>
    <w:rsid w:val="00556F64"/>
    <w:rsid w:val="005570FD"/>
    <w:rsid w:val="005579C9"/>
    <w:rsid w:val="0056040C"/>
    <w:rsid w:val="0056041F"/>
    <w:rsid w:val="00560B64"/>
    <w:rsid w:val="00560E3F"/>
    <w:rsid w:val="0056106A"/>
    <w:rsid w:val="00561595"/>
    <w:rsid w:val="00561A39"/>
    <w:rsid w:val="00561C4C"/>
    <w:rsid w:val="00562217"/>
    <w:rsid w:val="00562698"/>
    <w:rsid w:val="005629F4"/>
    <w:rsid w:val="00562BCF"/>
    <w:rsid w:val="00562F12"/>
    <w:rsid w:val="00562F52"/>
    <w:rsid w:val="00563254"/>
    <w:rsid w:val="005636DC"/>
    <w:rsid w:val="0056376B"/>
    <w:rsid w:val="00563CDA"/>
    <w:rsid w:val="005641B8"/>
    <w:rsid w:val="00564362"/>
    <w:rsid w:val="005649B0"/>
    <w:rsid w:val="00564B98"/>
    <w:rsid w:val="00564C3B"/>
    <w:rsid w:val="00564E7C"/>
    <w:rsid w:val="00565480"/>
    <w:rsid w:val="005656B7"/>
    <w:rsid w:val="00565CB9"/>
    <w:rsid w:val="00565D76"/>
    <w:rsid w:val="005668E3"/>
    <w:rsid w:val="00566976"/>
    <w:rsid w:val="00566C7F"/>
    <w:rsid w:val="00567649"/>
    <w:rsid w:val="00567717"/>
    <w:rsid w:val="00567AD0"/>
    <w:rsid w:val="00570082"/>
    <w:rsid w:val="005708EE"/>
    <w:rsid w:val="00570D80"/>
    <w:rsid w:val="00571159"/>
    <w:rsid w:val="0057181F"/>
    <w:rsid w:val="00571CCB"/>
    <w:rsid w:val="00571F31"/>
    <w:rsid w:val="00571F5B"/>
    <w:rsid w:val="005720AE"/>
    <w:rsid w:val="00572F65"/>
    <w:rsid w:val="00573551"/>
    <w:rsid w:val="0057404E"/>
    <w:rsid w:val="00574140"/>
    <w:rsid w:val="00574FB7"/>
    <w:rsid w:val="00576431"/>
    <w:rsid w:val="005765AE"/>
    <w:rsid w:val="0057670A"/>
    <w:rsid w:val="00576AB8"/>
    <w:rsid w:val="00576B87"/>
    <w:rsid w:val="00576CFB"/>
    <w:rsid w:val="005775C0"/>
    <w:rsid w:val="00577A2D"/>
    <w:rsid w:val="00577DD9"/>
    <w:rsid w:val="00581005"/>
    <w:rsid w:val="00582400"/>
    <w:rsid w:val="005827D8"/>
    <w:rsid w:val="00582CD6"/>
    <w:rsid w:val="00582E97"/>
    <w:rsid w:val="005831A8"/>
    <w:rsid w:val="005831D8"/>
    <w:rsid w:val="005835C4"/>
    <w:rsid w:val="00583708"/>
    <w:rsid w:val="0058386B"/>
    <w:rsid w:val="00583B96"/>
    <w:rsid w:val="00583F38"/>
    <w:rsid w:val="00584958"/>
    <w:rsid w:val="00584B57"/>
    <w:rsid w:val="00584B65"/>
    <w:rsid w:val="005854AB"/>
    <w:rsid w:val="005857F1"/>
    <w:rsid w:val="00586273"/>
    <w:rsid w:val="00586322"/>
    <w:rsid w:val="005868AF"/>
    <w:rsid w:val="00586A48"/>
    <w:rsid w:val="005876BA"/>
    <w:rsid w:val="00587B42"/>
    <w:rsid w:val="00587CA6"/>
    <w:rsid w:val="0059045D"/>
    <w:rsid w:val="0059066A"/>
    <w:rsid w:val="00591145"/>
    <w:rsid w:val="00591808"/>
    <w:rsid w:val="00591DC9"/>
    <w:rsid w:val="00592588"/>
    <w:rsid w:val="00592E54"/>
    <w:rsid w:val="0059367B"/>
    <w:rsid w:val="005936A0"/>
    <w:rsid w:val="00593AC5"/>
    <w:rsid w:val="00593BE0"/>
    <w:rsid w:val="00594233"/>
    <w:rsid w:val="005948FC"/>
    <w:rsid w:val="00594D77"/>
    <w:rsid w:val="00594F3E"/>
    <w:rsid w:val="0059616A"/>
    <w:rsid w:val="00596265"/>
    <w:rsid w:val="00596680"/>
    <w:rsid w:val="005969B1"/>
    <w:rsid w:val="005969E4"/>
    <w:rsid w:val="00596A2A"/>
    <w:rsid w:val="00596E4D"/>
    <w:rsid w:val="00596F68"/>
    <w:rsid w:val="0059785F"/>
    <w:rsid w:val="00597DAC"/>
    <w:rsid w:val="00597E10"/>
    <w:rsid w:val="005A06B7"/>
    <w:rsid w:val="005A0805"/>
    <w:rsid w:val="005A0851"/>
    <w:rsid w:val="005A0B1D"/>
    <w:rsid w:val="005A1759"/>
    <w:rsid w:val="005A1763"/>
    <w:rsid w:val="005A18EF"/>
    <w:rsid w:val="005A1BC8"/>
    <w:rsid w:val="005A241A"/>
    <w:rsid w:val="005A254C"/>
    <w:rsid w:val="005A2A61"/>
    <w:rsid w:val="005A2C12"/>
    <w:rsid w:val="005A2F6C"/>
    <w:rsid w:val="005A3313"/>
    <w:rsid w:val="005A34C0"/>
    <w:rsid w:val="005A36F7"/>
    <w:rsid w:val="005A3734"/>
    <w:rsid w:val="005A37D5"/>
    <w:rsid w:val="005A3A75"/>
    <w:rsid w:val="005A415F"/>
    <w:rsid w:val="005A4E8A"/>
    <w:rsid w:val="005A4F45"/>
    <w:rsid w:val="005A6437"/>
    <w:rsid w:val="005A68A7"/>
    <w:rsid w:val="005A68C0"/>
    <w:rsid w:val="005A6EF5"/>
    <w:rsid w:val="005B0182"/>
    <w:rsid w:val="005B0512"/>
    <w:rsid w:val="005B0559"/>
    <w:rsid w:val="005B0601"/>
    <w:rsid w:val="005B090A"/>
    <w:rsid w:val="005B0D08"/>
    <w:rsid w:val="005B0E6F"/>
    <w:rsid w:val="005B11C8"/>
    <w:rsid w:val="005B1CC5"/>
    <w:rsid w:val="005B2B46"/>
    <w:rsid w:val="005B305A"/>
    <w:rsid w:val="005B375F"/>
    <w:rsid w:val="005B37D0"/>
    <w:rsid w:val="005B3984"/>
    <w:rsid w:val="005B3CB9"/>
    <w:rsid w:val="005B4D6F"/>
    <w:rsid w:val="005B501E"/>
    <w:rsid w:val="005B506C"/>
    <w:rsid w:val="005B52B5"/>
    <w:rsid w:val="005B5468"/>
    <w:rsid w:val="005B59E6"/>
    <w:rsid w:val="005B5EB2"/>
    <w:rsid w:val="005B62E6"/>
    <w:rsid w:val="005B63F0"/>
    <w:rsid w:val="005B6487"/>
    <w:rsid w:val="005B770F"/>
    <w:rsid w:val="005B77E9"/>
    <w:rsid w:val="005B7A97"/>
    <w:rsid w:val="005C023B"/>
    <w:rsid w:val="005C0437"/>
    <w:rsid w:val="005C05F1"/>
    <w:rsid w:val="005C0A28"/>
    <w:rsid w:val="005C0B2A"/>
    <w:rsid w:val="005C0EFF"/>
    <w:rsid w:val="005C191F"/>
    <w:rsid w:val="005C1CFB"/>
    <w:rsid w:val="005C2005"/>
    <w:rsid w:val="005C217E"/>
    <w:rsid w:val="005C251E"/>
    <w:rsid w:val="005C3193"/>
    <w:rsid w:val="005C3A5F"/>
    <w:rsid w:val="005C3BFE"/>
    <w:rsid w:val="005C3C29"/>
    <w:rsid w:val="005C4BFB"/>
    <w:rsid w:val="005C596D"/>
    <w:rsid w:val="005C5A37"/>
    <w:rsid w:val="005C5BB4"/>
    <w:rsid w:val="005C5CB4"/>
    <w:rsid w:val="005C635C"/>
    <w:rsid w:val="005C63FF"/>
    <w:rsid w:val="005C68C3"/>
    <w:rsid w:val="005C6BD7"/>
    <w:rsid w:val="005C70B7"/>
    <w:rsid w:val="005C73CC"/>
    <w:rsid w:val="005C74EA"/>
    <w:rsid w:val="005D011C"/>
    <w:rsid w:val="005D06AC"/>
    <w:rsid w:val="005D0EA2"/>
    <w:rsid w:val="005D12C7"/>
    <w:rsid w:val="005D1B5D"/>
    <w:rsid w:val="005D1EC8"/>
    <w:rsid w:val="005D2091"/>
    <w:rsid w:val="005D2187"/>
    <w:rsid w:val="005D21A5"/>
    <w:rsid w:val="005D21B2"/>
    <w:rsid w:val="005D27D3"/>
    <w:rsid w:val="005D27FF"/>
    <w:rsid w:val="005D2A1A"/>
    <w:rsid w:val="005D2D63"/>
    <w:rsid w:val="005D3649"/>
    <w:rsid w:val="005D36AB"/>
    <w:rsid w:val="005D4D6E"/>
    <w:rsid w:val="005D52EF"/>
    <w:rsid w:val="005D56CF"/>
    <w:rsid w:val="005D5749"/>
    <w:rsid w:val="005D5E5E"/>
    <w:rsid w:val="005D67C8"/>
    <w:rsid w:val="005D6801"/>
    <w:rsid w:val="005D790C"/>
    <w:rsid w:val="005D7C66"/>
    <w:rsid w:val="005E0116"/>
    <w:rsid w:val="005E01B6"/>
    <w:rsid w:val="005E0727"/>
    <w:rsid w:val="005E08CC"/>
    <w:rsid w:val="005E0F29"/>
    <w:rsid w:val="005E0FC1"/>
    <w:rsid w:val="005E15FD"/>
    <w:rsid w:val="005E2818"/>
    <w:rsid w:val="005E2845"/>
    <w:rsid w:val="005E2F82"/>
    <w:rsid w:val="005E335D"/>
    <w:rsid w:val="005E4197"/>
    <w:rsid w:val="005E4679"/>
    <w:rsid w:val="005E5347"/>
    <w:rsid w:val="005E5688"/>
    <w:rsid w:val="005E59CD"/>
    <w:rsid w:val="005E5A9D"/>
    <w:rsid w:val="005E7142"/>
    <w:rsid w:val="005E7192"/>
    <w:rsid w:val="005E7704"/>
    <w:rsid w:val="005E79C3"/>
    <w:rsid w:val="005E7FE3"/>
    <w:rsid w:val="005F0395"/>
    <w:rsid w:val="005F1532"/>
    <w:rsid w:val="005F1CC9"/>
    <w:rsid w:val="005F286B"/>
    <w:rsid w:val="005F3158"/>
    <w:rsid w:val="005F3342"/>
    <w:rsid w:val="005F3785"/>
    <w:rsid w:val="005F3D62"/>
    <w:rsid w:val="005F3E46"/>
    <w:rsid w:val="005F3F35"/>
    <w:rsid w:val="005F462C"/>
    <w:rsid w:val="005F46B5"/>
    <w:rsid w:val="005F53D2"/>
    <w:rsid w:val="005F55A1"/>
    <w:rsid w:val="005F5B8F"/>
    <w:rsid w:val="005F6307"/>
    <w:rsid w:val="005F695B"/>
    <w:rsid w:val="005F6C22"/>
    <w:rsid w:val="005F6E6A"/>
    <w:rsid w:val="005F7EDC"/>
    <w:rsid w:val="006001CF"/>
    <w:rsid w:val="006004B4"/>
    <w:rsid w:val="00600500"/>
    <w:rsid w:val="0060082C"/>
    <w:rsid w:val="006010B2"/>
    <w:rsid w:val="0060168B"/>
    <w:rsid w:val="00601D23"/>
    <w:rsid w:val="00601E80"/>
    <w:rsid w:val="0060200A"/>
    <w:rsid w:val="00602471"/>
    <w:rsid w:val="006026F0"/>
    <w:rsid w:val="00602D7C"/>
    <w:rsid w:val="0060361F"/>
    <w:rsid w:val="0060388C"/>
    <w:rsid w:val="006038DA"/>
    <w:rsid w:val="0060425F"/>
    <w:rsid w:val="0060475B"/>
    <w:rsid w:val="006049AC"/>
    <w:rsid w:val="00604F2A"/>
    <w:rsid w:val="006053AC"/>
    <w:rsid w:val="00605475"/>
    <w:rsid w:val="0060581A"/>
    <w:rsid w:val="00605C60"/>
    <w:rsid w:val="00605CB5"/>
    <w:rsid w:val="00605CBD"/>
    <w:rsid w:val="00605D50"/>
    <w:rsid w:val="006061ED"/>
    <w:rsid w:val="0060620C"/>
    <w:rsid w:val="00610908"/>
    <w:rsid w:val="00611846"/>
    <w:rsid w:val="006121B2"/>
    <w:rsid w:val="006125BE"/>
    <w:rsid w:val="0061283D"/>
    <w:rsid w:val="00612EFB"/>
    <w:rsid w:val="0061300F"/>
    <w:rsid w:val="0061335C"/>
    <w:rsid w:val="006133B0"/>
    <w:rsid w:val="0061345D"/>
    <w:rsid w:val="006143CE"/>
    <w:rsid w:val="0061485B"/>
    <w:rsid w:val="00614CE5"/>
    <w:rsid w:val="00614E04"/>
    <w:rsid w:val="00614E83"/>
    <w:rsid w:val="00616002"/>
    <w:rsid w:val="00616FEA"/>
    <w:rsid w:val="00617064"/>
    <w:rsid w:val="0061742C"/>
    <w:rsid w:val="006179CE"/>
    <w:rsid w:val="00617CC3"/>
    <w:rsid w:val="00620396"/>
    <w:rsid w:val="00620FF7"/>
    <w:rsid w:val="00621547"/>
    <w:rsid w:val="006218BA"/>
    <w:rsid w:val="00621B4B"/>
    <w:rsid w:val="00622072"/>
    <w:rsid w:val="006223FA"/>
    <w:rsid w:val="00622413"/>
    <w:rsid w:val="00622875"/>
    <w:rsid w:val="00623437"/>
    <w:rsid w:val="006243D9"/>
    <w:rsid w:val="00624420"/>
    <w:rsid w:val="00624E0C"/>
    <w:rsid w:val="00625206"/>
    <w:rsid w:val="0062617E"/>
    <w:rsid w:val="006266AC"/>
    <w:rsid w:val="006267ED"/>
    <w:rsid w:val="00626FEB"/>
    <w:rsid w:val="00626FF1"/>
    <w:rsid w:val="006270CD"/>
    <w:rsid w:val="0062746B"/>
    <w:rsid w:val="00627657"/>
    <w:rsid w:val="00630085"/>
    <w:rsid w:val="00630EAF"/>
    <w:rsid w:val="006313D0"/>
    <w:rsid w:val="006315CF"/>
    <w:rsid w:val="0063183D"/>
    <w:rsid w:val="00631C1C"/>
    <w:rsid w:val="00631FDF"/>
    <w:rsid w:val="006324B6"/>
    <w:rsid w:val="0063365E"/>
    <w:rsid w:val="00633978"/>
    <w:rsid w:val="00634736"/>
    <w:rsid w:val="0063556E"/>
    <w:rsid w:val="00635886"/>
    <w:rsid w:val="00635948"/>
    <w:rsid w:val="00636AC7"/>
    <w:rsid w:val="00636FAF"/>
    <w:rsid w:val="00637185"/>
    <w:rsid w:val="006377A6"/>
    <w:rsid w:val="00637A3D"/>
    <w:rsid w:val="00637A8B"/>
    <w:rsid w:val="00640137"/>
    <w:rsid w:val="0064088D"/>
    <w:rsid w:val="00640A96"/>
    <w:rsid w:val="006411EF"/>
    <w:rsid w:val="00641B4D"/>
    <w:rsid w:val="0064230E"/>
    <w:rsid w:val="00642A75"/>
    <w:rsid w:val="00642AAE"/>
    <w:rsid w:val="006431E7"/>
    <w:rsid w:val="006434D8"/>
    <w:rsid w:val="006438D9"/>
    <w:rsid w:val="00643E0E"/>
    <w:rsid w:val="00644577"/>
    <w:rsid w:val="006446B3"/>
    <w:rsid w:val="00644CAC"/>
    <w:rsid w:val="006450C0"/>
    <w:rsid w:val="00645A26"/>
    <w:rsid w:val="00646D0F"/>
    <w:rsid w:val="00646ECE"/>
    <w:rsid w:val="00647146"/>
    <w:rsid w:val="00647659"/>
    <w:rsid w:val="006476E7"/>
    <w:rsid w:val="00650266"/>
    <w:rsid w:val="0065047C"/>
    <w:rsid w:val="00651012"/>
    <w:rsid w:val="00651347"/>
    <w:rsid w:val="006519C8"/>
    <w:rsid w:val="00651AD3"/>
    <w:rsid w:val="006520E7"/>
    <w:rsid w:val="0065224A"/>
    <w:rsid w:val="006522AC"/>
    <w:rsid w:val="0065283E"/>
    <w:rsid w:val="00652E2E"/>
    <w:rsid w:val="006541F1"/>
    <w:rsid w:val="00654456"/>
    <w:rsid w:val="00654D82"/>
    <w:rsid w:val="0065516F"/>
    <w:rsid w:val="006562D4"/>
    <w:rsid w:val="00656863"/>
    <w:rsid w:val="00656D8D"/>
    <w:rsid w:val="00656E10"/>
    <w:rsid w:val="00657BDF"/>
    <w:rsid w:val="00660000"/>
    <w:rsid w:val="0066064E"/>
    <w:rsid w:val="00660670"/>
    <w:rsid w:val="00660B00"/>
    <w:rsid w:val="00660D80"/>
    <w:rsid w:val="00661170"/>
    <w:rsid w:val="006611E8"/>
    <w:rsid w:val="0066156D"/>
    <w:rsid w:val="00662689"/>
    <w:rsid w:val="00662D1D"/>
    <w:rsid w:val="00663C67"/>
    <w:rsid w:val="0066434E"/>
    <w:rsid w:val="00664741"/>
    <w:rsid w:val="00665538"/>
    <w:rsid w:val="0066601D"/>
    <w:rsid w:val="00666249"/>
    <w:rsid w:val="006662D3"/>
    <w:rsid w:val="006663E5"/>
    <w:rsid w:val="00666488"/>
    <w:rsid w:val="00666746"/>
    <w:rsid w:val="00666D34"/>
    <w:rsid w:val="0066743F"/>
    <w:rsid w:val="0066747C"/>
    <w:rsid w:val="00667781"/>
    <w:rsid w:val="00667BDC"/>
    <w:rsid w:val="006700CA"/>
    <w:rsid w:val="00670308"/>
    <w:rsid w:val="006710A0"/>
    <w:rsid w:val="00671B35"/>
    <w:rsid w:val="00671DA8"/>
    <w:rsid w:val="0067245B"/>
    <w:rsid w:val="006724C7"/>
    <w:rsid w:val="0067264C"/>
    <w:rsid w:val="006726AA"/>
    <w:rsid w:val="00672847"/>
    <w:rsid w:val="00672DC9"/>
    <w:rsid w:val="006732FE"/>
    <w:rsid w:val="00673542"/>
    <w:rsid w:val="00673841"/>
    <w:rsid w:val="00673B5C"/>
    <w:rsid w:val="00674432"/>
    <w:rsid w:val="006748B2"/>
    <w:rsid w:val="006748B8"/>
    <w:rsid w:val="00674A77"/>
    <w:rsid w:val="006750E3"/>
    <w:rsid w:val="00675A5D"/>
    <w:rsid w:val="00675C6D"/>
    <w:rsid w:val="00675E02"/>
    <w:rsid w:val="006766F0"/>
    <w:rsid w:val="00676CA9"/>
    <w:rsid w:val="006775BF"/>
    <w:rsid w:val="006775C3"/>
    <w:rsid w:val="0067767B"/>
    <w:rsid w:val="00677788"/>
    <w:rsid w:val="00677792"/>
    <w:rsid w:val="00677B52"/>
    <w:rsid w:val="0068007C"/>
    <w:rsid w:val="0068059E"/>
    <w:rsid w:val="006806F4"/>
    <w:rsid w:val="00680BCA"/>
    <w:rsid w:val="00681D9E"/>
    <w:rsid w:val="0068219A"/>
    <w:rsid w:val="00682763"/>
    <w:rsid w:val="00683382"/>
    <w:rsid w:val="006834D5"/>
    <w:rsid w:val="006835CA"/>
    <w:rsid w:val="00683AAA"/>
    <w:rsid w:val="0068402F"/>
    <w:rsid w:val="00684140"/>
    <w:rsid w:val="00684641"/>
    <w:rsid w:val="00684849"/>
    <w:rsid w:val="00685375"/>
    <w:rsid w:val="00685916"/>
    <w:rsid w:val="00685B81"/>
    <w:rsid w:val="00685E0E"/>
    <w:rsid w:val="00686614"/>
    <w:rsid w:val="00686AEA"/>
    <w:rsid w:val="0068729F"/>
    <w:rsid w:val="00687BF3"/>
    <w:rsid w:val="0069028F"/>
    <w:rsid w:val="006903B0"/>
    <w:rsid w:val="006910FA"/>
    <w:rsid w:val="00691269"/>
    <w:rsid w:val="00691476"/>
    <w:rsid w:val="006926DB"/>
    <w:rsid w:val="0069290A"/>
    <w:rsid w:val="00693394"/>
    <w:rsid w:val="00693BBA"/>
    <w:rsid w:val="0069401B"/>
    <w:rsid w:val="00694253"/>
    <w:rsid w:val="006943CA"/>
    <w:rsid w:val="006944E9"/>
    <w:rsid w:val="00694594"/>
    <w:rsid w:val="00694859"/>
    <w:rsid w:val="00694C5F"/>
    <w:rsid w:val="00694CAD"/>
    <w:rsid w:val="00695383"/>
    <w:rsid w:val="0069733D"/>
    <w:rsid w:val="006974A4"/>
    <w:rsid w:val="0069775A"/>
    <w:rsid w:val="00697813"/>
    <w:rsid w:val="006A0154"/>
    <w:rsid w:val="006A04CE"/>
    <w:rsid w:val="006A061C"/>
    <w:rsid w:val="006A0662"/>
    <w:rsid w:val="006A0827"/>
    <w:rsid w:val="006A0A20"/>
    <w:rsid w:val="006A1204"/>
    <w:rsid w:val="006A132A"/>
    <w:rsid w:val="006A14EC"/>
    <w:rsid w:val="006A1925"/>
    <w:rsid w:val="006A1D7B"/>
    <w:rsid w:val="006A1FD7"/>
    <w:rsid w:val="006A2091"/>
    <w:rsid w:val="006A22B7"/>
    <w:rsid w:val="006A24DC"/>
    <w:rsid w:val="006A39E5"/>
    <w:rsid w:val="006A3EE8"/>
    <w:rsid w:val="006A49BD"/>
    <w:rsid w:val="006A5157"/>
    <w:rsid w:val="006A5EC0"/>
    <w:rsid w:val="006A5F61"/>
    <w:rsid w:val="006A607D"/>
    <w:rsid w:val="006A67E7"/>
    <w:rsid w:val="006A681E"/>
    <w:rsid w:val="006A70CF"/>
    <w:rsid w:val="006A72BF"/>
    <w:rsid w:val="006A7363"/>
    <w:rsid w:val="006A7451"/>
    <w:rsid w:val="006A7A75"/>
    <w:rsid w:val="006A7BF2"/>
    <w:rsid w:val="006A7C71"/>
    <w:rsid w:val="006A7CD5"/>
    <w:rsid w:val="006A7E70"/>
    <w:rsid w:val="006A7FE1"/>
    <w:rsid w:val="006B03F2"/>
    <w:rsid w:val="006B049A"/>
    <w:rsid w:val="006B0D91"/>
    <w:rsid w:val="006B10ED"/>
    <w:rsid w:val="006B1F5C"/>
    <w:rsid w:val="006B25BF"/>
    <w:rsid w:val="006B25C5"/>
    <w:rsid w:val="006B2843"/>
    <w:rsid w:val="006B2AB0"/>
    <w:rsid w:val="006B3362"/>
    <w:rsid w:val="006B376C"/>
    <w:rsid w:val="006B37DC"/>
    <w:rsid w:val="006B3C63"/>
    <w:rsid w:val="006B3D74"/>
    <w:rsid w:val="006B44F1"/>
    <w:rsid w:val="006B46C2"/>
    <w:rsid w:val="006B47C1"/>
    <w:rsid w:val="006B4F68"/>
    <w:rsid w:val="006B5A56"/>
    <w:rsid w:val="006B5CA4"/>
    <w:rsid w:val="006B5D0A"/>
    <w:rsid w:val="006B64AE"/>
    <w:rsid w:val="006B6D4A"/>
    <w:rsid w:val="006B6ED3"/>
    <w:rsid w:val="006B75EA"/>
    <w:rsid w:val="006B7DC2"/>
    <w:rsid w:val="006C02B8"/>
    <w:rsid w:val="006C0592"/>
    <w:rsid w:val="006C0612"/>
    <w:rsid w:val="006C0801"/>
    <w:rsid w:val="006C0F03"/>
    <w:rsid w:val="006C121B"/>
    <w:rsid w:val="006C1960"/>
    <w:rsid w:val="006C1C0A"/>
    <w:rsid w:val="006C206B"/>
    <w:rsid w:val="006C272E"/>
    <w:rsid w:val="006C2946"/>
    <w:rsid w:val="006C2F41"/>
    <w:rsid w:val="006C312B"/>
    <w:rsid w:val="006C3884"/>
    <w:rsid w:val="006C3D49"/>
    <w:rsid w:val="006C3F76"/>
    <w:rsid w:val="006C49FB"/>
    <w:rsid w:val="006C4F8B"/>
    <w:rsid w:val="006C50E3"/>
    <w:rsid w:val="006C5479"/>
    <w:rsid w:val="006C5CDC"/>
    <w:rsid w:val="006C5E79"/>
    <w:rsid w:val="006C636A"/>
    <w:rsid w:val="006C6811"/>
    <w:rsid w:val="006C68E2"/>
    <w:rsid w:val="006C6A15"/>
    <w:rsid w:val="006C6A5C"/>
    <w:rsid w:val="006C6D15"/>
    <w:rsid w:val="006C6DDB"/>
    <w:rsid w:val="006C7873"/>
    <w:rsid w:val="006C7ABF"/>
    <w:rsid w:val="006C7C9A"/>
    <w:rsid w:val="006C7FDF"/>
    <w:rsid w:val="006D01D0"/>
    <w:rsid w:val="006D0494"/>
    <w:rsid w:val="006D0540"/>
    <w:rsid w:val="006D0553"/>
    <w:rsid w:val="006D07BB"/>
    <w:rsid w:val="006D0D27"/>
    <w:rsid w:val="006D12B3"/>
    <w:rsid w:val="006D13B5"/>
    <w:rsid w:val="006D1490"/>
    <w:rsid w:val="006D1592"/>
    <w:rsid w:val="006D15A9"/>
    <w:rsid w:val="006D1A5C"/>
    <w:rsid w:val="006D1DA1"/>
    <w:rsid w:val="006D2311"/>
    <w:rsid w:val="006D236E"/>
    <w:rsid w:val="006D2C98"/>
    <w:rsid w:val="006D2DC9"/>
    <w:rsid w:val="006D413B"/>
    <w:rsid w:val="006D4D93"/>
    <w:rsid w:val="006D51C6"/>
    <w:rsid w:val="006D543D"/>
    <w:rsid w:val="006D572D"/>
    <w:rsid w:val="006D605F"/>
    <w:rsid w:val="006D60B5"/>
    <w:rsid w:val="006D6171"/>
    <w:rsid w:val="006D6268"/>
    <w:rsid w:val="006D70C7"/>
    <w:rsid w:val="006D7209"/>
    <w:rsid w:val="006D7603"/>
    <w:rsid w:val="006D7A4F"/>
    <w:rsid w:val="006D7BC0"/>
    <w:rsid w:val="006D7CA7"/>
    <w:rsid w:val="006E0152"/>
    <w:rsid w:val="006E0753"/>
    <w:rsid w:val="006E07F9"/>
    <w:rsid w:val="006E0C7A"/>
    <w:rsid w:val="006E12FF"/>
    <w:rsid w:val="006E2212"/>
    <w:rsid w:val="006E233A"/>
    <w:rsid w:val="006E25F4"/>
    <w:rsid w:val="006E3676"/>
    <w:rsid w:val="006E36E3"/>
    <w:rsid w:val="006E543E"/>
    <w:rsid w:val="006E607E"/>
    <w:rsid w:val="006E63CE"/>
    <w:rsid w:val="006E653C"/>
    <w:rsid w:val="006E6558"/>
    <w:rsid w:val="006E6952"/>
    <w:rsid w:val="006E7828"/>
    <w:rsid w:val="006E7A4B"/>
    <w:rsid w:val="006E7B83"/>
    <w:rsid w:val="006E7D1D"/>
    <w:rsid w:val="006E7F29"/>
    <w:rsid w:val="006F04E0"/>
    <w:rsid w:val="006F10DA"/>
    <w:rsid w:val="006F117F"/>
    <w:rsid w:val="006F1F48"/>
    <w:rsid w:val="006F2954"/>
    <w:rsid w:val="006F2A68"/>
    <w:rsid w:val="006F3218"/>
    <w:rsid w:val="006F339C"/>
    <w:rsid w:val="006F3B13"/>
    <w:rsid w:val="006F3BF0"/>
    <w:rsid w:val="006F411D"/>
    <w:rsid w:val="006F4316"/>
    <w:rsid w:val="006F4425"/>
    <w:rsid w:val="006F4531"/>
    <w:rsid w:val="006F4772"/>
    <w:rsid w:val="006F5063"/>
    <w:rsid w:val="006F5695"/>
    <w:rsid w:val="006F616B"/>
    <w:rsid w:val="006F6E82"/>
    <w:rsid w:val="006F75E9"/>
    <w:rsid w:val="006F7C43"/>
    <w:rsid w:val="00700305"/>
    <w:rsid w:val="007004B4"/>
    <w:rsid w:val="00700CA0"/>
    <w:rsid w:val="00700E78"/>
    <w:rsid w:val="00701927"/>
    <w:rsid w:val="00701D94"/>
    <w:rsid w:val="0070205A"/>
    <w:rsid w:val="0070212C"/>
    <w:rsid w:val="0070284C"/>
    <w:rsid w:val="00702A06"/>
    <w:rsid w:val="00702BE8"/>
    <w:rsid w:val="00703A2A"/>
    <w:rsid w:val="00704023"/>
    <w:rsid w:val="00704360"/>
    <w:rsid w:val="00704883"/>
    <w:rsid w:val="00704D62"/>
    <w:rsid w:val="007051FB"/>
    <w:rsid w:val="00705E36"/>
    <w:rsid w:val="00705FAC"/>
    <w:rsid w:val="007065D0"/>
    <w:rsid w:val="00706645"/>
    <w:rsid w:val="00706C5D"/>
    <w:rsid w:val="00706EC6"/>
    <w:rsid w:val="007070D3"/>
    <w:rsid w:val="007103A9"/>
    <w:rsid w:val="00710838"/>
    <w:rsid w:val="00710B1D"/>
    <w:rsid w:val="007117F0"/>
    <w:rsid w:val="00711D39"/>
    <w:rsid w:val="007133D4"/>
    <w:rsid w:val="007133F1"/>
    <w:rsid w:val="0071371E"/>
    <w:rsid w:val="0071441D"/>
    <w:rsid w:val="0071451C"/>
    <w:rsid w:val="00714F25"/>
    <w:rsid w:val="0071529C"/>
    <w:rsid w:val="00715C5C"/>
    <w:rsid w:val="00715ED8"/>
    <w:rsid w:val="0071613C"/>
    <w:rsid w:val="0071676A"/>
    <w:rsid w:val="00716BB3"/>
    <w:rsid w:val="00716C45"/>
    <w:rsid w:val="00717353"/>
    <w:rsid w:val="007174C7"/>
    <w:rsid w:val="00717C83"/>
    <w:rsid w:val="00720444"/>
    <w:rsid w:val="0072048F"/>
    <w:rsid w:val="0072052E"/>
    <w:rsid w:val="007208A6"/>
    <w:rsid w:val="007209D1"/>
    <w:rsid w:val="00720CE7"/>
    <w:rsid w:val="00721197"/>
    <w:rsid w:val="0072180E"/>
    <w:rsid w:val="00721D7D"/>
    <w:rsid w:val="007227D0"/>
    <w:rsid w:val="00722945"/>
    <w:rsid w:val="00723057"/>
    <w:rsid w:val="007242A0"/>
    <w:rsid w:val="00724414"/>
    <w:rsid w:val="007244AE"/>
    <w:rsid w:val="00724E83"/>
    <w:rsid w:val="007252C5"/>
    <w:rsid w:val="007258ED"/>
    <w:rsid w:val="00725CE9"/>
    <w:rsid w:val="00725F26"/>
    <w:rsid w:val="0072603A"/>
    <w:rsid w:val="007261BF"/>
    <w:rsid w:val="0072692E"/>
    <w:rsid w:val="00727074"/>
    <w:rsid w:val="007279A6"/>
    <w:rsid w:val="00730096"/>
    <w:rsid w:val="00730F87"/>
    <w:rsid w:val="0073140B"/>
    <w:rsid w:val="00731BC5"/>
    <w:rsid w:val="00732314"/>
    <w:rsid w:val="00732372"/>
    <w:rsid w:val="0073253E"/>
    <w:rsid w:val="007325B6"/>
    <w:rsid w:val="00732922"/>
    <w:rsid w:val="00732BAC"/>
    <w:rsid w:val="00732EBC"/>
    <w:rsid w:val="0073307C"/>
    <w:rsid w:val="0073319E"/>
    <w:rsid w:val="007333D3"/>
    <w:rsid w:val="00733CCB"/>
    <w:rsid w:val="0073409F"/>
    <w:rsid w:val="007344BA"/>
    <w:rsid w:val="00734FFF"/>
    <w:rsid w:val="00735ED3"/>
    <w:rsid w:val="0073643F"/>
    <w:rsid w:val="0073653B"/>
    <w:rsid w:val="007365DB"/>
    <w:rsid w:val="007368A3"/>
    <w:rsid w:val="00736A26"/>
    <w:rsid w:val="00736A73"/>
    <w:rsid w:val="00737121"/>
    <w:rsid w:val="007374CB"/>
    <w:rsid w:val="00737565"/>
    <w:rsid w:val="00737B4D"/>
    <w:rsid w:val="0074011D"/>
    <w:rsid w:val="007409E9"/>
    <w:rsid w:val="00740B12"/>
    <w:rsid w:val="0074287A"/>
    <w:rsid w:val="00742B34"/>
    <w:rsid w:val="00742E48"/>
    <w:rsid w:val="00743301"/>
    <w:rsid w:val="00743311"/>
    <w:rsid w:val="00743748"/>
    <w:rsid w:val="00743A84"/>
    <w:rsid w:val="00743B52"/>
    <w:rsid w:val="007446D6"/>
    <w:rsid w:val="00744EC6"/>
    <w:rsid w:val="00745215"/>
    <w:rsid w:val="00745312"/>
    <w:rsid w:val="007456D7"/>
    <w:rsid w:val="007472DA"/>
    <w:rsid w:val="007473E2"/>
    <w:rsid w:val="00747D6E"/>
    <w:rsid w:val="00750420"/>
    <w:rsid w:val="007507B6"/>
    <w:rsid w:val="00750CC0"/>
    <w:rsid w:val="0075162E"/>
    <w:rsid w:val="00751701"/>
    <w:rsid w:val="00751D1B"/>
    <w:rsid w:val="00751DF6"/>
    <w:rsid w:val="00751FD6"/>
    <w:rsid w:val="00752039"/>
    <w:rsid w:val="0075269D"/>
    <w:rsid w:val="00752E7F"/>
    <w:rsid w:val="00752EA5"/>
    <w:rsid w:val="00752FEA"/>
    <w:rsid w:val="00753778"/>
    <w:rsid w:val="00754034"/>
    <w:rsid w:val="00754189"/>
    <w:rsid w:val="007547D0"/>
    <w:rsid w:val="0075584F"/>
    <w:rsid w:val="00755ACF"/>
    <w:rsid w:val="007561E3"/>
    <w:rsid w:val="0075633B"/>
    <w:rsid w:val="00756556"/>
    <w:rsid w:val="00756842"/>
    <w:rsid w:val="00756C37"/>
    <w:rsid w:val="00756FC5"/>
    <w:rsid w:val="0075702F"/>
    <w:rsid w:val="00757743"/>
    <w:rsid w:val="0076027D"/>
    <w:rsid w:val="00760280"/>
    <w:rsid w:val="00760346"/>
    <w:rsid w:val="00761132"/>
    <w:rsid w:val="007618C4"/>
    <w:rsid w:val="00761989"/>
    <w:rsid w:val="007620C8"/>
    <w:rsid w:val="00762206"/>
    <w:rsid w:val="00762207"/>
    <w:rsid w:val="0076220B"/>
    <w:rsid w:val="00762A6C"/>
    <w:rsid w:val="00762CC9"/>
    <w:rsid w:val="00762E7D"/>
    <w:rsid w:val="00763053"/>
    <w:rsid w:val="0076339D"/>
    <w:rsid w:val="00763C5A"/>
    <w:rsid w:val="00763E88"/>
    <w:rsid w:val="00763EFA"/>
    <w:rsid w:val="00763F57"/>
    <w:rsid w:val="007643C6"/>
    <w:rsid w:val="00764825"/>
    <w:rsid w:val="007649F0"/>
    <w:rsid w:val="00765160"/>
    <w:rsid w:val="007652F5"/>
    <w:rsid w:val="00765FFF"/>
    <w:rsid w:val="00766572"/>
    <w:rsid w:val="0076686F"/>
    <w:rsid w:val="00766E36"/>
    <w:rsid w:val="00767980"/>
    <w:rsid w:val="00767A0E"/>
    <w:rsid w:val="00767E09"/>
    <w:rsid w:val="0077067B"/>
    <w:rsid w:val="00770B19"/>
    <w:rsid w:val="00770FC1"/>
    <w:rsid w:val="007718AC"/>
    <w:rsid w:val="00771922"/>
    <w:rsid w:val="007725D4"/>
    <w:rsid w:val="00772C7D"/>
    <w:rsid w:val="00772EA0"/>
    <w:rsid w:val="007734AC"/>
    <w:rsid w:val="00773954"/>
    <w:rsid w:val="00773D08"/>
    <w:rsid w:val="0077463F"/>
    <w:rsid w:val="00774706"/>
    <w:rsid w:val="007749EE"/>
    <w:rsid w:val="00774D97"/>
    <w:rsid w:val="007756C7"/>
    <w:rsid w:val="00775761"/>
    <w:rsid w:val="00775E24"/>
    <w:rsid w:val="0077693E"/>
    <w:rsid w:val="007770C2"/>
    <w:rsid w:val="00777CF6"/>
    <w:rsid w:val="00777EB1"/>
    <w:rsid w:val="0078009B"/>
    <w:rsid w:val="007805E5"/>
    <w:rsid w:val="0078085D"/>
    <w:rsid w:val="00780959"/>
    <w:rsid w:val="00781366"/>
    <w:rsid w:val="007813EF"/>
    <w:rsid w:val="0078183A"/>
    <w:rsid w:val="007821C6"/>
    <w:rsid w:val="0078331B"/>
    <w:rsid w:val="007836EA"/>
    <w:rsid w:val="00783CB5"/>
    <w:rsid w:val="00784CDA"/>
    <w:rsid w:val="00785902"/>
    <w:rsid w:val="00786951"/>
    <w:rsid w:val="00790308"/>
    <w:rsid w:val="007906C4"/>
    <w:rsid w:val="0079085A"/>
    <w:rsid w:val="00790D02"/>
    <w:rsid w:val="00790D1C"/>
    <w:rsid w:val="00790DAD"/>
    <w:rsid w:val="00791543"/>
    <w:rsid w:val="0079194F"/>
    <w:rsid w:val="00791C4E"/>
    <w:rsid w:val="00791FE0"/>
    <w:rsid w:val="0079243B"/>
    <w:rsid w:val="0079287F"/>
    <w:rsid w:val="00792BBB"/>
    <w:rsid w:val="00792F1C"/>
    <w:rsid w:val="007932A8"/>
    <w:rsid w:val="007938BA"/>
    <w:rsid w:val="007940EA"/>
    <w:rsid w:val="007941E5"/>
    <w:rsid w:val="00794488"/>
    <w:rsid w:val="00794507"/>
    <w:rsid w:val="0079470B"/>
    <w:rsid w:val="00794921"/>
    <w:rsid w:val="00794BE0"/>
    <w:rsid w:val="00794E5F"/>
    <w:rsid w:val="00794EB4"/>
    <w:rsid w:val="00794F8E"/>
    <w:rsid w:val="00794FDA"/>
    <w:rsid w:val="00795654"/>
    <w:rsid w:val="00795728"/>
    <w:rsid w:val="00795BD3"/>
    <w:rsid w:val="00795F9D"/>
    <w:rsid w:val="00796494"/>
    <w:rsid w:val="00796571"/>
    <w:rsid w:val="007966BE"/>
    <w:rsid w:val="007967E8"/>
    <w:rsid w:val="007975AE"/>
    <w:rsid w:val="007977E7"/>
    <w:rsid w:val="00797D1F"/>
    <w:rsid w:val="007A0400"/>
    <w:rsid w:val="007A0C59"/>
    <w:rsid w:val="007A129B"/>
    <w:rsid w:val="007A1B2E"/>
    <w:rsid w:val="007A1E40"/>
    <w:rsid w:val="007A2102"/>
    <w:rsid w:val="007A2170"/>
    <w:rsid w:val="007A226A"/>
    <w:rsid w:val="007A22BF"/>
    <w:rsid w:val="007A2581"/>
    <w:rsid w:val="007A2DF7"/>
    <w:rsid w:val="007A300D"/>
    <w:rsid w:val="007A312F"/>
    <w:rsid w:val="007A3235"/>
    <w:rsid w:val="007A3323"/>
    <w:rsid w:val="007A3ABF"/>
    <w:rsid w:val="007A3DE5"/>
    <w:rsid w:val="007A4406"/>
    <w:rsid w:val="007A44DC"/>
    <w:rsid w:val="007A4C77"/>
    <w:rsid w:val="007A4D56"/>
    <w:rsid w:val="007A5A29"/>
    <w:rsid w:val="007A6504"/>
    <w:rsid w:val="007A652E"/>
    <w:rsid w:val="007A691F"/>
    <w:rsid w:val="007A6F70"/>
    <w:rsid w:val="007A6F71"/>
    <w:rsid w:val="007A6FBC"/>
    <w:rsid w:val="007A7682"/>
    <w:rsid w:val="007A777D"/>
    <w:rsid w:val="007B03E4"/>
    <w:rsid w:val="007B0EAC"/>
    <w:rsid w:val="007B14AB"/>
    <w:rsid w:val="007B18B5"/>
    <w:rsid w:val="007B1CF8"/>
    <w:rsid w:val="007B24EA"/>
    <w:rsid w:val="007B27BC"/>
    <w:rsid w:val="007B281F"/>
    <w:rsid w:val="007B32A6"/>
    <w:rsid w:val="007B3745"/>
    <w:rsid w:val="007B3B28"/>
    <w:rsid w:val="007B447C"/>
    <w:rsid w:val="007B452C"/>
    <w:rsid w:val="007B4BA0"/>
    <w:rsid w:val="007B4D22"/>
    <w:rsid w:val="007B500E"/>
    <w:rsid w:val="007B5254"/>
    <w:rsid w:val="007B5578"/>
    <w:rsid w:val="007B5970"/>
    <w:rsid w:val="007B5B1B"/>
    <w:rsid w:val="007B5D9C"/>
    <w:rsid w:val="007B5DAC"/>
    <w:rsid w:val="007B5EEE"/>
    <w:rsid w:val="007B5F6A"/>
    <w:rsid w:val="007B61EB"/>
    <w:rsid w:val="007B63F2"/>
    <w:rsid w:val="007B6B80"/>
    <w:rsid w:val="007B70D1"/>
    <w:rsid w:val="007B72B8"/>
    <w:rsid w:val="007B7A58"/>
    <w:rsid w:val="007B7C99"/>
    <w:rsid w:val="007C03BF"/>
    <w:rsid w:val="007C0474"/>
    <w:rsid w:val="007C084E"/>
    <w:rsid w:val="007C0898"/>
    <w:rsid w:val="007C08B4"/>
    <w:rsid w:val="007C0A2E"/>
    <w:rsid w:val="007C138D"/>
    <w:rsid w:val="007C13E5"/>
    <w:rsid w:val="007C1A75"/>
    <w:rsid w:val="007C21B5"/>
    <w:rsid w:val="007C2642"/>
    <w:rsid w:val="007C2704"/>
    <w:rsid w:val="007C27AA"/>
    <w:rsid w:val="007C2D5F"/>
    <w:rsid w:val="007C3A23"/>
    <w:rsid w:val="007C3B7D"/>
    <w:rsid w:val="007C4332"/>
    <w:rsid w:val="007C4BBE"/>
    <w:rsid w:val="007C5357"/>
    <w:rsid w:val="007C6B09"/>
    <w:rsid w:val="007C702A"/>
    <w:rsid w:val="007C7623"/>
    <w:rsid w:val="007C775B"/>
    <w:rsid w:val="007C7A5A"/>
    <w:rsid w:val="007D0CCC"/>
    <w:rsid w:val="007D2434"/>
    <w:rsid w:val="007D26B6"/>
    <w:rsid w:val="007D2A8F"/>
    <w:rsid w:val="007D2E9F"/>
    <w:rsid w:val="007D3072"/>
    <w:rsid w:val="007D3BC8"/>
    <w:rsid w:val="007D4294"/>
    <w:rsid w:val="007D4778"/>
    <w:rsid w:val="007D4BC2"/>
    <w:rsid w:val="007D4C21"/>
    <w:rsid w:val="007D4D01"/>
    <w:rsid w:val="007D50C5"/>
    <w:rsid w:val="007D5738"/>
    <w:rsid w:val="007D5751"/>
    <w:rsid w:val="007D5FD6"/>
    <w:rsid w:val="007D61A2"/>
    <w:rsid w:val="007D6214"/>
    <w:rsid w:val="007D66A9"/>
    <w:rsid w:val="007D74AB"/>
    <w:rsid w:val="007D75B1"/>
    <w:rsid w:val="007D7636"/>
    <w:rsid w:val="007D7827"/>
    <w:rsid w:val="007D799D"/>
    <w:rsid w:val="007E00E8"/>
    <w:rsid w:val="007E051A"/>
    <w:rsid w:val="007E07C5"/>
    <w:rsid w:val="007E09C9"/>
    <w:rsid w:val="007E14D9"/>
    <w:rsid w:val="007E186A"/>
    <w:rsid w:val="007E29DB"/>
    <w:rsid w:val="007E2DBB"/>
    <w:rsid w:val="007E2FE3"/>
    <w:rsid w:val="007E4BD2"/>
    <w:rsid w:val="007E4BE5"/>
    <w:rsid w:val="007E4E34"/>
    <w:rsid w:val="007E4FF1"/>
    <w:rsid w:val="007E50EB"/>
    <w:rsid w:val="007E61E0"/>
    <w:rsid w:val="007E6810"/>
    <w:rsid w:val="007E6BFA"/>
    <w:rsid w:val="007E7B64"/>
    <w:rsid w:val="007E7CBA"/>
    <w:rsid w:val="007F02B3"/>
    <w:rsid w:val="007F02ED"/>
    <w:rsid w:val="007F0313"/>
    <w:rsid w:val="007F04B3"/>
    <w:rsid w:val="007F0C6E"/>
    <w:rsid w:val="007F0DC3"/>
    <w:rsid w:val="007F1349"/>
    <w:rsid w:val="007F1481"/>
    <w:rsid w:val="007F15E6"/>
    <w:rsid w:val="007F17ED"/>
    <w:rsid w:val="007F2961"/>
    <w:rsid w:val="007F2AD4"/>
    <w:rsid w:val="007F2DFD"/>
    <w:rsid w:val="007F2F75"/>
    <w:rsid w:val="007F3580"/>
    <w:rsid w:val="007F3CE7"/>
    <w:rsid w:val="007F3D38"/>
    <w:rsid w:val="007F463C"/>
    <w:rsid w:val="007F46B3"/>
    <w:rsid w:val="007F46CA"/>
    <w:rsid w:val="007F4FA1"/>
    <w:rsid w:val="007F4FFE"/>
    <w:rsid w:val="007F506F"/>
    <w:rsid w:val="007F5C23"/>
    <w:rsid w:val="007F64DA"/>
    <w:rsid w:val="007F6E37"/>
    <w:rsid w:val="007F71C0"/>
    <w:rsid w:val="007F7699"/>
    <w:rsid w:val="007F7769"/>
    <w:rsid w:val="007F7ACD"/>
    <w:rsid w:val="0080001B"/>
    <w:rsid w:val="008001D2"/>
    <w:rsid w:val="008006AE"/>
    <w:rsid w:val="00800F12"/>
    <w:rsid w:val="00801393"/>
    <w:rsid w:val="0080159A"/>
    <w:rsid w:val="00801961"/>
    <w:rsid w:val="00801CCE"/>
    <w:rsid w:val="00801F39"/>
    <w:rsid w:val="00802422"/>
    <w:rsid w:val="008026CE"/>
    <w:rsid w:val="00802E63"/>
    <w:rsid w:val="00802F88"/>
    <w:rsid w:val="008030FF"/>
    <w:rsid w:val="00803479"/>
    <w:rsid w:val="00803928"/>
    <w:rsid w:val="008043E7"/>
    <w:rsid w:val="00804986"/>
    <w:rsid w:val="008049EA"/>
    <w:rsid w:val="00804D16"/>
    <w:rsid w:val="00805219"/>
    <w:rsid w:val="008059F6"/>
    <w:rsid w:val="00805B37"/>
    <w:rsid w:val="00805FEA"/>
    <w:rsid w:val="008061BC"/>
    <w:rsid w:val="0080774B"/>
    <w:rsid w:val="00807B2D"/>
    <w:rsid w:val="00807F52"/>
    <w:rsid w:val="00810087"/>
    <w:rsid w:val="008100E0"/>
    <w:rsid w:val="00810BE2"/>
    <w:rsid w:val="00810F27"/>
    <w:rsid w:val="00810FAD"/>
    <w:rsid w:val="00810FD6"/>
    <w:rsid w:val="00811428"/>
    <w:rsid w:val="0081197F"/>
    <w:rsid w:val="00811A6D"/>
    <w:rsid w:val="00811D87"/>
    <w:rsid w:val="00811D91"/>
    <w:rsid w:val="00812401"/>
    <w:rsid w:val="0081293E"/>
    <w:rsid w:val="00812E08"/>
    <w:rsid w:val="0081344C"/>
    <w:rsid w:val="008135EC"/>
    <w:rsid w:val="0081391C"/>
    <w:rsid w:val="008139C3"/>
    <w:rsid w:val="00814489"/>
    <w:rsid w:val="00815442"/>
    <w:rsid w:val="00815465"/>
    <w:rsid w:val="00815A48"/>
    <w:rsid w:val="0081616D"/>
    <w:rsid w:val="008161E6"/>
    <w:rsid w:val="0081683F"/>
    <w:rsid w:val="0081720F"/>
    <w:rsid w:val="00817E9A"/>
    <w:rsid w:val="0082025F"/>
    <w:rsid w:val="00820413"/>
    <w:rsid w:val="0082074E"/>
    <w:rsid w:val="0082095B"/>
    <w:rsid w:val="00820A57"/>
    <w:rsid w:val="00820AC2"/>
    <w:rsid w:val="00820C1A"/>
    <w:rsid w:val="00820D90"/>
    <w:rsid w:val="00821611"/>
    <w:rsid w:val="00821DDC"/>
    <w:rsid w:val="008220A9"/>
    <w:rsid w:val="008226ED"/>
    <w:rsid w:val="008229D1"/>
    <w:rsid w:val="0082311E"/>
    <w:rsid w:val="00823846"/>
    <w:rsid w:val="008238B5"/>
    <w:rsid w:val="008238DF"/>
    <w:rsid w:val="00824AC1"/>
    <w:rsid w:val="00824D8A"/>
    <w:rsid w:val="00825386"/>
    <w:rsid w:val="0082541F"/>
    <w:rsid w:val="00825757"/>
    <w:rsid w:val="00825902"/>
    <w:rsid w:val="00825910"/>
    <w:rsid w:val="00825A10"/>
    <w:rsid w:val="00825FAB"/>
    <w:rsid w:val="00825FE6"/>
    <w:rsid w:val="0082663C"/>
    <w:rsid w:val="00826B1A"/>
    <w:rsid w:val="00826F43"/>
    <w:rsid w:val="00827A1F"/>
    <w:rsid w:val="00827B23"/>
    <w:rsid w:val="008300CE"/>
    <w:rsid w:val="0083057D"/>
    <w:rsid w:val="008305E9"/>
    <w:rsid w:val="008306BD"/>
    <w:rsid w:val="008308EE"/>
    <w:rsid w:val="00830A39"/>
    <w:rsid w:val="00830E62"/>
    <w:rsid w:val="00830E98"/>
    <w:rsid w:val="008312DC"/>
    <w:rsid w:val="008319FE"/>
    <w:rsid w:val="00831A80"/>
    <w:rsid w:val="00832533"/>
    <w:rsid w:val="00832944"/>
    <w:rsid w:val="00832A2B"/>
    <w:rsid w:val="00832C4F"/>
    <w:rsid w:val="00833258"/>
    <w:rsid w:val="00833280"/>
    <w:rsid w:val="00833337"/>
    <w:rsid w:val="00833743"/>
    <w:rsid w:val="00834056"/>
    <w:rsid w:val="008340A4"/>
    <w:rsid w:val="00834281"/>
    <w:rsid w:val="008343C8"/>
    <w:rsid w:val="00834A09"/>
    <w:rsid w:val="00834ACB"/>
    <w:rsid w:val="008350A9"/>
    <w:rsid w:val="008354A4"/>
    <w:rsid w:val="00836682"/>
    <w:rsid w:val="00836992"/>
    <w:rsid w:val="00836A57"/>
    <w:rsid w:val="00837047"/>
    <w:rsid w:val="0083711F"/>
    <w:rsid w:val="00837E18"/>
    <w:rsid w:val="00840319"/>
    <w:rsid w:val="0084038D"/>
    <w:rsid w:val="00841241"/>
    <w:rsid w:val="0084150F"/>
    <w:rsid w:val="008418F5"/>
    <w:rsid w:val="00841B04"/>
    <w:rsid w:val="0084226D"/>
    <w:rsid w:val="00842980"/>
    <w:rsid w:val="00842CBE"/>
    <w:rsid w:val="00842F37"/>
    <w:rsid w:val="00843528"/>
    <w:rsid w:val="00843A83"/>
    <w:rsid w:val="00843AC1"/>
    <w:rsid w:val="00843E80"/>
    <w:rsid w:val="00844146"/>
    <w:rsid w:val="0084448A"/>
    <w:rsid w:val="00844606"/>
    <w:rsid w:val="00844796"/>
    <w:rsid w:val="00844D92"/>
    <w:rsid w:val="008452A3"/>
    <w:rsid w:val="008452FE"/>
    <w:rsid w:val="0084534E"/>
    <w:rsid w:val="00845473"/>
    <w:rsid w:val="00845E3A"/>
    <w:rsid w:val="0084640E"/>
    <w:rsid w:val="008464A1"/>
    <w:rsid w:val="00846DAF"/>
    <w:rsid w:val="00847855"/>
    <w:rsid w:val="00847E6E"/>
    <w:rsid w:val="00847EFC"/>
    <w:rsid w:val="0085025A"/>
    <w:rsid w:val="008508CA"/>
    <w:rsid w:val="008508DE"/>
    <w:rsid w:val="008513F2"/>
    <w:rsid w:val="00851CF0"/>
    <w:rsid w:val="00852098"/>
    <w:rsid w:val="008522EB"/>
    <w:rsid w:val="00852BD6"/>
    <w:rsid w:val="00853079"/>
    <w:rsid w:val="008536F4"/>
    <w:rsid w:val="00853B1F"/>
    <w:rsid w:val="00854737"/>
    <w:rsid w:val="00854780"/>
    <w:rsid w:val="0085505B"/>
    <w:rsid w:val="00855318"/>
    <w:rsid w:val="0085572B"/>
    <w:rsid w:val="008559D9"/>
    <w:rsid w:val="0085703E"/>
    <w:rsid w:val="0085743A"/>
    <w:rsid w:val="00857573"/>
    <w:rsid w:val="008577E6"/>
    <w:rsid w:val="00860F28"/>
    <w:rsid w:val="008611B0"/>
    <w:rsid w:val="008613A7"/>
    <w:rsid w:val="008614B3"/>
    <w:rsid w:val="00861770"/>
    <w:rsid w:val="008620EC"/>
    <w:rsid w:val="00862638"/>
    <w:rsid w:val="00862B53"/>
    <w:rsid w:val="00862E10"/>
    <w:rsid w:val="00863115"/>
    <w:rsid w:val="008636C8"/>
    <w:rsid w:val="008637AF"/>
    <w:rsid w:val="00864408"/>
    <w:rsid w:val="00864819"/>
    <w:rsid w:val="0086521E"/>
    <w:rsid w:val="00865564"/>
    <w:rsid w:val="00866CEE"/>
    <w:rsid w:val="00866D52"/>
    <w:rsid w:val="00867C67"/>
    <w:rsid w:val="00867D91"/>
    <w:rsid w:val="00867E70"/>
    <w:rsid w:val="00870794"/>
    <w:rsid w:val="00870860"/>
    <w:rsid w:val="008712D0"/>
    <w:rsid w:val="0087135F"/>
    <w:rsid w:val="00871BEF"/>
    <w:rsid w:val="00872D94"/>
    <w:rsid w:val="00872F21"/>
    <w:rsid w:val="0087302F"/>
    <w:rsid w:val="008737CF"/>
    <w:rsid w:val="00873FD5"/>
    <w:rsid w:val="00874399"/>
    <w:rsid w:val="008749A3"/>
    <w:rsid w:val="00874CBC"/>
    <w:rsid w:val="008751DA"/>
    <w:rsid w:val="008753F0"/>
    <w:rsid w:val="00875613"/>
    <w:rsid w:val="008761DD"/>
    <w:rsid w:val="00876E67"/>
    <w:rsid w:val="00877034"/>
    <w:rsid w:val="00880364"/>
    <w:rsid w:val="00880750"/>
    <w:rsid w:val="00880A53"/>
    <w:rsid w:val="00881830"/>
    <w:rsid w:val="00881B6E"/>
    <w:rsid w:val="00881B97"/>
    <w:rsid w:val="00881E29"/>
    <w:rsid w:val="00881FBB"/>
    <w:rsid w:val="00882922"/>
    <w:rsid w:val="008830DF"/>
    <w:rsid w:val="008839B0"/>
    <w:rsid w:val="0088447D"/>
    <w:rsid w:val="00884581"/>
    <w:rsid w:val="008848BB"/>
    <w:rsid w:val="00884A92"/>
    <w:rsid w:val="0088507D"/>
    <w:rsid w:val="0088549D"/>
    <w:rsid w:val="00885547"/>
    <w:rsid w:val="008856BB"/>
    <w:rsid w:val="00885732"/>
    <w:rsid w:val="00885846"/>
    <w:rsid w:val="00885B67"/>
    <w:rsid w:val="00886030"/>
    <w:rsid w:val="00886045"/>
    <w:rsid w:val="008871BD"/>
    <w:rsid w:val="0088760D"/>
    <w:rsid w:val="00890122"/>
    <w:rsid w:val="00890479"/>
    <w:rsid w:val="00890FA7"/>
    <w:rsid w:val="00891286"/>
    <w:rsid w:val="0089144D"/>
    <w:rsid w:val="008914E8"/>
    <w:rsid w:val="0089157B"/>
    <w:rsid w:val="00891592"/>
    <w:rsid w:val="0089189F"/>
    <w:rsid w:val="00891C4D"/>
    <w:rsid w:val="00891E9E"/>
    <w:rsid w:val="008920C0"/>
    <w:rsid w:val="00892DEE"/>
    <w:rsid w:val="00892E4F"/>
    <w:rsid w:val="008931DB"/>
    <w:rsid w:val="008932CC"/>
    <w:rsid w:val="00893990"/>
    <w:rsid w:val="00893C44"/>
    <w:rsid w:val="00894406"/>
    <w:rsid w:val="00894B67"/>
    <w:rsid w:val="00894BC6"/>
    <w:rsid w:val="00894E43"/>
    <w:rsid w:val="00895A8C"/>
    <w:rsid w:val="008963BC"/>
    <w:rsid w:val="0089658B"/>
    <w:rsid w:val="00896D81"/>
    <w:rsid w:val="008A0922"/>
    <w:rsid w:val="008A0A58"/>
    <w:rsid w:val="008A10FD"/>
    <w:rsid w:val="008A12A1"/>
    <w:rsid w:val="008A1720"/>
    <w:rsid w:val="008A1A38"/>
    <w:rsid w:val="008A251A"/>
    <w:rsid w:val="008A2D91"/>
    <w:rsid w:val="008A2F68"/>
    <w:rsid w:val="008A3483"/>
    <w:rsid w:val="008A3F08"/>
    <w:rsid w:val="008A3F4E"/>
    <w:rsid w:val="008A4099"/>
    <w:rsid w:val="008A43AA"/>
    <w:rsid w:val="008A456D"/>
    <w:rsid w:val="008A4A2C"/>
    <w:rsid w:val="008A4E36"/>
    <w:rsid w:val="008A54E5"/>
    <w:rsid w:val="008A5D92"/>
    <w:rsid w:val="008A6239"/>
    <w:rsid w:val="008A635C"/>
    <w:rsid w:val="008A673E"/>
    <w:rsid w:val="008A674A"/>
    <w:rsid w:val="008A6A5A"/>
    <w:rsid w:val="008A7149"/>
    <w:rsid w:val="008A7931"/>
    <w:rsid w:val="008A7DC2"/>
    <w:rsid w:val="008B020C"/>
    <w:rsid w:val="008B03FA"/>
    <w:rsid w:val="008B047C"/>
    <w:rsid w:val="008B0912"/>
    <w:rsid w:val="008B1EF9"/>
    <w:rsid w:val="008B3A2C"/>
    <w:rsid w:val="008B4367"/>
    <w:rsid w:val="008B47D0"/>
    <w:rsid w:val="008B4860"/>
    <w:rsid w:val="008B4862"/>
    <w:rsid w:val="008B4FA6"/>
    <w:rsid w:val="008B5282"/>
    <w:rsid w:val="008B5338"/>
    <w:rsid w:val="008B57AD"/>
    <w:rsid w:val="008B5A60"/>
    <w:rsid w:val="008B5C07"/>
    <w:rsid w:val="008B5FD7"/>
    <w:rsid w:val="008B6122"/>
    <w:rsid w:val="008B61FE"/>
    <w:rsid w:val="008B66AF"/>
    <w:rsid w:val="008B6F80"/>
    <w:rsid w:val="008B732E"/>
    <w:rsid w:val="008B76D0"/>
    <w:rsid w:val="008B7C17"/>
    <w:rsid w:val="008C0512"/>
    <w:rsid w:val="008C0AFB"/>
    <w:rsid w:val="008C0DEC"/>
    <w:rsid w:val="008C0EBE"/>
    <w:rsid w:val="008C1064"/>
    <w:rsid w:val="008C185B"/>
    <w:rsid w:val="008C1DED"/>
    <w:rsid w:val="008C2D01"/>
    <w:rsid w:val="008C2DE6"/>
    <w:rsid w:val="008C2F55"/>
    <w:rsid w:val="008C392C"/>
    <w:rsid w:val="008C40E6"/>
    <w:rsid w:val="008C4970"/>
    <w:rsid w:val="008C4B58"/>
    <w:rsid w:val="008C5D29"/>
    <w:rsid w:val="008C5FD7"/>
    <w:rsid w:val="008C62F5"/>
    <w:rsid w:val="008C6327"/>
    <w:rsid w:val="008C6E4E"/>
    <w:rsid w:val="008C735A"/>
    <w:rsid w:val="008C7A03"/>
    <w:rsid w:val="008C7A2A"/>
    <w:rsid w:val="008D0607"/>
    <w:rsid w:val="008D0A17"/>
    <w:rsid w:val="008D0C24"/>
    <w:rsid w:val="008D0F7A"/>
    <w:rsid w:val="008D1283"/>
    <w:rsid w:val="008D1BCE"/>
    <w:rsid w:val="008D1CC2"/>
    <w:rsid w:val="008D20E4"/>
    <w:rsid w:val="008D310B"/>
    <w:rsid w:val="008D3FD6"/>
    <w:rsid w:val="008D426B"/>
    <w:rsid w:val="008D43A2"/>
    <w:rsid w:val="008D43A3"/>
    <w:rsid w:val="008D48E3"/>
    <w:rsid w:val="008D4B03"/>
    <w:rsid w:val="008D4DB2"/>
    <w:rsid w:val="008D4EB7"/>
    <w:rsid w:val="008D4FC8"/>
    <w:rsid w:val="008D5202"/>
    <w:rsid w:val="008D5B2D"/>
    <w:rsid w:val="008D5D79"/>
    <w:rsid w:val="008D60AA"/>
    <w:rsid w:val="008D68E4"/>
    <w:rsid w:val="008D7647"/>
    <w:rsid w:val="008D77C3"/>
    <w:rsid w:val="008D79B3"/>
    <w:rsid w:val="008D7FE6"/>
    <w:rsid w:val="008E03ED"/>
    <w:rsid w:val="008E0506"/>
    <w:rsid w:val="008E0862"/>
    <w:rsid w:val="008E09E0"/>
    <w:rsid w:val="008E0CFF"/>
    <w:rsid w:val="008E0E43"/>
    <w:rsid w:val="008E12AD"/>
    <w:rsid w:val="008E19A7"/>
    <w:rsid w:val="008E1C10"/>
    <w:rsid w:val="008E2147"/>
    <w:rsid w:val="008E2A04"/>
    <w:rsid w:val="008E2D65"/>
    <w:rsid w:val="008E30EF"/>
    <w:rsid w:val="008E36F2"/>
    <w:rsid w:val="008E37C1"/>
    <w:rsid w:val="008E38CF"/>
    <w:rsid w:val="008E3C0A"/>
    <w:rsid w:val="008E3E98"/>
    <w:rsid w:val="008E41CB"/>
    <w:rsid w:val="008E4782"/>
    <w:rsid w:val="008E49FA"/>
    <w:rsid w:val="008E4B38"/>
    <w:rsid w:val="008E524D"/>
    <w:rsid w:val="008E5B4F"/>
    <w:rsid w:val="008E5C0E"/>
    <w:rsid w:val="008E5D6B"/>
    <w:rsid w:val="008E5FA0"/>
    <w:rsid w:val="008E609C"/>
    <w:rsid w:val="008E6383"/>
    <w:rsid w:val="008E6ADA"/>
    <w:rsid w:val="008E7447"/>
    <w:rsid w:val="008E76F0"/>
    <w:rsid w:val="008E7DF3"/>
    <w:rsid w:val="008F002B"/>
    <w:rsid w:val="008F024F"/>
    <w:rsid w:val="008F050C"/>
    <w:rsid w:val="008F0BE6"/>
    <w:rsid w:val="008F15FE"/>
    <w:rsid w:val="008F1EB5"/>
    <w:rsid w:val="008F29CE"/>
    <w:rsid w:val="008F2AB8"/>
    <w:rsid w:val="008F2BE5"/>
    <w:rsid w:val="008F2D29"/>
    <w:rsid w:val="008F3531"/>
    <w:rsid w:val="008F4579"/>
    <w:rsid w:val="008F4669"/>
    <w:rsid w:val="008F5187"/>
    <w:rsid w:val="008F5367"/>
    <w:rsid w:val="008F573A"/>
    <w:rsid w:val="008F5941"/>
    <w:rsid w:val="008F5E22"/>
    <w:rsid w:val="008F607F"/>
    <w:rsid w:val="008F60D8"/>
    <w:rsid w:val="008F6A4B"/>
    <w:rsid w:val="008F6A69"/>
    <w:rsid w:val="008F7F03"/>
    <w:rsid w:val="009000CE"/>
    <w:rsid w:val="009004EA"/>
    <w:rsid w:val="00900AB1"/>
    <w:rsid w:val="00900DF3"/>
    <w:rsid w:val="009010C0"/>
    <w:rsid w:val="009013CD"/>
    <w:rsid w:val="009018F6"/>
    <w:rsid w:val="00901B6D"/>
    <w:rsid w:val="00901BC8"/>
    <w:rsid w:val="00902367"/>
    <w:rsid w:val="00902393"/>
    <w:rsid w:val="00902444"/>
    <w:rsid w:val="00902727"/>
    <w:rsid w:val="00902B20"/>
    <w:rsid w:val="009030F3"/>
    <w:rsid w:val="0090312B"/>
    <w:rsid w:val="009032AE"/>
    <w:rsid w:val="009032BE"/>
    <w:rsid w:val="0090477A"/>
    <w:rsid w:val="009048C6"/>
    <w:rsid w:val="00904E67"/>
    <w:rsid w:val="009054E2"/>
    <w:rsid w:val="009055E2"/>
    <w:rsid w:val="009058B9"/>
    <w:rsid w:val="00905BE1"/>
    <w:rsid w:val="00906D79"/>
    <w:rsid w:val="009074DA"/>
    <w:rsid w:val="00907F1F"/>
    <w:rsid w:val="009109AF"/>
    <w:rsid w:val="00910A32"/>
    <w:rsid w:val="00911577"/>
    <w:rsid w:val="00911931"/>
    <w:rsid w:val="00911CFC"/>
    <w:rsid w:val="00912ED4"/>
    <w:rsid w:val="00912FC9"/>
    <w:rsid w:val="00912FD5"/>
    <w:rsid w:val="00913712"/>
    <w:rsid w:val="009142A7"/>
    <w:rsid w:val="00914C7A"/>
    <w:rsid w:val="00914CCE"/>
    <w:rsid w:val="00914DA6"/>
    <w:rsid w:val="00915281"/>
    <w:rsid w:val="00915A6F"/>
    <w:rsid w:val="00915F10"/>
    <w:rsid w:val="009171DB"/>
    <w:rsid w:val="00917287"/>
    <w:rsid w:val="0091736D"/>
    <w:rsid w:val="00917D21"/>
    <w:rsid w:val="00920003"/>
    <w:rsid w:val="00920047"/>
    <w:rsid w:val="0092043C"/>
    <w:rsid w:val="009206D7"/>
    <w:rsid w:val="009208D2"/>
    <w:rsid w:val="00920C3A"/>
    <w:rsid w:val="0092189F"/>
    <w:rsid w:val="009218B7"/>
    <w:rsid w:val="00921E9D"/>
    <w:rsid w:val="00921EF2"/>
    <w:rsid w:val="00922042"/>
    <w:rsid w:val="0092209D"/>
    <w:rsid w:val="009220D8"/>
    <w:rsid w:val="0092281C"/>
    <w:rsid w:val="00923117"/>
    <w:rsid w:val="009243B4"/>
    <w:rsid w:val="00924BA0"/>
    <w:rsid w:val="00924F25"/>
    <w:rsid w:val="009250D5"/>
    <w:rsid w:val="0092571A"/>
    <w:rsid w:val="00925D6A"/>
    <w:rsid w:val="00925FE7"/>
    <w:rsid w:val="009260A0"/>
    <w:rsid w:val="009260C5"/>
    <w:rsid w:val="0092612B"/>
    <w:rsid w:val="00926411"/>
    <w:rsid w:val="009265B4"/>
    <w:rsid w:val="00926D85"/>
    <w:rsid w:val="0092712D"/>
    <w:rsid w:val="00927195"/>
    <w:rsid w:val="00927BED"/>
    <w:rsid w:val="00930119"/>
    <w:rsid w:val="0093037A"/>
    <w:rsid w:val="0093041E"/>
    <w:rsid w:val="00930623"/>
    <w:rsid w:val="0093092B"/>
    <w:rsid w:val="00930A0B"/>
    <w:rsid w:val="00930A27"/>
    <w:rsid w:val="00930C80"/>
    <w:rsid w:val="00931747"/>
    <w:rsid w:val="00931E5A"/>
    <w:rsid w:val="0093233C"/>
    <w:rsid w:val="00932470"/>
    <w:rsid w:val="009324FC"/>
    <w:rsid w:val="00932CC0"/>
    <w:rsid w:val="009336C1"/>
    <w:rsid w:val="00933895"/>
    <w:rsid w:val="00933A05"/>
    <w:rsid w:val="00933A8E"/>
    <w:rsid w:val="00934032"/>
    <w:rsid w:val="00935230"/>
    <w:rsid w:val="00935338"/>
    <w:rsid w:val="0093541F"/>
    <w:rsid w:val="00936F04"/>
    <w:rsid w:val="009379FF"/>
    <w:rsid w:val="009401B9"/>
    <w:rsid w:val="0094122A"/>
    <w:rsid w:val="0094126B"/>
    <w:rsid w:val="009414BF"/>
    <w:rsid w:val="0094154D"/>
    <w:rsid w:val="00941866"/>
    <w:rsid w:val="00942016"/>
    <w:rsid w:val="0094234F"/>
    <w:rsid w:val="00942653"/>
    <w:rsid w:val="00942666"/>
    <w:rsid w:val="00942E94"/>
    <w:rsid w:val="00943093"/>
    <w:rsid w:val="0094392E"/>
    <w:rsid w:val="009440E1"/>
    <w:rsid w:val="0094484D"/>
    <w:rsid w:val="00944A15"/>
    <w:rsid w:val="00944B70"/>
    <w:rsid w:val="00944EDC"/>
    <w:rsid w:val="00945520"/>
    <w:rsid w:val="0094596A"/>
    <w:rsid w:val="00945B47"/>
    <w:rsid w:val="00945D51"/>
    <w:rsid w:val="00945E56"/>
    <w:rsid w:val="00945EAC"/>
    <w:rsid w:val="00946237"/>
    <w:rsid w:val="00946C76"/>
    <w:rsid w:val="00946EC1"/>
    <w:rsid w:val="009475C0"/>
    <w:rsid w:val="00947871"/>
    <w:rsid w:val="009504E4"/>
    <w:rsid w:val="00950D01"/>
    <w:rsid w:val="00951029"/>
    <w:rsid w:val="0095155F"/>
    <w:rsid w:val="00951698"/>
    <w:rsid w:val="00951E61"/>
    <w:rsid w:val="0095254C"/>
    <w:rsid w:val="00952859"/>
    <w:rsid w:val="00952913"/>
    <w:rsid w:val="00952EAF"/>
    <w:rsid w:val="00953A35"/>
    <w:rsid w:val="00953C5E"/>
    <w:rsid w:val="00953ED7"/>
    <w:rsid w:val="00954429"/>
    <w:rsid w:val="009544BF"/>
    <w:rsid w:val="00954735"/>
    <w:rsid w:val="00954A7F"/>
    <w:rsid w:val="00954F1C"/>
    <w:rsid w:val="00954F24"/>
    <w:rsid w:val="0095537B"/>
    <w:rsid w:val="009557E8"/>
    <w:rsid w:val="009558BE"/>
    <w:rsid w:val="00955A48"/>
    <w:rsid w:val="00955C0E"/>
    <w:rsid w:val="00955F73"/>
    <w:rsid w:val="009562EA"/>
    <w:rsid w:val="00956350"/>
    <w:rsid w:val="009563CE"/>
    <w:rsid w:val="009565D9"/>
    <w:rsid w:val="0095677A"/>
    <w:rsid w:val="00957145"/>
    <w:rsid w:val="0095727E"/>
    <w:rsid w:val="009575EB"/>
    <w:rsid w:val="009608C3"/>
    <w:rsid w:val="00960FE1"/>
    <w:rsid w:val="00961034"/>
    <w:rsid w:val="00961281"/>
    <w:rsid w:val="0096273A"/>
    <w:rsid w:val="0096278B"/>
    <w:rsid w:val="00962B96"/>
    <w:rsid w:val="00962E52"/>
    <w:rsid w:val="0096378F"/>
    <w:rsid w:val="009639B8"/>
    <w:rsid w:val="009642AB"/>
    <w:rsid w:val="00964E18"/>
    <w:rsid w:val="0096571B"/>
    <w:rsid w:val="00965F15"/>
    <w:rsid w:val="009668BB"/>
    <w:rsid w:val="00966BFA"/>
    <w:rsid w:val="00967191"/>
    <w:rsid w:val="00967325"/>
    <w:rsid w:val="00967452"/>
    <w:rsid w:val="00967ADA"/>
    <w:rsid w:val="00967B3A"/>
    <w:rsid w:val="00967FD6"/>
    <w:rsid w:val="0097007D"/>
    <w:rsid w:val="0097031E"/>
    <w:rsid w:val="00972195"/>
    <w:rsid w:val="00972470"/>
    <w:rsid w:val="009726BA"/>
    <w:rsid w:val="00973069"/>
    <w:rsid w:val="00973515"/>
    <w:rsid w:val="00973CB8"/>
    <w:rsid w:val="00973E01"/>
    <w:rsid w:val="00973F9E"/>
    <w:rsid w:val="009743FE"/>
    <w:rsid w:val="00974596"/>
    <w:rsid w:val="009750B8"/>
    <w:rsid w:val="009751B2"/>
    <w:rsid w:val="009751E4"/>
    <w:rsid w:val="009755A3"/>
    <w:rsid w:val="00975CE0"/>
    <w:rsid w:val="00976328"/>
    <w:rsid w:val="009764D3"/>
    <w:rsid w:val="00976788"/>
    <w:rsid w:val="0097680D"/>
    <w:rsid w:val="00976D85"/>
    <w:rsid w:val="00976E42"/>
    <w:rsid w:val="00977A56"/>
    <w:rsid w:val="00980185"/>
    <w:rsid w:val="0098078C"/>
    <w:rsid w:val="00981076"/>
    <w:rsid w:val="00981481"/>
    <w:rsid w:val="0098159B"/>
    <w:rsid w:val="0098174B"/>
    <w:rsid w:val="00981D93"/>
    <w:rsid w:val="00981E4E"/>
    <w:rsid w:val="009821A6"/>
    <w:rsid w:val="00982207"/>
    <w:rsid w:val="00982428"/>
    <w:rsid w:val="00982438"/>
    <w:rsid w:val="009826E7"/>
    <w:rsid w:val="00982883"/>
    <w:rsid w:val="00982AD1"/>
    <w:rsid w:val="009832E9"/>
    <w:rsid w:val="0098404C"/>
    <w:rsid w:val="009840CC"/>
    <w:rsid w:val="00984254"/>
    <w:rsid w:val="00984C08"/>
    <w:rsid w:val="00985283"/>
    <w:rsid w:val="0098529A"/>
    <w:rsid w:val="0098558F"/>
    <w:rsid w:val="00985984"/>
    <w:rsid w:val="00985A5B"/>
    <w:rsid w:val="00986655"/>
    <w:rsid w:val="0098748F"/>
    <w:rsid w:val="0099003B"/>
    <w:rsid w:val="00990442"/>
    <w:rsid w:val="009906B9"/>
    <w:rsid w:val="00990D18"/>
    <w:rsid w:val="00990DBE"/>
    <w:rsid w:val="0099186E"/>
    <w:rsid w:val="00992873"/>
    <w:rsid w:val="00992F96"/>
    <w:rsid w:val="00993368"/>
    <w:rsid w:val="00993865"/>
    <w:rsid w:val="00993968"/>
    <w:rsid w:val="00993A40"/>
    <w:rsid w:val="00994031"/>
    <w:rsid w:val="0099556E"/>
    <w:rsid w:val="00995992"/>
    <w:rsid w:val="00996884"/>
    <w:rsid w:val="0099749E"/>
    <w:rsid w:val="00997AB4"/>
    <w:rsid w:val="009A001B"/>
    <w:rsid w:val="009A0246"/>
    <w:rsid w:val="009A037F"/>
    <w:rsid w:val="009A03E5"/>
    <w:rsid w:val="009A071D"/>
    <w:rsid w:val="009A0BFD"/>
    <w:rsid w:val="009A0F3B"/>
    <w:rsid w:val="009A1541"/>
    <w:rsid w:val="009A1BB4"/>
    <w:rsid w:val="009A2380"/>
    <w:rsid w:val="009A2628"/>
    <w:rsid w:val="009A295F"/>
    <w:rsid w:val="009A2FBD"/>
    <w:rsid w:val="009A2FC1"/>
    <w:rsid w:val="009A31C5"/>
    <w:rsid w:val="009A3200"/>
    <w:rsid w:val="009A3BBF"/>
    <w:rsid w:val="009A46B0"/>
    <w:rsid w:val="009A4CE0"/>
    <w:rsid w:val="009A5AD3"/>
    <w:rsid w:val="009A5B4C"/>
    <w:rsid w:val="009A5B51"/>
    <w:rsid w:val="009A61EA"/>
    <w:rsid w:val="009A700A"/>
    <w:rsid w:val="009A7036"/>
    <w:rsid w:val="009A7162"/>
    <w:rsid w:val="009A7295"/>
    <w:rsid w:val="009A7A4A"/>
    <w:rsid w:val="009B06CC"/>
    <w:rsid w:val="009B0890"/>
    <w:rsid w:val="009B0897"/>
    <w:rsid w:val="009B09B1"/>
    <w:rsid w:val="009B0E80"/>
    <w:rsid w:val="009B1307"/>
    <w:rsid w:val="009B176A"/>
    <w:rsid w:val="009B1DA0"/>
    <w:rsid w:val="009B20A0"/>
    <w:rsid w:val="009B20AB"/>
    <w:rsid w:val="009B21D5"/>
    <w:rsid w:val="009B25CD"/>
    <w:rsid w:val="009B2A58"/>
    <w:rsid w:val="009B2D9F"/>
    <w:rsid w:val="009B3843"/>
    <w:rsid w:val="009B3AF8"/>
    <w:rsid w:val="009B3B7F"/>
    <w:rsid w:val="009B3C58"/>
    <w:rsid w:val="009B3D9A"/>
    <w:rsid w:val="009B48A6"/>
    <w:rsid w:val="009B4BD9"/>
    <w:rsid w:val="009B4C35"/>
    <w:rsid w:val="009B509F"/>
    <w:rsid w:val="009B586C"/>
    <w:rsid w:val="009B5F00"/>
    <w:rsid w:val="009B60AA"/>
    <w:rsid w:val="009B66F8"/>
    <w:rsid w:val="009B6917"/>
    <w:rsid w:val="009B6D99"/>
    <w:rsid w:val="009B72E6"/>
    <w:rsid w:val="009B7772"/>
    <w:rsid w:val="009B777B"/>
    <w:rsid w:val="009B78F1"/>
    <w:rsid w:val="009B7B3C"/>
    <w:rsid w:val="009B7BD9"/>
    <w:rsid w:val="009C019E"/>
    <w:rsid w:val="009C096F"/>
    <w:rsid w:val="009C0AF8"/>
    <w:rsid w:val="009C135D"/>
    <w:rsid w:val="009C1387"/>
    <w:rsid w:val="009C13BD"/>
    <w:rsid w:val="009C1AA3"/>
    <w:rsid w:val="009C1D48"/>
    <w:rsid w:val="009C1D61"/>
    <w:rsid w:val="009C20F6"/>
    <w:rsid w:val="009C219C"/>
    <w:rsid w:val="009C242B"/>
    <w:rsid w:val="009C24CF"/>
    <w:rsid w:val="009C2792"/>
    <w:rsid w:val="009C3DDC"/>
    <w:rsid w:val="009C4064"/>
    <w:rsid w:val="009C471F"/>
    <w:rsid w:val="009C4DA1"/>
    <w:rsid w:val="009C4F58"/>
    <w:rsid w:val="009C50CB"/>
    <w:rsid w:val="009C542A"/>
    <w:rsid w:val="009C54FC"/>
    <w:rsid w:val="009C57AA"/>
    <w:rsid w:val="009C58C3"/>
    <w:rsid w:val="009C5CEB"/>
    <w:rsid w:val="009C5EB4"/>
    <w:rsid w:val="009C64EE"/>
    <w:rsid w:val="009C67A9"/>
    <w:rsid w:val="009C680B"/>
    <w:rsid w:val="009C6C96"/>
    <w:rsid w:val="009C6FAD"/>
    <w:rsid w:val="009C6FE3"/>
    <w:rsid w:val="009C72F7"/>
    <w:rsid w:val="009C781F"/>
    <w:rsid w:val="009C7DD5"/>
    <w:rsid w:val="009D05D6"/>
    <w:rsid w:val="009D0E80"/>
    <w:rsid w:val="009D17AA"/>
    <w:rsid w:val="009D1B9E"/>
    <w:rsid w:val="009D26C6"/>
    <w:rsid w:val="009D2ECD"/>
    <w:rsid w:val="009D46E8"/>
    <w:rsid w:val="009D46ED"/>
    <w:rsid w:val="009D482C"/>
    <w:rsid w:val="009D4AC0"/>
    <w:rsid w:val="009D4BAD"/>
    <w:rsid w:val="009D514B"/>
    <w:rsid w:val="009D5303"/>
    <w:rsid w:val="009D5382"/>
    <w:rsid w:val="009D599F"/>
    <w:rsid w:val="009D63A1"/>
    <w:rsid w:val="009D71C7"/>
    <w:rsid w:val="009D7CFB"/>
    <w:rsid w:val="009E0184"/>
    <w:rsid w:val="009E07C0"/>
    <w:rsid w:val="009E0DC8"/>
    <w:rsid w:val="009E1161"/>
    <w:rsid w:val="009E194F"/>
    <w:rsid w:val="009E1960"/>
    <w:rsid w:val="009E1C0D"/>
    <w:rsid w:val="009E1D97"/>
    <w:rsid w:val="009E1F9F"/>
    <w:rsid w:val="009E227D"/>
    <w:rsid w:val="009E28BD"/>
    <w:rsid w:val="009E2F77"/>
    <w:rsid w:val="009E36C7"/>
    <w:rsid w:val="009E4A47"/>
    <w:rsid w:val="009E4D03"/>
    <w:rsid w:val="009E5019"/>
    <w:rsid w:val="009E5202"/>
    <w:rsid w:val="009E5594"/>
    <w:rsid w:val="009E5F52"/>
    <w:rsid w:val="009E5F71"/>
    <w:rsid w:val="009E6CB1"/>
    <w:rsid w:val="009E6E51"/>
    <w:rsid w:val="009E78D7"/>
    <w:rsid w:val="009F077F"/>
    <w:rsid w:val="009F09B1"/>
    <w:rsid w:val="009F0AA4"/>
    <w:rsid w:val="009F0C97"/>
    <w:rsid w:val="009F1104"/>
    <w:rsid w:val="009F16E2"/>
    <w:rsid w:val="009F18CF"/>
    <w:rsid w:val="009F1914"/>
    <w:rsid w:val="009F2BCB"/>
    <w:rsid w:val="009F2DC7"/>
    <w:rsid w:val="009F3255"/>
    <w:rsid w:val="009F33D3"/>
    <w:rsid w:val="009F37A3"/>
    <w:rsid w:val="009F4714"/>
    <w:rsid w:val="009F4879"/>
    <w:rsid w:val="009F5CAE"/>
    <w:rsid w:val="009F6A2A"/>
    <w:rsid w:val="009F6C21"/>
    <w:rsid w:val="009F747F"/>
    <w:rsid w:val="009F77BF"/>
    <w:rsid w:val="00A00E8E"/>
    <w:rsid w:val="00A00EDC"/>
    <w:rsid w:val="00A01B0D"/>
    <w:rsid w:val="00A01B70"/>
    <w:rsid w:val="00A01D33"/>
    <w:rsid w:val="00A01FA3"/>
    <w:rsid w:val="00A02F51"/>
    <w:rsid w:val="00A03232"/>
    <w:rsid w:val="00A0384E"/>
    <w:rsid w:val="00A0453F"/>
    <w:rsid w:val="00A04895"/>
    <w:rsid w:val="00A049A2"/>
    <w:rsid w:val="00A04D3D"/>
    <w:rsid w:val="00A04D84"/>
    <w:rsid w:val="00A04F1B"/>
    <w:rsid w:val="00A0501B"/>
    <w:rsid w:val="00A05659"/>
    <w:rsid w:val="00A0576C"/>
    <w:rsid w:val="00A05C8D"/>
    <w:rsid w:val="00A060E6"/>
    <w:rsid w:val="00A0610A"/>
    <w:rsid w:val="00A0633E"/>
    <w:rsid w:val="00A0692B"/>
    <w:rsid w:val="00A06B67"/>
    <w:rsid w:val="00A06DF6"/>
    <w:rsid w:val="00A06F01"/>
    <w:rsid w:val="00A07802"/>
    <w:rsid w:val="00A1030F"/>
    <w:rsid w:val="00A10E08"/>
    <w:rsid w:val="00A11272"/>
    <w:rsid w:val="00A11634"/>
    <w:rsid w:val="00A12888"/>
    <w:rsid w:val="00A12986"/>
    <w:rsid w:val="00A1357F"/>
    <w:rsid w:val="00A13B8A"/>
    <w:rsid w:val="00A13DD8"/>
    <w:rsid w:val="00A146E7"/>
    <w:rsid w:val="00A14836"/>
    <w:rsid w:val="00A1485E"/>
    <w:rsid w:val="00A14877"/>
    <w:rsid w:val="00A14947"/>
    <w:rsid w:val="00A14DDC"/>
    <w:rsid w:val="00A150E9"/>
    <w:rsid w:val="00A1572B"/>
    <w:rsid w:val="00A162A2"/>
    <w:rsid w:val="00A16AAB"/>
    <w:rsid w:val="00A16BB6"/>
    <w:rsid w:val="00A17195"/>
    <w:rsid w:val="00A17453"/>
    <w:rsid w:val="00A17785"/>
    <w:rsid w:val="00A179B9"/>
    <w:rsid w:val="00A17A13"/>
    <w:rsid w:val="00A17D41"/>
    <w:rsid w:val="00A17D6C"/>
    <w:rsid w:val="00A17EAA"/>
    <w:rsid w:val="00A20766"/>
    <w:rsid w:val="00A20A7E"/>
    <w:rsid w:val="00A21260"/>
    <w:rsid w:val="00A21F35"/>
    <w:rsid w:val="00A220C3"/>
    <w:rsid w:val="00A222F4"/>
    <w:rsid w:val="00A22712"/>
    <w:rsid w:val="00A22C07"/>
    <w:rsid w:val="00A22F8C"/>
    <w:rsid w:val="00A231A4"/>
    <w:rsid w:val="00A232F5"/>
    <w:rsid w:val="00A23F3E"/>
    <w:rsid w:val="00A23FD0"/>
    <w:rsid w:val="00A2415C"/>
    <w:rsid w:val="00A25199"/>
    <w:rsid w:val="00A2611B"/>
    <w:rsid w:val="00A26628"/>
    <w:rsid w:val="00A26A1A"/>
    <w:rsid w:val="00A27625"/>
    <w:rsid w:val="00A279E4"/>
    <w:rsid w:val="00A27DCD"/>
    <w:rsid w:val="00A300B8"/>
    <w:rsid w:val="00A30132"/>
    <w:rsid w:val="00A30967"/>
    <w:rsid w:val="00A30A44"/>
    <w:rsid w:val="00A30CD4"/>
    <w:rsid w:val="00A30FAE"/>
    <w:rsid w:val="00A31623"/>
    <w:rsid w:val="00A319A9"/>
    <w:rsid w:val="00A31EF9"/>
    <w:rsid w:val="00A320CD"/>
    <w:rsid w:val="00A32A83"/>
    <w:rsid w:val="00A32AD9"/>
    <w:rsid w:val="00A33578"/>
    <w:rsid w:val="00A338C8"/>
    <w:rsid w:val="00A33A9E"/>
    <w:rsid w:val="00A33D78"/>
    <w:rsid w:val="00A34753"/>
    <w:rsid w:val="00A34BEE"/>
    <w:rsid w:val="00A350C5"/>
    <w:rsid w:val="00A3536F"/>
    <w:rsid w:val="00A357C6"/>
    <w:rsid w:val="00A358F7"/>
    <w:rsid w:val="00A361A5"/>
    <w:rsid w:val="00A3648E"/>
    <w:rsid w:val="00A365C7"/>
    <w:rsid w:val="00A3683E"/>
    <w:rsid w:val="00A368DB"/>
    <w:rsid w:val="00A36D55"/>
    <w:rsid w:val="00A4147A"/>
    <w:rsid w:val="00A4159A"/>
    <w:rsid w:val="00A41767"/>
    <w:rsid w:val="00A41A9D"/>
    <w:rsid w:val="00A41E4C"/>
    <w:rsid w:val="00A41E58"/>
    <w:rsid w:val="00A423AA"/>
    <w:rsid w:val="00A42CC5"/>
    <w:rsid w:val="00A42D19"/>
    <w:rsid w:val="00A43CFD"/>
    <w:rsid w:val="00A44021"/>
    <w:rsid w:val="00A44AFE"/>
    <w:rsid w:val="00A45430"/>
    <w:rsid w:val="00A45500"/>
    <w:rsid w:val="00A45EFF"/>
    <w:rsid w:val="00A4711B"/>
    <w:rsid w:val="00A47312"/>
    <w:rsid w:val="00A47B95"/>
    <w:rsid w:val="00A47CA3"/>
    <w:rsid w:val="00A507FA"/>
    <w:rsid w:val="00A50AFA"/>
    <w:rsid w:val="00A514CB"/>
    <w:rsid w:val="00A5170F"/>
    <w:rsid w:val="00A51794"/>
    <w:rsid w:val="00A51DAB"/>
    <w:rsid w:val="00A51E1E"/>
    <w:rsid w:val="00A5252A"/>
    <w:rsid w:val="00A5256F"/>
    <w:rsid w:val="00A525D7"/>
    <w:rsid w:val="00A53B76"/>
    <w:rsid w:val="00A53EC6"/>
    <w:rsid w:val="00A5402E"/>
    <w:rsid w:val="00A54155"/>
    <w:rsid w:val="00A541FB"/>
    <w:rsid w:val="00A542BA"/>
    <w:rsid w:val="00A544C6"/>
    <w:rsid w:val="00A546F6"/>
    <w:rsid w:val="00A54F6F"/>
    <w:rsid w:val="00A550E2"/>
    <w:rsid w:val="00A5571C"/>
    <w:rsid w:val="00A557BA"/>
    <w:rsid w:val="00A55923"/>
    <w:rsid w:val="00A559EC"/>
    <w:rsid w:val="00A55C0F"/>
    <w:rsid w:val="00A564D0"/>
    <w:rsid w:val="00A566A7"/>
    <w:rsid w:val="00A56808"/>
    <w:rsid w:val="00A57D60"/>
    <w:rsid w:val="00A60906"/>
    <w:rsid w:val="00A6099D"/>
    <w:rsid w:val="00A61525"/>
    <w:rsid w:val="00A6155C"/>
    <w:rsid w:val="00A61DD1"/>
    <w:rsid w:val="00A6208D"/>
    <w:rsid w:val="00A6252B"/>
    <w:rsid w:val="00A62971"/>
    <w:rsid w:val="00A62D7F"/>
    <w:rsid w:val="00A62F73"/>
    <w:rsid w:val="00A63A71"/>
    <w:rsid w:val="00A64AFF"/>
    <w:rsid w:val="00A64B8F"/>
    <w:rsid w:val="00A64D1E"/>
    <w:rsid w:val="00A65079"/>
    <w:rsid w:val="00A654A7"/>
    <w:rsid w:val="00A65841"/>
    <w:rsid w:val="00A65AE0"/>
    <w:rsid w:val="00A662EF"/>
    <w:rsid w:val="00A66BC4"/>
    <w:rsid w:val="00A67E29"/>
    <w:rsid w:val="00A71029"/>
    <w:rsid w:val="00A71B0D"/>
    <w:rsid w:val="00A71C2D"/>
    <w:rsid w:val="00A724EB"/>
    <w:rsid w:val="00A72533"/>
    <w:rsid w:val="00A72BAA"/>
    <w:rsid w:val="00A72D6C"/>
    <w:rsid w:val="00A72F14"/>
    <w:rsid w:val="00A72F98"/>
    <w:rsid w:val="00A734E0"/>
    <w:rsid w:val="00A73610"/>
    <w:rsid w:val="00A73790"/>
    <w:rsid w:val="00A7398A"/>
    <w:rsid w:val="00A73E1E"/>
    <w:rsid w:val="00A74486"/>
    <w:rsid w:val="00A74554"/>
    <w:rsid w:val="00A747C6"/>
    <w:rsid w:val="00A756E7"/>
    <w:rsid w:val="00A75899"/>
    <w:rsid w:val="00A75AB1"/>
    <w:rsid w:val="00A75CF7"/>
    <w:rsid w:val="00A762FC"/>
    <w:rsid w:val="00A7670D"/>
    <w:rsid w:val="00A767A1"/>
    <w:rsid w:val="00A76A21"/>
    <w:rsid w:val="00A76B91"/>
    <w:rsid w:val="00A77658"/>
    <w:rsid w:val="00A777F7"/>
    <w:rsid w:val="00A77C3E"/>
    <w:rsid w:val="00A77E50"/>
    <w:rsid w:val="00A80D10"/>
    <w:rsid w:val="00A80DDC"/>
    <w:rsid w:val="00A8118F"/>
    <w:rsid w:val="00A81933"/>
    <w:rsid w:val="00A82DEC"/>
    <w:rsid w:val="00A836D9"/>
    <w:rsid w:val="00A838FD"/>
    <w:rsid w:val="00A84221"/>
    <w:rsid w:val="00A84421"/>
    <w:rsid w:val="00A84486"/>
    <w:rsid w:val="00A84753"/>
    <w:rsid w:val="00A848DE"/>
    <w:rsid w:val="00A84E38"/>
    <w:rsid w:val="00A8509E"/>
    <w:rsid w:val="00A857E4"/>
    <w:rsid w:val="00A85E99"/>
    <w:rsid w:val="00A86042"/>
    <w:rsid w:val="00A86516"/>
    <w:rsid w:val="00A8713F"/>
    <w:rsid w:val="00A875D6"/>
    <w:rsid w:val="00A90093"/>
    <w:rsid w:val="00A900CC"/>
    <w:rsid w:val="00A9019C"/>
    <w:rsid w:val="00A9065D"/>
    <w:rsid w:val="00A90BA1"/>
    <w:rsid w:val="00A9100A"/>
    <w:rsid w:val="00A91051"/>
    <w:rsid w:val="00A91B71"/>
    <w:rsid w:val="00A92234"/>
    <w:rsid w:val="00A928FD"/>
    <w:rsid w:val="00A92CE6"/>
    <w:rsid w:val="00A92D00"/>
    <w:rsid w:val="00A9302D"/>
    <w:rsid w:val="00A932ED"/>
    <w:rsid w:val="00A93989"/>
    <w:rsid w:val="00A947A4"/>
    <w:rsid w:val="00A95117"/>
    <w:rsid w:val="00A95C3F"/>
    <w:rsid w:val="00A95E2E"/>
    <w:rsid w:val="00A95EFE"/>
    <w:rsid w:val="00A96187"/>
    <w:rsid w:val="00A968E3"/>
    <w:rsid w:val="00A97353"/>
    <w:rsid w:val="00A9750E"/>
    <w:rsid w:val="00A975E3"/>
    <w:rsid w:val="00A977CC"/>
    <w:rsid w:val="00A97A9A"/>
    <w:rsid w:val="00A97ED8"/>
    <w:rsid w:val="00AA0671"/>
    <w:rsid w:val="00AA0EB5"/>
    <w:rsid w:val="00AA1318"/>
    <w:rsid w:val="00AA2531"/>
    <w:rsid w:val="00AA2AE8"/>
    <w:rsid w:val="00AA2D05"/>
    <w:rsid w:val="00AA37F0"/>
    <w:rsid w:val="00AA48FF"/>
    <w:rsid w:val="00AA4FC9"/>
    <w:rsid w:val="00AA52F7"/>
    <w:rsid w:val="00AA57BF"/>
    <w:rsid w:val="00AA5DA8"/>
    <w:rsid w:val="00AA62B6"/>
    <w:rsid w:val="00AA6676"/>
    <w:rsid w:val="00AA6E98"/>
    <w:rsid w:val="00AA77E8"/>
    <w:rsid w:val="00AA7B6A"/>
    <w:rsid w:val="00AA7CD3"/>
    <w:rsid w:val="00AB03AB"/>
    <w:rsid w:val="00AB0DAA"/>
    <w:rsid w:val="00AB12DE"/>
    <w:rsid w:val="00AB1474"/>
    <w:rsid w:val="00AB189C"/>
    <w:rsid w:val="00AB1A60"/>
    <w:rsid w:val="00AB1E09"/>
    <w:rsid w:val="00AB2793"/>
    <w:rsid w:val="00AB32FB"/>
    <w:rsid w:val="00AB4C1E"/>
    <w:rsid w:val="00AB514B"/>
    <w:rsid w:val="00AB5326"/>
    <w:rsid w:val="00AB5330"/>
    <w:rsid w:val="00AB550A"/>
    <w:rsid w:val="00AB55F4"/>
    <w:rsid w:val="00AB5A43"/>
    <w:rsid w:val="00AB5D7A"/>
    <w:rsid w:val="00AB609C"/>
    <w:rsid w:val="00AB6DDD"/>
    <w:rsid w:val="00AB7221"/>
    <w:rsid w:val="00AB762D"/>
    <w:rsid w:val="00AB7747"/>
    <w:rsid w:val="00AB7A66"/>
    <w:rsid w:val="00AB7B68"/>
    <w:rsid w:val="00AC0114"/>
    <w:rsid w:val="00AC0382"/>
    <w:rsid w:val="00AC0B3C"/>
    <w:rsid w:val="00AC0C02"/>
    <w:rsid w:val="00AC14CE"/>
    <w:rsid w:val="00AC162E"/>
    <w:rsid w:val="00AC20BA"/>
    <w:rsid w:val="00AC2518"/>
    <w:rsid w:val="00AC29D7"/>
    <w:rsid w:val="00AC2A56"/>
    <w:rsid w:val="00AC2F9A"/>
    <w:rsid w:val="00AC3E56"/>
    <w:rsid w:val="00AC54B1"/>
    <w:rsid w:val="00AC5B18"/>
    <w:rsid w:val="00AC5BDF"/>
    <w:rsid w:val="00AC5E86"/>
    <w:rsid w:val="00AC601E"/>
    <w:rsid w:val="00AC6DD8"/>
    <w:rsid w:val="00AC70CC"/>
    <w:rsid w:val="00AC7DB1"/>
    <w:rsid w:val="00AC7DB2"/>
    <w:rsid w:val="00AD055E"/>
    <w:rsid w:val="00AD0837"/>
    <w:rsid w:val="00AD0B24"/>
    <w:rsid w:val="00AD27A2"/>
    <w:rsid w:val="00AD2A32"/>
    <w:rsid w:val="00AD2A3F"/>
    <w:rsid w:val="00AD374B"/>
    <w:rsid w:val="00AD3CB3"/>
    <w:rsid w:val="00AD3DF5"/>
    <w:rsid w:val="00AD3E02"/>
    <w:rsid w:val="00AD3EA6"/>
    <w:rsid w:val="00AD416C"/>
    <w:rsid w:val="00AD4197"/>
    <w:rsid w:val="00AD437F"/>
    <w:rsid w:val="00AD47A7"/>
    <w:rsid w:val="00AD4CEE"/>
    <w:rsid w:val="00AD4DD1"/>
    <w:rsid w:val="00AD5034"/>
    <w:rsid w:val="00AD5203"/>
    <w:rsid w:val="00AD5612"/>
    <w:rsid w:val="00AD56A3"/>
    <w:rsid w:val="00AD5747"/>
    <w:rsid w:val="00AD5955"/>
    <w:rsid w:val="00AD5AB8"/>
    <w:rsid w:val="00AD60C3"/>
    <w:rsid w:val="00AD6142"/>
    <w:rsid w:val="00AD644A"/>
    <w:rsid w:val="00AD6989"/>
    <w:rsid w:val="00AD6BD0"/>
    <w:rsid w:val="00AD7151"/>
    <w:rsid w:val="00AD7386"/>
    <w:rsid w:val="00AD76DC"/>
    <w:rsid w:val="00AD7B83"/>
    <w:rsid w:val="00AD7D54"/>
    <w:rsid w:val="00AD7DB8"/>
    <w:rsid w:val="00AD7EC1"/>
    <w:rsid w:val="00AE01EC"/>
    <w:rsid w:val="00AE0204"/>
    <w:rsid w:val="00AE02F9"/>
    <w:rsid w:val="00AE0591"/>
    <w:rsid w:val="00AE0B71"/>
    <w:rsid w:val="00AE1925"/>
    <w:rsid w:val="00AE2454"/>
    <w:rsid w:val="00AE2F15"/>
    <w:rsid w:val="00AE3078"/>
    <w:rsid w:val="00AE32A4"/>
    <w:rsid w:val="00AE32BF"/>
    <w:rsid w:val="00AE3406"/>
    <w:rsid w:val="00AE3883"/>
    <w:rsid w:val="00AE3AE5"/>
    <w:rsid w:val="00AE3C5B"/>
    <w:rsid w:val="00AE3F7D"/>
    <w:rsid w:val="00AE4336"/>
    <w:rsid w:val="00AE433D"/>
    <w:rsid w:val="00AE4E05"/>
    <w:rsid w:val="00AE5A1D"/>
    <w:rsid w:val="00AE5A74"/>
    <w:rsid w:val="00AE5AD7"/>
    <w:rsid w:val="00AE5AF2"/>
    <w:rsid w:val="00AE6DDE"/>
    <w:rsid w:val="00AE70C0"/>
    <w:rsid w:val="00AE71E6"/>
    <w:rsid w:val="00AE7492"/>
    <w:rsid w:val="00AE752C"/>
    <w:rsid w:val="00AE7852"/>
    <w:rsid w:val="00AE7CD3"/>
    <w:rsid w:val="00AE7ED1"/>
    <w:rsid w:val="00AF079C"/>
    <w:rsid w:val="00AF0872"/>
    <w:rsid w:val="00AF0CBF"/>
    <w:rsid w:val="00AF0E34"/>
    <w:rsid w:val="00AF138D"/>
    <w:rsid w:val="00AF18A0"/>
    <w:rsid w:val="00AF2122"/>
    <w:rsid w:val="00AF257F"/>
    <w:rsid w:val="00AF33CF"/>
    <w:rsid w:val="00AF3539"/>
    <w:rsid w:val="00AF3973"/>
    <w:rsid w:val="00AF3C5B"/>
    <w:rsid w:val="00AF40BB"/>
    <w:rsid w:val="00AF481B"/>
    <w:rsid w:val="00AF491B"/>
    <w:rsid w:val="00AF4CFD"/>
    <w:rsid w:val="00AF4D50"/>
    <w:rsid w:val="00AF595A"/>
    <w:rsid w:val="00AF5CEC"/>
    <w:rsid w:val="00AF5CF2"/>
    <w:rsid w:val="00AF5EB6"/>
    <w:rsid w:val="00AF6179"/>
    <w:rsid w:val="00AF6354"/>
    <w:rsid w:val="00AF6A73"/>
    <w:rsid w:val="00AF6F3C"/>
    <w:rsid w:val="00AF7957"/>
    <w:rsid w:val="00AF7A01"/>
    <w:rsid w:val="00AF7F31"/>
    <w:rsid w:val="00B00095"/>
    <w:rsid w:val="00B009C9"/>
    <w:rsid w:val="00B00EC3"/>
    <w:rsid w:val="00B00F01"/>
    <w:rsid w:val="00B012D7"/>
    <w:rsid w:val="00B012EB"/>
    <w:rsid w:val="00B01808"/>
    <w:rsid w:val="00B0194A"/>
    <w:rsid w:val="00B01B53"/>
    <w:rsid w:val="00B01BB5"/>
    <w:rsid w:val="00B01C00"/>
    <w:rsid w:val="00B02275"/>
    <w:rsid w:val="00B02517"/>
    <w:rsid w:val="00B0269E"/>
    <w:rsid w:val="00B029B5"/>
    <w:rsid w:val="00B02A3B"/>
    <w:rsid w:val="00B0304C"/>
    <w:rsid w:val="00B032F8"/>
    <w:rsid w:val="00B034F2"/>
    <w:rsid w:val="00B03695"/>
    <w:rsid w:val="00B03AB7"/>
    <w:rsid w:val="00B0419C"/>
    <w:rsid w:val="00B04A44"/>
    <w:rsid w:val="00B04A46"/>
    <w:rsid w:val="00B05C05"/>
    <w:rsid w:val="00B06338"/>
    <w:rsid w:val="00B0642E"/>
    <w:rsid w:val="00B06480"/>
    <w:rsid w:val="00B064E2"/>
    <w:rsid w:val="00B06F4C"/>
    <w:rsid w:val="00B077EA"/>
    <w:rsid w:val="00B079BE"/>
    <w:rsid w:val="00B07FC7"/>
    <w:rsid w:val="00B11633"/>
    <w:rsid w:val="00B119F6"/>
    <w:rsid w:val="00B11DDC"/>
    <w:rsid w:val="00B1211F"/>
    <w:rsid w:val="00B12241"/>
    <w:rsid w:val="00B1295A"/>
    <w:rsid w:val="00B13097"/>
    <w:rsid w:val="00B131B5"/>
    <w:rsid w:val="00B133F7"/>
    <w:rsid w:val="00B13769"/>
    <w:rsid w:val="00B13FC0"/>
    <w:rsid w:val="00B147E2"/>
    <w:rsid w:val="00B14BCD"/>
    <w:rsid w:val="00B14E12"/>
    <w:rsid w:val="00B155E7"/>
    <w:rsid w:val="00B15654"/>
    <w:rsid w:val="00B15762"/>
    <w:rsid w:val="00B15811"/>
    <w:rsid w:val="00B15B07"/>
    <w:rsid w:val="00B1614A"/>
    <w:rsid w:val="00B1756E"/>
    <w:rsid w:val="00B20851"/>
    <w:rsid w:val="00B2092F"/>
    <w:rsid w:val="00B20A45"/>
    <w:rsid w:val="00B21165"/>
    <w:rsid w:val="00B211F0"/>
    <w:rsid w:val="00B216A7"/>
    <w:rsid w:val="00B21897"/>
    <w:rsid w:val="00B22C23"/>
    <w:rsid w:val="00B22C5C"/>
    <w:rsid w:val="00B22DC1"/>
    <w:rsid w:val="00B22F37"/>
    <w:rsid w:val="00B230B1"/>
    <w:rsid w:val="00B2359D"/>
    <w:rsid w:val="00B235CC"/>
    <w:rsid w:val="00B23926"/>
    <w:rsid w:val="00B23C93"/>
    <w:rsid w:val="00B23DAA"/>
    <w:rsid w:val="00B24134"/>
    <w:rsid w:val="00B2433C"/>
    <w:rsid w:val="00B24884"/>
    <w:rsid w:val="00B24F30"/>
    <w:rsid w:val="00B251FA"/>
    <w:rsid w:val="00B258AC"/>
    <w:rsid w:val="00B25E7A"/>
    <w:rsid w:val="00B25F23"/>
    <w:rsid w:val="00B2635E"/>
    <w:rsid w:val="00B2680E"/>
    <w:rsid w:val="00B2683C"/>
    <w:rsid w:val="00B26BF3"/>
    <w:rsid w:val="00B27041"/>
    <w:rsid w:val="00B27A47"/>
    <w:rsid w:val="00B307F7"/>
    <w:rsid w:val="00B30BB0"/>
    <w:rsid w:val="00B30CCA"/>
    <w:rsid w:val="00B30DF5"/>
    <w:rsid w:val="00B30FD4"/>
    <w:rsid w:val="00B312B2"/>
    <w:rsid w:val="00B3177A"/>
    <w:rsid w:val="00B31ABF"/>
    <w:rsid w:val="00B31BB6"/>
    <w:rsid w:val="00B3214A"/>
    <w:rsid w:val="00B321BA"/>
    <w:rsid w:val="00B32364"/>
    <w:rsid w:val="00B332B0"/>
    <w:rsid w:val="00B33952"/>
    <w:rsid w:val="00B33BE3"/>
    <w:rsid w:val="00B34264"/>
    <w:rsid w:val="00B34610"/>
    <w:rsid w:val="00B34EC2"/>
    <w:rsid w:val="00B351B0"/>
    <w:rsid w:val="00B35762"/>
    <w:rsid w:val="00B35E97"/>
    <w:rsid w:val="00B36291"/>
    <w:rsid w:val="00B3633F"/>
    <w:rsid w:val="00B364BC"/>
    <w:rsid w:val="00B3701A"/>
    <w:rsid w:val="00B373C7"/>
    <w:rsid w:val="00B373E2"/>
    <w:rsid w:val="00B405E3"/>
    <w:rsid w:val="00B40963"/>
    <w:rsid w:val="00B40C92"/>
    <w:rsid w:val="00B40E83"/>
    <w:rsid w:val="00B411D3"/>
    <w:rsid w:val="00B41F51"/>
    <w:rsid w:val="00B42119"/>
    <w:rsid w:val="00B42183"/>
    <w:rsid w:val="00B42D12"/>
    <w:rsid w:val="00B4339F"/>
    <w:rsid w:val="00B4372F"/>
    <w:rsid w:val="00B442D1"/>
    <w:rsid w:val="00B4445E"/>
    <w:rsid w:val="00B45364"/>
    <w:rsid w:val="00B454C6"/>
    <w:rsid w:val="00B459AA"/>
    <w:rsid w:val="00B46238"/>
    <w:rsid w:val="00B4635F"/>
    <w:rsid w:val="00B46537"/>
    <w:rsid w:val="00B46964"/>
    <w:rsid w:val="00B469F4"/>
    <w:rsid w:val="00B46E93"/>
    <w:rsid w:val="00B475EB"/>
    <w:rsid w:val="00B50B15"/>
    <w:rsid w:val="00B50FDE"/>
    <w:rsid w:val="00B511F0"/>
    <w:rsid w:val="00B51891"/>
    <w:rsid w:val="00B51A1F"/>
    <w:rsid w:val="00B51E13"/>
    <w:rsid w:val="00B51EEA"/>
    <w:rsid w:val="00B52831"/>
    <w:rsid w:val="00B52D1F"/>
    <w:rsid w:val="00B52D2F"/>
    <w:rsid w:val="00B52E23"/>
    <w:rsid w:val="00B52F98"/>
    <w:rsid w:val="00B5335D"/>
    <w:rsid w:val="00B53B5D"/>
    <w:rsid w:val="00B5477B"/>
    <w:rsid w:val="00B54836"/>
    <w:rsid w:val="00B548C6"/>
    <w:rsid w:val="00B548FE"/>
    <w:rsid w:val="00B55537"/>
    <w:rsid w:val="00B55A7F"/>
    <w:rsid w:val="00B56448"/>
    <w:rsid w:val="00B56579"/>
    <w:rsid w:val="00B5785A"/>
    <w:rsid w:val="00B57C1B"/>
    <w:rsid w:val="00B600BB"/>
    <w:rsid w:val="00B6055E"/>
    <w:rsid w:val="00B60926"/>
    <w:rsid w:val="00B60BDC"/>
    <w:rsid w:val="00B60C59"/>
    <w:rsid w:val="00B6139E"/>
    <w:rsid w:val="00B619CB"/>
    <w:rsid w:val="00B61FD2"/>
    <w:rsid w:val="00B62A73"/>
    <w:rsid w:val="00B62B22"/>
    <w:rsid w:val="00B630A6"/>
    <w:rsid w:val="00B6317D"/>
    <w:rsid w:val="00B63B78"/>
    <w:rsid w:val="00B640B9"/>
    <w:rsid w:val="00B64255"/>
    <w:rsid w:val="00B6430F"/>
    <w:rsid w:val="00B64A66"/>
    <w:rsid w:val="00B652C9"/>
    <w:rsid w:val="00B655B7"/>
    <w:rsid w:val="00B65B53"/>
    <w:rsid w:val="00B66034"/>
    <w:rsid w:val="00B661DC"/>
    <w:rsid w:val="00B6638D"/>
    <w:rsid w:val="00B67ADD"/>
    <w:rsid w:val="00B70A6B"/>
    <w:rsid w:val="00B712BB"/>
    <w:rsid w:val="00B71495"/>
    <w:rsid w:val="00B71AB8"/>
    <w:rsid w:val="00B71D35"/>
    <w:rsid w:val="00B728B4"/>
    <w:rsid w:val="00B72F7E"/>
    <w:rsid w:val="00B73E14"/>
    <w:rsid w:val="00B73E87"/>
    <w:rsid w:val="00B73FDC"/>
    <w:rsid w:val="00B743DD"/>
    <w:rsid w:val="00B745F4"/>
    <w:rsid w:val="00B74820"/>
    <w:rsid w:val="00B74EC8"/>
    <w:rsid w:val="00B7518A"/>
    <w:rsid w:val="00B7566D"/>
    <w:rsid w:val="00B75819"/>
    <w:rsid w:val="00B75C96"/>
    <w:rsid w:val="00B75D74"/>
    <w:rsid w:val="00B75F8E"/>
    <w:rsid w:val="00B76BFC"/>
    <w:rsid w:val="00B76F5C"/>
    <w:rsid w:val="00B7723F"/>
    <w:rsid w:val="00B7784F"/>
    <w:rsid w:val="00B77E81"/>
    <w:rsid w:val="00B77F73"/>
    <w:rsid w:val="00B80534"/>
    <w:rsid w:val="00B80AF7"/>
    <w:rsid w:val="00B80B57"/>
    <w:rsid w:val="00B80BB4"/>
    <w:rsid w:val="00B810AE"/>
    <w:rsid w:val="00B81AA7"/>
    <w:rsid w:val="00B822CA"/>
    <w:rsid w:val="00B828A2"/>
    <w:rsid w:val="00B82CB4"/>
    <w:rsid w:val="00B82F36"/>
    <w:rsid w:val="00B830B5"/>
    <w:rsid w:val="00B8433C"/>
    <w:rsid w:val="00B84405"/>
    <w:rsid w:val="00B85241"/>
    <w:rsid w:val="00B85CAE"/>
    <w:rsid w:val="00B86127"/>
    <w:rsid w:val="00B86C92"/>
    <w:rsid w:val="00B86D37"/>
    <w:rsid w:val="00B87491"/>
    <w:rsid w:val="00B876D1"/>
    <w:rsid w:val="00B87C22"/>
    <w:rsid w:val="00B87DED"/>
    <w:rsid w:val="00B919B4"/>
    <w:rsid w:val="00B91E0C"/>
    <w:rsid w:val="00B91FB0"/>
    <w:rsid w:val="00B92A0D"/>
    <w:rsid w:val="00B92F8F"/>
    <w:rsid w:val="00B93365"/>
    <w:rsid w:val="00B93481"/>
    <w:rsid w:val="00B93756"/>
    <w:rsid w:val="00B94B38"/>
    <w:rsid w:val="00B956B0"/>
    <w:rsid w:val="00B95780"/>
    <w:rsid w:val="00B95BA2"/>
    <w:rsid w:val="00B95CB2"/>
    <w:rsid w:val="00B96C21"/>
    <w:rsid w:val="00B96E7A"/>
    <w:rsid w:val="00B9714C"/>
    <w:rsid w:val="00BA089B"/>
    <w:rsid w:val="00BA0906"/>
    <w:rsid w:val="00BA0936"/>
    <w:rsid w:val="00BA0DE6"/>
    <w:rsid w:val="00BA0F82"/>
    <w:rsid w:val="00BA1011"/>
    <w:rsid w:val="00BA123E"/>
    <w:rsid w:val="00BA1AE3"/>
    <w:rsid w:val="00BA20D2"/>
    <w:rsid w:val="00BA2168"/>
    <w:rsid w:val="00BA29E9"/>
    <w:rsid w:val="00BA2F69"/>
    <w:rsid w:val="00BA36FC"/>
    <w:rsid w:val="00BA3BEC"/>
    <w:rsid w:val="00BA417B"/>
    <w:rsid w:val="00BA41D5"/>
    <w:rsid w:val="00BA42B3"/>
    <w:rsid w:val="00BA4B57"/>
    <w:rsid w:val="00BA4C4B"/>
    <w:rsid w:val="00BA506C"/>
    <w:rsid w:val="00BA6042"/>
    <w:rsid w:val="00BA647E"/>
    <w:rsid w:val="00BA7142"/>
    <w:rsid w:val="00BA745F"/>
    <w:rsid w:val="00BB034C"/>
    <w:rsid w:val="00BB0668"/>
    <w:rsid w:val="00BB237C"/>
    <w:rsid w:val="00BB2E39"/>
    <w:rsid w:val="00BB2ED8"/>
    <w:rsid w:val="00BB3F48"/>
    <w:rsid w:val="00BB3FB1"/>
    <w:rsid w:val="00BB41A3"/>
    <w:rsid w:val="00BB462A"/>
    <w:rsid w:val="00BB487A"/>
    <w:rsid w:val="00BB4CA8"/>
    <w:rsid w:val="00BB54E8"/>
    <w:rsid w:val="00BB56BE"/>
    <w:rsid w:val="00BB58FA"/>
    <w:rsid w:val="00BB5AFD"/>
    <w:rsid w:val="00BB5DAD"/>
    <w:rsid w:val="00BB5E37"/>
    <w:rsid w:val="00BB708F"/>
    <w:rsid w:val="00BB7363"/>
    <w:rsid w:val="00BC0123"/>
    <w:rsid w:val="00BC02D3"/>
    <w:rsid w:val="00BC0625"/>
    <w:rsid w:val="00BC0639"/>
    <w:rsid w:val="00BC0D4C"/>
    <w:rsid w:val="00BC11D9"/>
    <w:rsid w:val="00BC1346"/>
    <w:rsid w:val="00BC18D0"/>
    <w:rsid w:val="00BC2290"/>
    <w:rsid w:val="00BC22D9"/>
    <w:rsid w:val="00BC2504"/>
    <w:rsid w:val="00BC2F2C"/>
    <w:rsid w:val="00BC32DC"/>
    <w:rsid w:val="00BC35B6"/>
    <w:rsid w:val="00BC3881"/>
    <w:rsid w:val="00BC3D64"/>
    <w:rsid w:val="00BC48C0"/>
    <w:rsid w:val="00BC56FB"/>
    <w:rsid w:val="00BC5761"/>
    <w:rsid w:val="00BC5FC8"/>
    <w:rsid w:val="00BC6574"/>
    <w:rsid w:val="00BC6699"/>
    <w:rsid w:val="00BC6D14"/>
    <w:rsid w:val="00BC7362"/>
    <w:rsid w:val="00BC78AE"/>
    <w:rsid w:val="00BC78F9"/>
    <w:rsid w:val="00BC7CDA"/>
    <w:rsid w:val="00BD0582"/>
    <w:rsid w:val="00BD05E6"/>
    <w:rsid w:val="00BD0B74"/>
    <w:rsid w:val="00BD1B51"/>
    <w:rsid w:val="00BD25DA"/>
    <w:rsid w:val="00BD2865"/>
    <w:rsid w:val="00BD2B10"/>
    <w:rsid w:val="00BD2EA7"/>
    <w:rsid w:val="00BD3681"/>
    <w:rsid w:val="00BD36AF"/>
    <w:rsid w:val="00BD4130"/>
    <w:rsid w:val="00BD44C8"/>
    <w:rsid w:val="00BD4596"/>
    <w:rsid w:val="00BD476C"/>
    <w:rsid w:val="00BD5C12"/>
    <w:rsid w:val="00BD5C72"/>
    <w:rsid w:val="00BD5CB0"/>
    <w:rsid w:val="00BD5F8D"/>
    <w:rsid w:val="00BD6372"/>
    <w:rsid w:val="00BD6DB6"/>
    <w:rsid w:val="00BD70A6"/>
    <w:rsid w:val="00BD7508"/>
    <w:rsid w:val="00BD75B6"/>
    <w:rsid w:val="00BD7DF5"/>
    <w:rsid w:val="00BE0220"/>
    <w:rsid w:val="00BE0240"/>
    <w:rsid w:val="00BE024B"/>
    <w:rsid w:val="00BE0256"/>
    <w:rsid w:val="00BE0ADE"/>
    <w:rsid w:val="00BE0BD1"/>
    <w:rsid w:val="00BE0E17"/>
    <w:rsid w:val="00BE0E4A"/>
    <w:rsid w:val="00BE115F"/>
    <w:rsid w:val="00BE1380"/>
    <w:rsid w:val="00BE1405"/>
    <w:rsid w:val="00BE2C00"/>
    <w:rsid w:val="00BE312D"/>
    <w:rsid w:val="00BE341D"/>
    <w:rsid w:val="00BE382B"/>
    <w:rsid w:val="00BE407D"/>
    <w:rsid w:val="00BE535E"/>
    <w:rsid w:val="00BE5C0A"/>
    <w:rsid w:val="00BE5FFF"/>
    <w:rsid w:val="00BE609F"/>
    <w:rsid w:val="00BE669C"/>
    <w:rsid w:val="00BE6B94"/>
    <w:rsid w:val="00BE72AC"/>
    <w:rsid w:val="00BE758A"/>
    <w:rsid w:val="00BE76A7"/>
    <w:rsid w:val="00BF06B9"/>
    <w:rsid w:val="00BF09D2"/>
    <w:rsid w:val="00BF1661"/>
    <w:rsid w:val="00BF1745"/>
    <w:rsid w:val="00BF1902"/>
    <w:rsid w:val="00BF1949"/>
    <w:rsid w:val="00BF1C20"/>
    <w:rsid w:val="00BF1ECD"/>
    <w:rsid w:val="00BF2335"/>
    <w:rsid w:val="00BF2501"/>
    <w:rsid w:val="00BF2CD5"/>
    <w:rsid w:val="00BF2F64"/>
    <w:rsid w:val="00BF3E0C"/>
    <w:rsid w:val="00BF3F50"/>
    <w:rsid w:val="00BF50D2"/>
    <w:rsid w:val="00BF5798"/>
    <w:rsid w:val="00BF5A42"/>
    <w:rsid w:val="00BF5D36"/>
    <w:rsid w:val="00BF5EF0"/>
    <w:rsid w:val="00BF626C"/>
    <w:rsid w:val="00BF688F"/>
    <w:rsid w:val="00BF7103"/>
    <w:rsid w:val="00BF7763"/>
    <w:rsid w:val="00BF7EF3"/>
    <w:rsid w:val="00C00074"/>
    <w:rsid w:val="00C005EB"/>
    <w:rsid w:val="00C00ABE"/>
    <w:rsid w:val="00C00EF0"/>
    <w:rsid w:val="00C0128C"/>
    <w:rsid w:val="00C02314"/>
    <w:rsid w:val="00C02759"/>
    <w:rsid w:val="00C03619"/>
    <w:rsid w:val="00C0362F"/>
    <w:rsid w:val="00C03E74"/>
    <w:rsid w:val="00C03EFC"/>
    <w:rsid w:val="00C03F01"/>
    <w:rsid w:val="00C049F4"/>
    <w:rsid w:val="00C04E5E"/>
    <w:rsid w:val="00C063EF"/>
    <w:rsid w:val="00C064AB"/>
    <w:rsid w:val="00C064DE"/>
    <w:rsid w:val="00C06955"/>
    <w:rsid w:val="00C07223"/>
    <w:rsid w:val="00C0733F"/>
    <w:rsid w:val="00C07545"/>
    <w:rsid w:val="00C076C4"/>
    <w:rsid w:val="00C07992"/>
    <w:rsid w:val="00C07BDC"/>
    <w:rsid w:val="00C10578"/>
    <w:rsid w:val="00C10A90"/>
    <w:rsid w:val="00C113AE"/>
    <w:rsid w:val="00C11C95"/>
    <w:rsid w:val="00C12910"/>
    <w:rsid w:val="00C135BC"/>
    <w:rsid w:val="00C14752"/>
    <w:rsid w:val="00C14770"/>
    <w:rsid w:val="00C14992"/>
    <w:rsid w:val="00C14EC3"/>
    <w:rsid w:val="00C15000"/>
    <w:rsid w:val="00C1500E"/>
    <w:rsid w:val="00C15762"/>
    <w:rsid w:val="00C158A0"/>
    <w:rsid w:val="00C159F8"/>
    <w:rsid w:val="00C15C95"/>
    <w:rsid w:val="00C15D00"/>
    <w:rsid w:val="00C17463"/>
    <w:rsid w:val="00C174EE"/>
    <w:rsid w:val="00C17DB3"/>
    <w:rsid w:val="00C20169"/>
    <w:rsid w:val="00C20345"/>
    <w:rsid w:val="00C20673"/>
    <w:rsid w:val="00C20F6A"/>
    <w:rsid w:val="00C20FD7"/>
    <w:rsid w:val="00C21C57"/>
    <w:rsid w:val="00C21D67"/>
    <w:rsid w:val="00C22198"/>
    <w:rsid w:val="00C2256B"/>
    <w:rsid w:val="00C22E96"/>
    <w:rsid w:val="00C234D7"/>
    <w:rsid w:val="00C23B2A"/>
    <w:rsid w:val="00C2532B"/>
    <w:rsid w:val="00C25769"/>
    <w:rsid w:val="00C258A2"/>
    <w:rsid w:val="00C2596A"/>
    <w:rsid w:val="00C25EF3"/>
    <w:rsid w:val="00C262CB"/>
    <w:rsid w:val="00C2632E"/>
    <w:rsid w:val="00C2706D"/>
    <w:rsid w:val="00C2726A"/>
    <w:rsid w:val="00C27537"/>
    <w:rsid w:val="00C27548"/>
    <w:rsid w:val="00C27A3C"/>
    <w:rsid w:val="00C27CCF"/>
    <w:rsid w:val="00C308D6"/>
    <w:rsid w:val="00C30932"/>
    <w:rsid w:val="00C30F9F"/>
    <w:rsid w:val="00C312A4"/>
    <w:rsid w:val="00C31FD2"/>
    <w:rsid w:val="00C325F0"/>
    <w:rsid w:val="00C328FE"/>
    <w:rsid w:val="00C32C48"/>
    <w:rsid w:val="00C334F4"/>
    <w:rsid w:val="00C33507"/>
    <w:rsid w:val="00C335AD"/>
    <w:rsid w:val="00C33861"/>
    <w:rsid w:val="00C3391D"/>
    <w:rsid w:val="00C33B98"/>
    <w:rsid w:val="00C33F38"/>
    <w:rsid w:val="00C34C02"/>
    <w:rsid w:val="00C353AB"/>
    <w:rsid w:val="00C35F77"/>
    <w:rsid w:val="00C36266"/>
    <w:rsid w:val="00C36338"/>
    <w:rsid w:val="00C36349"/>
    <w:rsid w:val="00C3709E"/>
    <w:rsid w:val="00C37B64"/>
    <w:rsid w:val="00C40738"/>
    <w:rsid w:val="00C40766"/>
    <w:rsid w:val="00C40786"/>
    <w:rsid w:val="00C40CA8"/>
    <w:rsid w:val="00C40CC5"/>
    <w:rsid w:val="00C411C3"/>
    <w:rsid w:val="00C41B3B"/>
    <w:rsid w:val="00C421B6"/>
    <w:rsid w:val="00C421EA"/>
    <w:rsid w:val="00C42DF9"/>
    <w:rsid w:val="00C42E46"/>
    <w:rsid w:val="00C42E6E"/>
    <w:rsid w:val="00C43AB2"/>
    <w:rsid w:val="00C43F34"/>
    <w:rsid w:val="00C4409D"/>
    <w:rsid w:val="00C442E8"/>
    <w:rsid w:val="00C44E3A"/>
    <w:rsid w:val="00C44E72"/>
    <w:rsid w:val="00C44F70"/>
    <w:rsid w:val="00C456E9"/>
    <w:rsid w:val="00C45795"/>
    <w:rsid w:val="00C458D0"/>
    <w:rsid w:val="00C45A06"/>
    <w:rsid w:val="00C45CBA"/>
    <w:rsid w:val="00C46044"/>
    <w:rsid w:val="00C4626A"/>
    <w:rsid w:val="00C46312"/>
    <w:rsid w:val="00C471C3"/>
    <w:rsid w:val="00C474BC"/>
    <w:rsid w:val="00C47E5B"/>
    <w:rsid w:val="00C47F23"/>
    <w:rsid w:val="00C5037B"/>
    <w:rsid w:val="00C50745"/>
    <w:rsid w:val="00C514DB"/>
    <w:rsid w:val="00C51629"/>
    <w:rsid w:val="00C51D8F"/>
    <w:rsid w:val="00C520ED"/>
    <w:rsid w:val="00C520F9"/>
    <w:rsid w:val="00C52EA2"/>
    <w:rsid w:val="00C53207"/>
    <w:rsid w:val="00C533FF"/>
    <w:rsid w:val="00C53419"/>
    <w:rsid w:val="00C535CB"/>
    <w:rsid w:val="00C53611"/>
    <w:rsid w:val="00C54A9C"/>
    <w:rsid w:val="00C54F22"/>
    <w:rsid w:val="00C56470"/>
    <w:rsid w:val="00C567D3"/>
    <w:rsid w:val="00C569B5"/>
    <w:rsid w:val="00C56C54"/>
    <w:rsid w:val="00C56CA8"/>
    <w:rsid w:val="00C56D53"/>
    <w:rsid w:val="00C5715F"/>
    <w:rsid w:val="00C57E7D"/>
    <w:rsid w:val="00C60399"/>
    <w:rsid w:val="00C6106D"/>
    <w:rsid w:val="00C619B2"/>
    <w:rsid w:val="00C61E4B"/>
    <w:rsid w:val="00C61EE4"/>
    <w:rsid w:val="00C62202"/>
    <w:rsid w:val="00C62294"/>
    <w:rsid w:val="00C625B8"/>
    <w:rsid w:val="00C6265E"/>
    <w:rsid w:val="00C62AA5"/>
    <w:rsid w:val="00C630A8"/>
    <w:rsid w:val="00C632C2"/>
    <w:rsid w:val="00C640E9"/>
    <w:rsid w:val="00C641C8"/>
    <w:rsid w:val="00C6477B"/>
    <w:rsid w:val="00C64A0F"/>
    <w:rsid w:val="00C64BFF"/>
    <w:rsid w:val="00C65173"/>
    <w:rsid w:val="00C652EE"/>
    <w:rsid w:val="00C652F8"/>
    <w:rsid w:val="00C65C14"/>
    <w:rsid w:val="00C66F4E"/>
    <w:rsid w:val="00C67383"/>
    <w:rsid w:val="00C67787"/>
    <w:rsid w:val="00C67FD4"/>
    <w:rsid w:val="00C70163"/>
    <w:rsid w:val="00C703B0"/>
    <w:rsid w:val="00C703EE"/>
    <w:rsid w:val="00C704E9"/>
    <w:rsid w:val="00C70921"/>
    <w:rsid w:val="00C70B52"/>
    <w:rsid w:val="00C716A2"/>
    <w:rsid w:val="00C716DB"/>
    <w:rsid w:val="00C71798"/>
    <w:rsid w:val="00C71F09"/>
    <w:rsid w:val="00C72948"/>
    <w:rsid w:val="00C7406A"/>
    <w:rsid w:val="00C747E8"/>
    <w:rsid w:val="00C74CD0"/>
    <w:rsid w:val="00C74D8D"/>
    <w:rsid w:val="00C7504D"/>
    <w:rsid w:val="00C75A84"/>
    <w:rsid w:val="00C75DA5"/>
    <w:rsid w:val="00C7607F"/>
    <w:rsid w:val="00C76090"/>
    <w:rsid w:val="00C76354"/>
    <w:rsid w:val="00C763AF"/>
    <w:rsid w:val="00C763C9"/>
    <w:rsid w:val="00C7672D"/>
    <w:rsid w:val="00C76AFC"/>
    <w:rsid w:val="00C76CC0"/>
    <w:rsid w:val="00C76CFF"/>
    <w:rsid w:val="00C76FB0"/>
    <w:rsid w:val="00C7780A"/>
    <w:rsid w:val="00C77920"/>
    <w:rsid w:val="00C80057"/>
    <w:rsid w:val="00C807E3"/>
    <w:rsid w:val="00C816F1"/>
    <w:rsid w:val="00C817C2"/>
    <w:rsid w:val="00C8187C"/>
    <w:rsid w:val="00C82232"/>
    <w:rsid w:val="00C82283"/>
    <w:rsid w:val="00C82466"/>
    <w:rsid w:val="00C82913"/>
    <w:rsid w:val="00C82938"/>
    <w:rsid w:val="00C8304E"/>
    <w:rsid w:val="00C83870"/>
    <w:rsid w:val="00C83A84"/>
    <w:rsid w:val="00C841A0"/>
    <w:rsid w:val="00C842D0"/>
    <w:rsid w:val="00C84595"/>
    <w:rsid w:val="00C846B1"/>
    <w:rsid w:val="00C84E21"/>
    <w:rsid w:val="00C84F4C"/>
    <w:rsid w:val="00C85186"/>
    <w:rsid w:val="00C85205"/>
    <w:rsid w:val="00C853AD"/>
    <w:rsid w:val="00C85961"/>
    <w:rsid w:val="00C86178"/>
    <w:rsid w:val="00C8767C"/>
    <w:rsid w:val="00C87A6A"/>
    <w:rsid w:val="00C90030"/>
    <w:rsid w:val="00C900BD"/>
    <w:rsid w:val="00C900E0"/>
    <w:rsid w:val="00C9080B"/>
    <w:rsid w:val="00C90CF0"/>
    <w:rsid w:val="00C911E1"/>
    <w:rsid w:val="00C9131E"/>
    <w:rsid w:val="00C91772"/>
    <w:rsid w:val="00C92960"/>
    <w:rsid w:val="00C93792"/>
    <w:rsid w:val="00C9395C"/>
    <w:rsid w:val="00C93E80"/>
    <w:rsid w:val="00C940D0"/>
    <w:rsid w:val="00C94D93"/>
    <w:rsid w:val="00C95A02"/>
    <w:rsid w:val="00C96183"/>
    <w:rsid w:val="00C961E6"/>
    <w:rsid w:val="00C964AB"/>
    <w:rsid w:val="00C9654B"/>
    <w:rsid w:val="00C96A8B"/>
    <w:rsid w:val="00C96C29"/>
    <w:rsid w:val="00C972B1"/>
    <w:rsid w:val="00C974A9"/>
    <w:rsid w:val="00C9761F"/>
    <w:rsid w:val="00C976E1"/>
    <w:rsid w:val="00C977A8"/>
    <w:rsid w:val="00C97C44"/>
    <w:rsid w:val="00C97D1A"/>
    <w:rsid w:val="00C97DAC"/>
    <w:rsid w:val="00CA0539"/>
    <w:rsid w:val="00CA099C"/>
    <w:rsid w:val="00CA1321"/>
    <w:rsid w:val="00CA171F"/>
    <w:rsid w:val="00CA1A78"/>
    <w:rsid w:val="00CA25C9"/>
    <w:rsid w:val="00CA2661"/>
    <w:rsid w:val="00CA2818"/>
    <w:rsid w:val="00CA2CCE"/>
    <w:rsid w:val="00CA31BE"/>
    <w:rsid w:val="00CA3452"/>
    <w:rsid w:val="00CA4101"/>
    <w:rsid w:val="00CA43FD"/>
    <w:rsid w:val="00CA48D2"/>
    <w:rsid w:val="00CA57FF"/>
    <w:rsid w:val="00CA6541"/>
    <w:rsid w:val="00CA6D82"/>
    <w:rsid w:val="00CA706E"/>
    <w:rsid w:val="00CA7162"/>
    <w:rsid w:val="00CA7291"/>
    <w:rsid w:val="00CA7C10"/>
    <w:rsid w:val="00CA7E68"/>
    <w:rsid w:val="00CA7EF8"/>
    <w:rsid w:val="00CA7FC3"/>
    <w:rsid w:val="00CB062B"/>
    <w:rsid w:val="00CB067E"/>
    <w:rsid w:val="00CB0855"/>
    <w:rsid w:val="00CB12DE"/>
    <w:rsid w:val="00CB1E11"/>
    <w:rsid w:val="00CB270E"/>
    <w:rsid w:val="00CB2F22"/>
    <w:rsid w:val="00CB2FEB"/>
    <w:rsid w:val="00CB314B"/>
    <w:rsid w:val="00CB327B"/>
    <w:rsid w:val="00CB35B6"/>
    <w:rsid w:val="00CB3AB6"/>
    <w:rsid w:val="00CB4262"/>
    <w:rsid w:val="00CB47F4"/>
    <w:rsid w:val="00CB4A21"/>
    <w:rsid w:val="00CB4EDF"/>
    <w:rsid w:val="00CB57E0"/>
    <w:rsid w:val="00CB592C"/>
    <w:rsid w:val="00CB5F4E"/>
    <w:rsid w:val="00CB5FD5"/>
    <w:rsid w:val="00CB62C8"/>
    <w:rsid w:val="00CB68AD"/>
    <w:rsid w:val="00CB6B86"/>
    <w:rsid w:val="00CB6D1A"/>
    <w:rsid w:val="00CB6DCF"/>
    <w:rsid w:val="00CB7052"/>
    <w:rsid w:val="00CB739D"/>
    <w:rsid w:val="00CB7739"/>
    <w:rsid w:val="00CB7CF0"/>
    <w:rsid w:val="00CC04EA"/>
    <w:rsid w:val="00CC07F5"/>
    <w:rsid w:val="00CC0E02"/>
    <w:rsid w:val="00CC1393"/>
    <w:rsid w:val="00CC2344"/>
    <w:rsid w:val="00CC26B3"/>
    <w:rsid w:val="00CC2F01"/>
    <w:rsid w:val="00CC2F12"/>
    <w:rsid w:val="00CC3E91"/>
    <w:rsid w:val="00CC4467"/>
    <w:rsid w:val="00CC4796"/>
    <w:rsid w:val="00CC489B"/>
    <w:rsid w:val="00CC4F8F"/>
    <w:rsid w:val="00CC564C"/>
    <w:rsid w:val="00CC5EC2"/>
    <w:rsid w:val="00CC6102"/>
    <w:rsid w:val="00CC6912"/>
    <w:rsid w:val="00CC6C8E"/>
    <w:rsid w:val="00CC7551"/>
    <w:rsid w:val="00CC77DE"/>
    <w:rsid w:val="00CC78E5"/>
    <w:rsid w:val="00CC7AF6"/>
    <w:rsid w:val="00CC7BC2"/>
    <w:rsid w:val="00CC7E57"/>
    <w:rsid w:val="00CD021C"/>
    <w:rsid w:val="00CD081A"/>
    <w:rsid w:val="00CD11F9"/>
    <w:rsid w:val="00CD1525"/>
    <w:rsid w:val="00CD1C48"/>
    <w:rsid w:val="00CD1E2E"/>
    <w:rsid w:val="00CD210A"/>
    <w:rsid w:val="00CD236C"/>
    <w:rsid w:val="00CD25A7"/>
    <w:rsid w:val="00CD2BCD"/>
    <w:rsid w:val="00CD2F5E"/>
    <w:rsid w:val="00CD32B3"/>
    <w:rsid w:val="00CD33DB"/>
    <w:rsid w:val="00CD3A4C"/>
    <w:rsid w:val="00CD3B87"/>
    <w:rsid w:val="00CD3E18"/>
    <w:rsid w:val="00CD4754"/>
    <w:rsid w:val="00CD47A1"/>
    <w:rsid w:val="00CD47AF"/>
    <w:rsid w:val="00CD5388"/>
    <w:rsid w:val="00CD542D"/>
    <w:rsid w:val="00CD5714"/>
    <w:rsid w:val="00CD6E69"/>
    <w:rsid w:val="00CD6EA5"/>
    <w:rsid w:val="00CD7608"/>
    <w:rsid w:val="00CE10E9"/>
    <w:rsid w:val="00CE11CF"/>
    <w:rsid w:val="00CE1BDA"/>
    <w:rsid w:val="00CE1C5E"/>
    <w:rsid w:val="00CE1C92"/>
    <w:rsid w:val="00CE217C"/>
    <w:rsid w:val="00CE22D7"/>
    <w:rsid w:val="00CE261E"/>
    <w:rsid w:val="00CE2910"/>
    <w:rsid w:val="00CE2F98"/>
    <w:rsid w:val="00CE35DD"/>
    <w:rsid w:val="00CE367C"/>
    <w:rsid w:val="00CE4048"/>
    <w:rsid w:val="00CE4751"/>
    <w:rsid w:val="00CE489F"/>
    <w:rsid w:val="00CE4A32"/>
    <w:rsid w:val="00CE4F76"/>
    <w:rsid w:val="00CE525D"/>
    <w:rsid w:val="00CE52FB"/>
    <w:rsid w:val="00CE5393"/>
    <w:rsid w:val="00CE541D"/>
    <w:rsid w:val="00CE60C2"/>
    <w:rsid w:val="00CE60C8"/>
    <w:rsid w:val="00CE61CE"/>
    <w:rsid w:val="00CE6328"/>
    <w:rsid w:val="00CE69EC"/>
    <w:rsid w:val="00CE6EB4"/>
    <w:rsid w:val="00CE707A"/>
    <w:rsid w:val="00CE7342"/>
    <w:rsid w:val="00CE79D5"/>
    <w:rsid w:val="00CE7D8F"/>
    <w:rsid w:val="00CF0825"/>
    <w:rsid w:val="00CF09CF"/>
    <w:rsid w:val="00CF1AC7"/>
    <w:rsid w:val="00CF1BD7"/>
    <w:rsid w:val="00CF1C60"/>
    <w:rsid w:val="00CF1CAF"/>
    <w:rsid w:val="00CF244D"/>
    <w:rsid w:val="00CF24C9"/>
    <w:rsid w:val="00CF280C"/>
    <w:rsid w:val="00CF2AC4"/>
    <w:rsid w:val="00CF2E38"/>
    <w:rsid w:val="00CF35FA"/>
    <w:rsid w:val="00CF36BE"/>
    <w:rsid w:val="00CF36F7"/>
    <w:rsid w:val="00CF40DA"/>
    <w:rsid w:val="00CF44E9"/>
    <w:rsid w:val="00CF5157"/>
    <w:rsid w:val="00CF572C"/>
    <w:rsid w:val="00CF6000"/>
    <w:rsid w:val="00CF62AA"/>
    <w:rsid w:val="00CF6D7C"/>
    <w:rsid w:val="00CF7754"/>
    <w:rsid w:val="00CF7870"/>
    <w:rsid w:val="00CF7C4A"/>
    <w:rsid w:val="00CF7DC7"/>
    <w:rsid w:val="00CF7F17"/>
    <w:rsid w:val="00D003F3"/>
    <w:rsid w:val="00D0047E"/>
    <w:rsid w:val="00D006FE"/>
    <w:rsid w:val="00D00E5C"/>
    <w:rsid w:val="00D00E73"/>
    <w:rsid w:val="00D0102C"/>
    <w:rsid w:val="00D018A7"/>
    <w:rsid w:val="00D01ABC"/>
    <w:rsid w:val="00D02589"/>
    <w:rsid w:val="00D02BAD"/>
    <w:rsid w:val="00D02CC6"/>
    <w:rsid w:val="00D0364F"/>
    <w:rsid w:val="00D03E31"/>
    <w:rsid w:val="00D0474F"/>
    <w:rsid w:val="00D04ABE"/>
    <w:rsid w:val="00D06834"/>
    <w:rsid w:val="00D068EC"/>
    <w:rsid w:val="00D06947"/>
    <w:rsid w:val="00D06C24"/>
    <w:rsid w:val="00D06CD5"/>
    <w:rsid w:val="00D0717F"/>
    <w:rsid w:val="00D07730"/>
    <w:rsid w:val="00D10023"/>
    <w:rsid w:val="00D10C51"/>
    <w:rsid w:val="00D10DC4"/>
    <w:rsid w:val="00D11190"/>
    <w:rsid w:val="00D11476"/>
    <w:rsid w:val="00D11889"/>
    <w:rsid w:val="00D11B2C"/>
    <w:rsid w:val="00D12705"/>
    <w:rsid w:val="00D13739"/>
    <w:rsid w:val="00D13DEE"/>
    <w:rsid w:val="00D14A03"/>
    <w:rsid w:val="00D14AA1"/>
    <w:rsid w:val="00D14DB6"/>
    <w:rsid w:val="00D14DF0"/>
    <w:rsid w:val="00D1526D"/>
    <w:rsid w:val="00D153CF"/>
    <w:rsid w:val="00D15417"/>
    <w:rsid w:val="00D15443"/>
    <w:rsid w:val="00D15EA4"/>
    <w:rsid w:val="00D161F3"/>
    <w:rsid w:val="00D16EA9"/>
    <w:rsid w:val="00D174F4"/>
    <w:rsid w:val="00D17530"/>
    <w:rsid w:val="00D17999"/>
    <w:rsid w:val="00D2011C"/>
    <w:rsid w:val="00D20948"/>
    <w:rsid w:val="00D20A26"/>
    <w:rsid w:val="00D20B7C"/>
    <w:rsid w:val="00D20C2C"/>
    <w:rsid w:val="00D20EBA"/>
    <w:rsid w:val="00D211D4"/>
    <w:rsid w:val="00D211FB"/>
    <w:rsid w:val="00D21200"/>
    <w:rsid w:val="00D21251"/>
    <w:rsid w:val="00D216F3"/>
    <w:rsid w:val="00D222F3"/>
    <w:rsid w:val="00D22915"/>
    <w:rsid w:val="00D22920"/>
    <w:rsid w:val="00D23297"/>
    <w:rsid w:val="00D235B5"/>
    <w:rsid w:val="00D235D0"/>
    <w:rsid w:val="00D23612"/>
    <w:rsid w:val="00D23622"/>
    <w:rsid w:val="00D242A9"/>
    <w:rsid w:val="00D246D4"/>
    <w:rsid w:val="00D2583E"/>
    <w:rsid w:val="00D264E8"/>
    <w:rsid w:val="00D266C6"/>
    <w:rsid w:val="00D26A3E"/>
    <w:rsid w:val="00D26ED3"/>
    <w:rsid w:val="00D2727B"/>
    <w:rsid w:val="00D277D9"/>
    <w:rsid w:val="00D27D16"/>
    <w:rsid w:val="00D27DD2"/>
    <w:rsid w:val="00D308D2"/>
    <w:rsid w:val="00D308ED"/>
    <w:rsid w:val="00D309B1"/>
    <w:rsid w:val="00D30B53"/>
    <w:rsid w:val="00D3136B"/>
    <w:rsid w:val="00D31658"/>
    <w:rsid w:val="00D3196A"/>
    <w:rsid w:val="00D32289"/>
    <w:rsid w:val="00D32504"/>
    <w:rsid w:val="00D33752"/>
    <w:rsid w:val="00D33A01"/>
    <w:rsid w:val="00D33C09"/>
    <w:rsid w:val="00D34163"/>
    <w:rsid w:val="00D343F4"/>
    <w:rsid w:val="00D34B12"/>
    <w:rsid w:val="00D34BEB"/>
    <w:rsid w:val="00D3694E"/>
    <w:rsid w:val="00D36D86"/>
    <w:rsid w:val="00D36F84"/>
    <w:rsid w:val="00D37165"/>
    <w:rsid w:val="00D371BA"/>
    <w:rsid w:val="00D37335"/>
    <w:rsid w:val="00D3745E"/>
    <w:rsid w:val="00D374A1"/>
    <w:rsid w:val="00D37570"/>
    <w:rsid w:val="00D377CD"/>
    <w:rsid w:val="00D37EF4"/>
    <w:rsid w:val="00D40559"/>
    <w:rsid w:val="00D40FE4"/>
    <w:rsid w:val="00D41089"/>
    <w:rsid w:val="00D4140D"/>
    <w:rsid w:val="00D41452"/>
    <w:rsid w:val="00D417F2"/>
    <w:rsid w:val="00D42201"/>
    <w:rsid w:val="00D428AA"/>
    <w:rsid w:val="00D428E4"/>
    <w:rsid w:val="00D43478"/>
    <w:rsid w:val="00D436EE"/>
    <w:rsid w:val="00D438E4"/>
    <w:rsid w:val="00D4420D"/>
    <w:rsid w:val="00D45386"/>
    <w:rsid w:val="00D45A4F"/>
    <w:rsid w:val="00D45E94"/>
    <w:rsid w:val="00D4634E"/>
    <w:rsid w:val="00D46628"/>
    <w:rsid w:val="00D46898"/>
    <w:rsid w:val="00D47596"/>
    <w:rsid w:val="00D47760"/>
    <w:rsid w:val="00D47766"/>
    <w:rsid w:val="00D478EC"/>
    <w:rsid w:val="00D47A92"/>
    <w:rsid w:val="00D50701"/>
    <w:rsid w:val="00D50A34"/>
    <w:rsid w:val="00D50A5D"/>
    <w:rsid w:val="00D50A9B"/>
    <w:rsid w:val="00D519A5"/>
    <w:rsid w:val="00D51FEC"/>
    <w:rsid w:val="00D530EE"/>
    <w:rsid w:val="00D5354A"/>
    <w:rsid w:val="00D53EA9"/>
    <w:rsid w:val="00D53EFA"/>
    <w:rsid w:val="00D5442F"/>
    <w:rsid w:val="00D545BF"/>
    <w:rsid w:val="00D54ADE"/>
    <w:rsid w:val="00D56C15"/>
    <w:rsid w:val="00D56E1A"/>
    <w:rsid w:val="00D56F14"/>
    <w:rsid w:val="00D57536"/>
    <w:rsid w:val="00D57C2C"/>
    <w:rsid w:val="00D606B9"/>
    <w:rsid w:val="00D60CE0"/>
    <w:rsid w:val="00D60CEB"/>
    <w:rsid w:val="00D61737"/>
    <w:rsid w:val="00D62A9A"/>
    <w:rsid w:val="00D62FC1"/>
    <w:rsid w:val="00D63152"/>
    <w:rsid w:val="00D63D3A"/>
    <w:rsid w:val="00D63D82"/>
    <w:rsid w:val="00D64388"/>
    <w:rsid w:val="00D64431"/>
    <w:rsid w:val="00D6459A"/>
    <w:rsid w:val="00D648F7"/>
    <w:rsid w:val="00D64CC3"/>
    <w:rsid w:val="00D65502"/>
    <w:rsid w:val="00D65CA8"/>
    <w:rsid w:val="00D66125"/>
    <w:rsid w:val="00D667F3"/>
    <w:rsid w:val="00D66A54"/>
    <w:rsid w:val="00D66C8A"/>
    <w:rsid w:val="00D67540"/>
    <w:rsid w:val="00D67741"/>
    <w:rsid w:val="00D67B4F"/>
    <w:rsid w:val="00D7058A"/>
    <w:rsid w:val="00D71A34"/>
    <w:rsid w:val="00D71D73"/>
    <w:rsid w:val="00D721DE"/>
    <w:rsid w:val="00D73AD8"/>
    <w:rsid w:val="00D73BEF"/>
    <w:rsid w:val="00D73EB4"/>
    <w:rsid w:val="00D74C82"/>
    <w:rsid w:val="00D750DC"/>
    <w:rsid w:val="00D75226"/>
    <w:rsid w:val="00D7598B"/>
    <w:rsid w:val="00D763AB"/>
    <w:rsid w:val="00D7646C"/>
    <w:rsid w:val="00D7723F"/>
    <w:rsid w:val="00D773AB"/>
    <w:rsid w:val="00D776F5"/>
    <w:rsid w:val="00D7778C"/>
    <w:rsid w:val="00D77DEA"/>
    <w:rsid w:val="00D77FA8"/>
    <w:rsid w:val="00D8093D"/>
    <w:rsid w:val="00D80997"/>
    <w:rsid w:val="00D8118F"/>
    <w:rsid w:val="00D81367"/>
    <w:rsid w:val="00D816B5"/>
    <w:rsid w:val="00D82A21"/>
    <w:rsid w:val="00D82DC7"/>
    <w:rsid w:val="00D83396"/>
    <w:rsid w:val="00D83DA1"/>
    <w:rsid w:val="00D840D0"/>
    <w:rsid w:val="00D84B56"/>
    <w:rsid w:val="00D84D44"/>
    <w:rsid w:val="00D84E75"/>
    <w:rsid w:val="00D84E8E"/>
    <w:rsid w:val="00D85761"/>
    <w:rsid w:val="00D8593A"/>
    <w:rsid w:val="00D85977"/>
    <w:rsid w:val="00D86094"/>
    <w:rsid w:val="00D86901"/>
    <w:rsid w:val="00D8699F"/>
    <w:rsid w:val="00D86CEA"/>
    <w:rsid w:val="00D86FDB"/>
    <w:rsid w:val="00D87167"/>
    <w:rsid w:val="00D87222"/>
    <w:rsid w:val="00D87FB2"/>
    <w:rsid w:val="00D901C5"/>
    <w:rsid w:val="00D90B38"/>
    <w:rsid w:val="00D90F51"/>
    <w:rsid w:val="00D9126E"/>
    <w:rsid w:val="00D9140F"/>
    <w:rsid w:val="00D9159C"/>
    <w:rsid w:val="00D91732"/>
    <w:rsid w:val="00D92EC4"/>
    <w:rsid w:val="00D93058"/>
    <w:rsid w:val="00D93438"/>
    <w:rsid w:val="00D93D7E"/>
    <w:rsid w:val="00D93EEB"/>
    <w:rsid w:val="00D93FC7"/>
    <w:rsid w:val="00D9477E"/>
    <w:rsid w:val="00D94A7C"/>
    <w:rsid w:val="00D94AFF"/>
    <w:rsid w:val="00D94E63"/>
    <w:rsid w:val="00D95896"/>
    <w:rsid w:val="00D95A16"/>
    <w:rsid w:val="00D95D13"/>
    <w:rsid w:val="00D96030"/>
    <w:rsid w:val="00D9706D"/>
    <w:rsid w:val="00D9723A"/>
    <w:rsid w:val="00D97339"/>
    <w:rsid w:val="00D976A8"/>
    <w:rsid w:val="00D978B9"/>
    <w:rsid w:val="00DA043A"/>
    <w:rsid w:val="00DA0D58"/>
    <w:rsid w:val="00DA1B55"/>
    <w:rsid w:val="00DA20A5"/>
    <w:rsid w:val="00DA21D4"/>
    <w:rsid w:val="00DA2E3A"/>
    <w:rsid w:val="00DA3C14"/>
    <w:rsid w:val="00DA3D89"/>
    <w:rsid w:val="00DA45C5"/>
    <w:rsid w:val="00DA4BDE"/>
    <w:rsid w:val="00DA5B1D"/>
    <w:rsid w:val="00DA5D21"/>
    <w:rsid w:val="00DA5FC3"/>
    <w:rsid w:val="00DA61C9"/>
    <w:rsid w:val="00DA65CE"/>
    <w:rsid w:val="00DA66B5"/>
    <w:rsid w:val="00DA66C9"/>
    <w:rsid w:val="00DA6ABE"/>
    <w:rsid w:val="00DA6F32"/>
    <w:rsid w:val="00DA71A8"/>
    <w:rsid w:val="00DA7853"/>
    <w:rsid w:val="00DA78C0"/>
    <w:rsid w:val="00DB03AE"/>
    <w:rsid w:val="00DB05B3"/>
    <w:rsid w:val="00DB09C8"/>
    <w:rsid w:val="00DB0C06"/>
    <w:rsid w:val="00DB0C48"/>
    <w:rsid w:val="00DB1513"/>
    <w:rsid w:val="00DB1E13"/>
    <w:rsid w:val="00DB21B9"/>
    <w:rsid w:val="00DB2983"/>
    <w:rsid w:val="00DB2D6F"/>
    <w:rsid w:val="00DB2E38"/>
    <w:rsid w:val="00DB2EFE"/>
    <w:rsid w:val="00DB40B0"/>
    <w:rsid w:val="00DB43B1"/>
    <w:rsid w:val="00DB4A23"/>
    <w:rsid w:val="00DB51A9"/>
    <w:rsid w:val="00DB5687"/>
    <w:rsid w:val="00DB56C7"/>
    <w:rsid w:val="00DB5831"/>
    <w:rsid w:val="00DB5997"/>
    <w:rsid w:val="00DB60AB"/>
    <w:rsid w:val="00DB6442"/>
    <w:rsid w:val="00DB6F93"/>
    <w:rsid w:val="00DB7700"/>
    <w:rsid w:val="00DB7F89"/>
    <w:rsid w:val="00DC06CE"/>
    <w:rsid w:val="00DC0825"/>
    <w:rsid w:val="00DC0A96"/>
    <w:rsid w:val="00DC1094"/>
    <w:rsid w:val="00DC10C3"/>
    <w:rsid w:val="00DC1257"/>
    <w:rsid w:val="00DC1268"/>
    <w:rsid w:val="00DC1682"/>
    <w:rsid w:val="00DC1CB9"/>
    <w:rsid w:val="00DC257C"/>
    <w:rsid w:val="00DC34AA"/>
    <w:rsid w:val="00DC39D7"/>
    <w:rsid w:val="00DC3DC0"/>
    <w:rsid w:val="00DC4A68"/>
    <w:rsid w:val="00DC54BC"/>
    <w:rsid w:val="00DC5631"/>
    <w:rsid w:val="00DC57AC"/>
    <w:rsid w:val="00DC5B14"/>
    <w:rsid w:val="00DC5B2B"/>
    <w:rsid w:val="00DC5EB0"/>
    <w:rsid w:val="00DC60CA"/>
    <w:rsid w:val="00DC610B"/>
    <w:rsid w:val="00DC61A6"/>
    <w:rsid w:val="00DC6942"/>
    <w:rsid w:val="00DC6C6B"/>
    <w:rsid w:val="00DC7012"/>
    <w:rsid w:val="00DC7882"/>
    <w:rsid w:val="00DC7D27"/>
    <w:rsid w:val="00DC7EEC"/>
    <w:rsid w:val="00DC7F74"/>
    <w:rsid w:val="00DD0020"/>
    <w:rsid w:val="00DD041D"/>
    <w:rsid w:val="00DD09F6"/>
    <w:rsid w:val="00DD0C8D"/>
    <w:rsid w:val="00DD0E78"/>
    <w:rsid w:val="00DD151D"/>
    <w:rsid w:val="00DD1534"/>
    <w:rsid w:val="00DD173A"/>
    <w:rsid w:val="00DD19C0"/>
    <w:rsid w:val="00DD1AD6"/>
    <w:rsid w:val="00DD1E7C"/>
    <w:rsid w:val="00DD21ED"/>
    <w:rsid w:val="00DD261B"/>
    <w:rsid w:val="00DD2A21"/>
    <w:rsid w:val="00DD2B5E"/>
    <w:rsid w:val="00DD318D"/>
    <w:rsid w:val="00DD326F"/>
    <w:rsid w:val="00DD3568"/>
    <w:rsid w:val="00DD37A4"/>
    <w:rsid w:val="00DD3B79"/>
    <w:rsid w:val="00DD3CC0"/>
    <w:rsid w:val="00DD3F79"/>
    <w:rsid w:val="00DD3FD3"/>
    <w:rsid w:val="00DD433A"/>
    <w:rsid w:val="00DD54F6"/>
    <w:rsid w:val="00DD5900"/>
    <w:rsid w:val="00DD5E2F"/>
    <w:rsid w:val="00DD6039"/>
    <w:rsid w:val="00DD67CE"/>
    <w:rsid w:val="00DD7C7C"/>
    <w:rsid w:val="00DE0596"/>
    <w:rsid w:val="00DE0A76"/>
    <w:rsid w:val="00DE0ECA"/>
    <w:rsid w:val="00DE0EEB"/>
    <w:rsid w:val="00DE12E0"/>
    <w:rsid w:val="00DE144D"/>
    <w:rsid w:val="00DE14CF"/>
    <w:rsid w:val="00DE1C5F"/>
    <w:rsid w:val="00DE237B"/>
    <w:rsid w:val="00DE3167"/>
    <w:rsid w:val="00DE346B"/>
    <w:rsid w:val="00DE4A0D"/>
    <w:rsid w:val="00DE4D40"/>
    <w:rsid w:val="00DE6065"/>
    <w:rsid w:val="00DE618E"/>
    <w:rsid w:val="00DE6EDF"/>
    <w:rsid w:val="00DE6F35"/>
    <w:rsid w:val="00DE7401"/>
    <w:rsid w:val="00DE7703"/>
    <w:rsid w:val="00DE77AB"/>
    <w:rsid w:val="00DE7BB9"/>
    <w:rsid w:val="00DF0210"/>
    <w:rsid w:val="00DF053C"/>
    <w:rsid w:val="00DF123F"/>
    <w:rsid w:val="00DF19F1"/>
    <w:rsid w:val="00DF1A68"/>
    <w:rsid w:val="00DF1AE8"/>
    <w:rsid w:val="00DF2042"/>
    <w:rsid w:val="00DF2789"/>
    <w:rsid w:val="00DF2813"/>
    <w:rsid w:val="00DF2E12"/>
    <w:rsid w:val="00DF32A1"/>
    <w:rsid w:val="00DF4271"/>
    <w:rsid w:val="00DF427D"/>
    <w:rsid w:val="00DF4921"/>
    <w:rsid w:val="00DF514A"/>
    <w:rsid w:val="00DF553E"/>
    <w:rsid w:val="00DF6690"/>
    <w:rsid w:val="00DF6804"/>
    <w:rsid w:val="00DF6982"/>
    <w:rsid w:val="00DF6CEE"/>
    <w:rsid w:val="00DF7A7B"/>
    <w:rsid w:val="00DF7E0D"/>
    <w:rsid w:val="00DF7E7E"/>
    <w:rsid w:val="00E00DE8"/>
    <w:rsid w:val="00E00F5D"/>
    <w:rsid w:val="00E02018"/>
    <w:rsid w:val="00E0358D"/>
    <w:rsid w:val="00E0358F"/>
    <w:rsid w:val="00E03BF4"/>
    <w:rsid w:val="00E03D7A"/>
    <w:rsid w:val="00E03FEB"/>
    <w:rsid w:val="00E04323"/>
    <w:rsid w:val="00E04B42"/>
    <w:rsid w:val="00E04DCE"/>
    <w:rsid w:val="00E05518"/>
    <w:rsid w:val="00E059B7"/>
    <w:rsid w:val="00E062ED"/>
    <w:rsid w:val="00E06768"/>
    <w:rsid w:val="00E06792"/>
    <w:rsid w:val="00E06BDE"/>
    <w:rsid w:val="00E06C2F"/>
    <w:rsid w:val="00E070A2"/>
    <w:rsid w:val="00E070B3"/>
    <w:rsid w:val="00E0765F"/>
    <w:rsid w:val="00E07B85"/>
    <w:rsid w:val="00E07D66"/>
    <w:rsid w:val="00E07F51"/>
    <w:rsid w:val="00E07F75"/>
    <w:rsid w:val="00E10017"/>
    <w:rsid w:val="00E11947"/>
    <w:rsid w:val="00E11982"/>
    <w:rsid w:val="00E11ECF"/>
    <w:rsid w:val="00E12029"/>
    <w:rsid w:val="00E120DB"/>
    <w:rsid w:val="00E121EA"/>
    <w:rsid w:val="00E1240A"/>
    <w:rsid w:val="00E12545"/>
    <w:rsid w:val="00E126D5"/>
    <w:rsid w:val="00E12CE9"/>
    <w:rsid w:val="00E1319D"/>
    <w:rsid w:val="00E14375"/>
    <w:rsid w:val="00E15ACB"/>
    <w:rsid w:val="00E166AC"/>
    <w:rsid w:val="00E16AE4"/>
    <w:rsid w:val="00E16C46"/>
    <w:rsid w:val="00E172B0"/>
    <w:rsid w:val="00E17801"/>
    <w:rsid w:val="00E179A0"/>
    <w:rsid w:val="00E2095F"/>
    <w:rsid w:val="00E20C1D"/>
    <w:rsid w:val="00E20DCB"/>
    <w:rsid w:val="00E2128B"/>
    <w:rsid w:val="00E21890"/>
    <w:rsid w:val="00E2314A"/>
    <w:rsid w:val="00E23153"/>
    <w:rsid w:val="00E23911"/>
    <w:rsid w:val="00E23FDD"/>
    <w:rsid w:val="00E23FF0"/>
    <w:rsid w:val="00E24909"/>
    <w:rsid w:val="00E24C64"/>
    <w:rsid w:val="00E24D51"/>
    <w:rsid w:val="00E25059"/>
    <w:rsid w:val="00E25093"/>
    <w:rsid w:val="00E25468"/>
    <w:rsid w:val="00E25895"/>
    <w:rsid w:val="00E25E47"/>
    <w:rsid w:val="00E2656A"/>
    <w:rsid w:val="00E26B8A"/>
    <w:rsid w:val="00E27251"/>
    <w:rsid w:val="00E275F0"/>
    <w:rsid w:val="00E27ACC"/>
    <w:rsid w:val="00E30CB3"/>
    <w:rsid w:val="00E30E7C"/>
    <w:rsid w:val="00E31435"/>
    <w:rsid w:val="00E31AE3"/>
    <w:rsid w:val="00E32B78"/>
    <w:rsid w:val="00E33772"/>
    <w:rsid w:val="00E343A1"/>
    <w:rsid w:val="00E3478D"/>
    <w:rsid w:val="00E3480A"/>
    <w:rsid w:val="00E34E5B"/>
    <w:rsid w:val="00E34EC0"/>
    <w:rsid w:val="00E35744"/>
    <w:rsid w:val="00E359BD"/>
    <w:rsid w:val="00E359F1"/>
    <w:rsid w:val="00E36F79"/>
    <w:rsid w:val="00E378B1"/>
    <w:rsid w:val="00E37AA9"/>
    <w:rsid w:val="00E37B8B"/>
    <w:rsid w:val="00E37E60"/>
    <w:rsid w:val="00E37FE8"/>
    <w:rsid w:val="00E401EF"/>
    <w:rsid w:val="00E40695"/>
    <w:rsid w:val="00E41187"/>
    <w:rsid w:val="00E412D0"/>
    <w:rsid w:val="00E41A7E"/>
    <w:rsid w:val="00E4209C"/>
    <w:rsid w:val="00E42622"/>
    <w:rsid w:val="00E42686"/>
    <w:rsid w:val="00E429DC"/>
    <w:rsid w:val="00E42F96"/>
    <w:rsid w:val="00E433DB"/>
    <w:rsid w:val="00E43A83"/>
    <w:rsid w:val="00E445B6"/>
    <w:rsid w:val="00E447C6"/>
    <w:rsid w:val="00E44FD6"/>
    <w:rsid w:val="00E45068"/>
    <w:rsid w:val="00E454EC"/>
    <w:rsid w:val="00E458F2"/>
    <w:rsid w:val="00E45D86"/>
    <w:rsid w:val="00E46167"/>
    <w:rsid w:val="00E463C3"/>
    <w:rsid w:val="00E46630"/>
    <w:rsid w:val="00E46641"/>
    <w:rsid w:val="00E466C7"/>
    <w:rsid w:val="00E469C9"/>
    <w:rsid w:val="00E4747E"/>
    <w:rsid w:val="00E4764B"/>
    <w:rsid w:val="00E476CD"/>
    <w:rsid w:val="00E47873"/>
    <w:rsid w:val="00E507F7"/>
    <w:rsid w:val="00E5123F"/>
    <w:rsid w:val="00E5157E"/>
    <w:rsid w:val="00E51650"/>
    <w:rsid w:val="00E517A7"/>
    <w:rsid w:val="00E52552"/>
    <w:rsid w:val="00E5269F"/>
    <w:rsid w:val="00E53E4C"/>
    <w:rsid w:val="00E54039"/>
    <w:rsid w:val="00E5428F"/>
    <w:rsid w:val="00E54477"/>
    <w:rsid w:val="00E5470D"/>
    <w:rsid w:val="00E54830"/>
    <w:rsid w:val="00E54B16"/>
    <w:rsid w:val="00E55077"/>
    <w:rsid w:val="00E55832"/>
    <w:rsid w:val="00E55C7A"/>
    <w:rsid w:val="00E55FE6"/>
    <w:rsid w:val="00E56322"/>
    <w:rsid w:val="00E56680"/>
    <w:rsid w:val="00E56A60"/>
    <w:rsid w:val="00E56D3B"/>
    <w:rsid w:val="00E57019"/>
    <w:rsid w:val="00E60234"/>
    <w:rsid w:val="00E60648"/>
    <w:rsid w:val="00E606DC"/>
    <w:rsid w:val="00E60982"/>
    <w:rsid w:val="00E60A10"/>
    <w:rsid w:val="00E616EE"/>
    <w:rsid w:val="00E61BCA"/>
    <w:rsid w:val="00E6209D"/>
    <w:rsid w:val="00E62188"/>
    <w:rsid w:val="00E62BC4"/>
    <w:rsid w:val="00E62C62"/>
    <w:rsid w:val="00E63C8B"/>
    <w:rsid w:val="00E6401D"/>
    <w:rsid w:val="00E64359"/>
    <w:rsid w:val="00E6438C"/>
    <w:rsid w:val="00E654C1"/>
    <w:rsid w:val="00E658D8"/>
    <w:rsid w:val="00E65D97"/>
    <w:rsid w:val="00E66291"/>
    <w:rsid w:val="00E66AB5"/>
    <w:rsid w:val="00E675EE"/>
    <w:rsid w:val="00E67610"/>
    <w:rsid w:val="00E70558"/>
    <w:rsid w:val="00E7068F"/>
    <w:rsid w:val="00E708AF"/>
    <w:rsid w:val="00E70AEF"/>
    <w:rsid w:val="00E70D0E"/>
    <w:rsid w:val="00E70D7B"/>
    <w:rsid w:val="00E71067"/>
    <w:rsid w:val="00E71687"/>
    <w:rsid w:val="00E71A11"/>
    <w:rsid w:val="00E71C15"/>
    <w:rsid w:val="00E71DC5"/>
    <w:rsid w:val="00E72A5A"/>
    <w:rsid w:val="00E72B3E"/>
    <w:rsid w:val="00E72C0C"/>
    <w:rsid w:val="00E73354"/>
    <w:rsid w:val="00E73469"/>
    <w:rsid w:val="00E73478"/>
    <w:rsid w:val="00E74056"/>
    <w:rsid w:val="00E741DB"/>
    <w:rsid w:val="00E7441D"/>
    <w:rsid w:val="00E75303"/>
    <w:rsid w:val="00E75479"/>
    <w:rsid w:val="00E75626"/>
    <w:rsid w:val="00E7572B"/>
    <w:rsid w:val="00E758CE"/>
    <w:rsid w:val="00E759A3"/>
    <w:rsid w:val="00E75BFA"/>
    <w:rsid w:val="00E75C9A"/>
    <w:rsid w:val="00E766B6"/>
    <w:rsid w:val="00E766CF"/>
    <w:rsid w:val="00E7748D"/>
    <w:rsid w:val="00E774BE"/>
    <w:rsid w:val="00E776E1"/>
    <w:rsid w:val="00E778D0"/>
    <w:rsid w:val="00E802CE"/>
    <w:rsid w:val="00E80B89"/>
    <w:rsid w:val="00E80BBA"/>
    <w:rsid w:val="00E80BDA"/>
    <w:rsid w:val="00E816C4"/>
    <w:rsid w:val="00E818D0"/>
    <w:rsid w:val="00E82093"/>
    <w:rsid w:val="00E8229E"/>
    <w:rsid w:val="00E827A4"/>
    <w:rsid w:val="00E82BA1"/>
    <w:rsid w:val="00E82CB6"/>
    <w:rsid w:val="00E8351E"/>
    <w:rsid w:val="00E83A99"/>
    <w:rsid w:val="00E84154"/>
    <w:rsid w:val="00E84489"/>
    <w:rsid w:val="00E8462D"/>
    <w:rsid w:val="00E84903"/>
    <w:rsid w:val="00E84CA3"/>
    <w:rsid w:val="00E84EE8"/>
    <w:rsid w:val="00E85076"/>
    <w:rsid w:val="00E85823"/>
    <w:rsid w:val="00E858A1"/>
    <w:rsid w:val="00E86297"/>
    <w:rsid w:val="00E862B9"/>
    <w:rsid w:val="00E86651"/>
    <w:rsid w:val="00E86831"/>
    <w:rsid w:val="00E86D3E"/>
    <w:rsid w:val="00E86E5B"/>
    <w:rsid w:val="00E86F65"/>
    <w:rsid w:val="00E8799F"/>
    <w:rsid w:val="00E87C6B"/>
    <w:rsid w:val="00E87D13"/>
    <w:rsid w:val="00E87E23"/>
    <w:rsid w:val="00E90114"/>
    <w:rsid w:val="00E90995"/>
    <w:rsid w:val="00E90BE6"/>
    <w:rsid w:val="00E9112B"/>
    <w:rsid w:val="00E91224"/>
    <w:rsid w:val="00E9242D"/>
    <w:rsid w:val="00E92666"/>
    <w:rsid w:val="00E92E86"/>
    <w:rsid w:val="00E932BD"/>
    <w:rsid w:val="00E93A39"/>
    <w:rsid w:val="00E940E0"/>
    <w:rsid w:val="00E944C8"/>
    <w:rsid w:val="00E94FFD"/>
    <w:rsid w:val="00E95539"/>
    <w:rsid w:val="00E95848"/>
    <w:rsid w:val="00E95ED8"/>
    <w:rsid w:val="00E963EA"/>
    <w:rsid w:val="00E9682B"/>
    <w:rsid w:val="00E975D4"/>
    <w:rsid w:val="00E97BF0"/>
    <w:rsid w:val="00E97BFE"/>
    <w:rsid w:val="00E97DF5"/>
    <w:rsid w:val="00EA006B"/>
    <w:rsid w:val="00EA0577"/>
    <w:rsid w:val="00EA0AEF"/>
    <w:rsid w:val="00EA15E4"/>
    <w:rsid w:val="00EA17EE"/>
    <w:rsid w:val="00EA24C1"/>
    <w:rsid w:val="00EA259F"/>
    <w:rsid w:val="00EA2D29"/>
    <w:rsid w:val="00EA2E3F"/>
    <w:rsid w:val="00EA313D"/>
    <w:rsid w:val="00EA3203"/>
    <w:rsid w:val="00EA5595"/>
    <w:rsid w:val="00EA580E"/>
    <w:rsid w:val="00EA5D65"/>
    <w:rsid w:val="00EA5DD4"/>
    <w:rsid w:val="00EA5F11"/>
    <w:rsid w:val="00EA6418"/>
    <w:rsid w:val="00EA6FDD"/>
    <w:rsid w:val="00EA7A76"/>
    <w:rsid w:val="00EA7BA7"/>
    <w:rsid w:val="00EA7DD4"/>
    <w:rsid w:val="00EB01D8"/>
    <w:rsid w:val="00EB038E"/>
    <w:rsid w:val="00EB06AD"/>
    <w:rsid w:val="00EB0D1B"/>
    <w:rsid w:val="00EB10C0"/>
    <w:rsid w:val="00EB1266"/>
    <w:rsid w:val="00EB1BC5"/>
    <w:rsid w:val="00EB1F1C"/>
    <w:rsid w:val="00EB23DB"/>
    <w:rsid w:val="00EB2604"/>
    <w:rsid w:val="00EB2A29"/>
    <w:rsid w:val="00EB3146"/>
    <w:rsid w:val="00EB36AA"/>
    <w:rsid w:val="00EB3B62"/>
    <w:rsid w:val="00EB49A9"/>
    <w:rsid w:val="00EB5255"/>
    <w:rsid w:val="00EB58AA"/>
    <w:rsid w:val="00EB59A0"/>
    <w:rsid w:val="00EB5A70"/>
    <w:rsid w:val="00EB5C47"/>
    <w:rsid w:val="00EB5C69"/>
    <w:rsid w:val="00EB63E4"/>
    <w:rsid w:val="00EB6980"/>
    <w:rsid w:val="00EB6B10"/>
    <w:rsid w:val="00EB6D16"/>
    <w:rsid w:val="00EB6DC5"/>
    <w:rsid w:val="00EB6F54"/>
    <w:rsid w:val="00EB7761"/>
    <w:rsid w:val="00EB77A0"/>
    <w:rsid w:val="00EC0172"/>
    <w:rsid w:val="00EC076C"/>
    <w:rsid w:val="00EC0A73"/>
    <w:rsid w:val="00EC0FF9"/>
    <w:rsid w:val="00EC2056"/>
    <w:rsid w:val="00EC249A"/>
    <w:rsid w:val="00EC2541"/>
    <w:rsid w:val="00EC26DE"/>
    <w:rsid w:val="00EC2B71"/>
    <w:rsid w:val="00EC2BDC"/>
    <w:rsid w:val="00EC330A"/>
    <w:rsid w:val="00EC4BA2"/>
    <w:rsid w:val="00EC556A"/>
    <w:rsid w:val="00EC572E"/>
    <w:rsid w:val="00EC61FB"/>
    <w:rsid w:val="00EC63C9"/>
    <w:rsid w:val="00EC67EB"/>
    <w:rsid w:val="00EC6D38"/>
    <w:rsid w:val="00EC6F72"/>
    <w:rsid w:val="00EC6FA7"/>
    <w:rsid w:val="00EC720E"/>
    <w:rsid w:val="00EC7488"/>
    <w:rsid w:val="00EC7A12"/>
    <w:rsid w:val="00EC7E81"/>
    <w:rsid w:val="00ED0639"/>
    <w:rsid w:val="00ED07A0"/>
    <w:rsid w:val="00ED098B"/>
    <w:rsid w:val="00ED0D15"/>
    <w:rsid w:val="00ED14CD"/>
    <w:rsid w:val="00ED1FD6"/>
    <w:rsid w:val="00ED223D"/>
    <w:rsid w:val="00ED2DB9"/>
    <w:rsid w:val="00ED3126"/>
    <w:rsid w:val="00ED42B2"/>
    <w:rsid w:val="00ED42ED"/>
    <w:rsid w:val="00ED4A64"/>
    <w:rsid w:val="00ED508C"/>
    <w:rsid w:val="00ED5371"/>
    <w:rsid w:val="00ED5957"/>
    <w:rsid w:val="00ED597E"/>
    <w:rsid w:val="00ED6280"/>
    <w:rsid w:val="00ED6AB8"/>
    <w:rsid w:val="00ED6AD0"/>
    <w:rsid w:val="00ED6D61"/>
    <w:rsid w:val="00EE0948"/>
    <w:rsid w:val="00EE1031"/>
    <w:rsid w:val="00EE14A6"/>
    <w:rsid w:val="00EE15DE"/>
    <w:rsid w:val="00EE1970"/>
    <w:rsid w:val="00EE1C73"/>
    <w:rsid w:val="00EE1CB5"/>
    <w:rsid w:val="00EE1F22"/>
    <w:rsid w:val="00EE2B71"/>
    <w:rsid w:val="00EE2C3A"/>
    <w:rsid w:val="00EE349C"/>
    <w:rsid w:val="00EE3C6A"/>
    <w:rsid w:val="00EE40A8"/>
    <w:rsid w:val="00EE4680"/>
    <w:rsid w:val="00EE468D"/>
    <w:rsid w:val="00EE4887"/>
    <w:rsid w:val="00EE48D5"/>
    <w:rsid w:val="00EE4B26"/>
    <w:rsid w:val="00EE5040"/>
    <w:rsid w:val="00EE51DC"/>
    <w:rsid w:val="00EE5303"/>
    <w:rsid w:val="00EE5852"/>
    <w:rsid w:val="00EE5AF3"/>
    <w:rsid w:val="00EE649A"/>
    <w:rsid w:val="00EE6507"/>
    <w:rsid w:val="00EE6815"/>
    <w:rsid w:val="00EE72BB"/>
    <w:rsid w:val="00EE787F"/>
    <w:rsid w:val="00EE7FF3"/>
    <w:rsid w:val="00EF05C4"/>
    <w:rsid w:val="00EF062E"/>
    <w:rsid w:val="00EF0684"/>
    <w:rsid w:val="00EF0716"/>
    <w:rsid w:val="00EF0995"/>
    <w:rsid w:val="00EF09AD"/>
    <w:rsid w:val="00EF1BB4"/>
    <w:rsid w:val="00EF1D18"/>
    <w:rsid w:val="00EF2065"/>
    <w:rsid w:val="00EF20DC"/>
    <w:rsid w:val="00EF26D5"/>
    <w:rsid w:val="00EF324B"/>
    <w:rsid w:val="00EF3CA7"/>
    <w:rsid w:val="00EF40DD"/>
    <w:rsid w:val="00EF434D"/>
    <w:rsid w:val="00EF46DD"/>
    <w:rsid w:val="00EF4716"/>
    <w:rsid w:val="00EF4755"/>
    <w:rsid w:val="00EF47F3"/>
    <w:rsid w:val="00EF4D34"/>
    <w:rsid w:val="00EF53A9"/>
    <w:rsid w:val="00EF55D8"/>
    <w:rsid w:val="00EF59B3"/>
    <w:rsid w:val="00EF5C1D"/>
    <w:rsid w:val="00EF5D32"/>
    <w:rsid w:val="00EF5F74"/>
    <w:rsid w:val="00EF5FEE"/>
    <w:rsid w:val="00EF6015"/>
    <w:rsid w:val="00EF65E1"/>
    <w:rsid w:val="00EF66A3"/>
    <w:rsid w:val="00EF66C8"/>
    <w:rsid w:val="00EF6D65"/>
    <w:rsid w:val="00EF6E94"/>
    <w:rsid w:val="00EF7135"/>
    <w:rsid w:val="00F000E8"/>
    <w:rsid w:val="00F00FA3"/>
    <w:rsid w:val="00F01619"/>
    <w:rsid w:val="00F016A0"/>
    <w:rsid w:val="00F01B40"/>
    <w:rsid w:val="00F021CA"/>
    <w:rsid w:val="00F02292"/>
    <w:rsid w:val="00F026F6"/>
    <w:rsid w:val="00F027DB"/>
    <w:rsid w:val="00F035AC"/>
    <w:rsid w:val="00F03B26"/>
    <w:rsid w:val="00F03DA1"/>
    <w:rsid w:val="00F03F1D"/>
    <w:rsid w:val="00F04079"/>
    <w:rsid w:val="00F041A1"/>
    <w:rsid w:val="00F04F65"/>
    <w:rsid w:val="00F067F4"/>
    <w:rsid w:val="00F072DC"/>
    <w:rsid w:val="00F072EC"/>
    <w:rsid w:val="00F07329"/>
    <w:rsid w:val="00F07D70"/>
    <w:rsid w:val="00F10080"/>
    <w:rsid w:val="00F1059C"/>
    <w:rsid w:val="00F10648"/>
    <w:rsid w:val="00F10862"/>
    <w:rsid w:val="00F10876"/>
    <w:rsid w:val="00F10C2D"/>
    <w:rsid w:val="00F11593"/>
    <w:rsid w:val="00F1164A"/>
    <w:rsid w:val="00F11890"/>
    <w:rsid w:val="00F11B12"/>
    <w:rsid w:val="00F120FD"/>
    <w:rsid w:val="00F123DC"/>
    <w:rsid w:val="00F12450"/>
    <w:rsid w:val="00F12721"/>
    <w:rsid w:val="00F129A9"/>
    <w:rsid w:val="00F12AAA"/>
    <w:rsid w:val="00F1306B"/>
    <w:rsid w:val="00F134B7"/>
    <w:rsid w:val="00F13AAC"/>
    <w:rsid w:val="00F14089"/>
    <w:rsid w:val="00F140CE"/>
    <w:rsid w:val="00F14A7A"/>
    <w:rsid w:val="00F14E48"/>
    <w:rsid w:val="00F15454"/>
    <w:rsid w:val="00F15665"/>
    <w:rsid w:val="00F1593D"/>
    <w:rsid w:val="00F15DBD"/>
    <w:rsid w:val="00F1618B"/>
    <w:rsid w:val="00F16319"/>
    <w:rsid w:val="00F17164"/>
    <w:rsid w:val="00F17536"/>
    <w:rsid w:val="00F17677"/>
    <w:rsid w:val="00F17BE3"/>
    <w:rsid w:val="00F17BFE"/>
    <w:rsid w:val="00F2058E"/>
    <w:rsid w:val="00F20DC9"/>
    <w:rsid w:val="00F2103F"/>
    <w:rsid w:val="00F212C5"/>
    <w:rsid w:val="00F215A9"/>
    <w:rsid w:val="00F21675"/>
    <w:rsid w:val="00F21831"/>
    <w:rsid w:val="00F21852"/>
    <w:rsid w:val="00F21E68"/>
    <w:rsid w:val="00F2209D"/>
    <w:rsid w:val="00F221C6"/>
    <w:rsid w:val="00F22985"/>
    <w:rsid w:val="00F22E24"/>
    <w:rsid w:val="00F2342F"/>
    <w:rsid w:val="00F247C4"/>
    <w:rsid w:val="00F2482A"/>
    <w:rsid w:val="00F248BE"/>
    <w:rsid w:val="00F24BB4"/>
    <w:rsid w:val="00F24F45"/>
    <w:rsid w:val="00F2518E"/>
    <w:rsid w:val="00F25219"/>
    <w:rsid w:val="00F259CE"/>
    <w:rsid w:val="00F2713D"/>
    <w:rsid w:val="00F2787B"/>
    <w:rsid w:val="00F30541"/>
    <w:rsid w:val="00F30823"/>
    <w:rsid w:val="00F30D61"/>
    <w:rsid w:val="00F31054"/>
    <w:rsid w:val="00F31539"/>
    <w:rsid w:val="00F31554"/>
    <w:rsid w:val="00F323FB"/>
    <w:rsid w:val="00F3260F"/>
    <w:rsid w:val="00F327AB"/>
    <w:rsid w:val="00F32A2E"/>
    <w:rsid w:val="00F32ADD"/>
    <w:rsid w:val="00F331BB"/>
    <w:rsid w:val="00F33635"/>
    <w:rsid w:val="00F33811"/>
    <w:rsid w:val="00F3383B"/>
    <w:rsid w:val="00F3383E"/>
    <w:rsid w:val="00F33954"/>
    <w:rsid w:val="00F33C46"/>
    <w:rsid w:val="00F342F5"/>
    <w:rsid w:val="00F34C54"/>
    <w:rsid w:val="00F354BF"/>
    <w:rsid w:val="00F359AD"/>
    <w:rsid w:val="00F359F1"/>
    <w:rsid w:val="00F35B3A"/>
    <w:rsid w:val="00F363FF"/>
    <w:rsid w:val="00F367DD"/>
    <w:rsid w:val="00F36994"/>
    <w:rsid w:val="00F375B3"/>
    <w:rsid w:val="00F40A35"/>
    <w:rsid w:val="00F424FA"/>
    <w:rsid w:val="00F430F6"/>
    <w:rsid w:val="00F43A7B"/>
    <w:rsid w:val="00F43EA4"/>
    <w:rsid w:val="00F44332"/>
    <w:rsid w:val="00F449E6"/>
    <w:rsid w:val="00F44A74"/>
    <w:rsid w:val="00F45D78"/>
    <w:rsid w:val="00F46230"/>
    <w:rsid w:val="00F464C1"/>
    <w:rsid w:val="00F465A7"/>
    <w:rsid w:val="00F46A7C"/>
    <w:rsid w:val="00F46E9D"/>
    <w:rsid w:val="00F476FF"/>
    <w:rsid w:val="00F47913"/>
    <w:rsid w:val="00F47B54"/>
    <w:rsid w:val="00F47F58"/>
    <w:rsid w:val="00F50147"/>
    <w:rsid w:val="00F5038B"/>
    <w:rsid w:val="00F50514"/>
    <w:rsid w:val="00F50876"/>
    <w:rsid w:val="00F50B7C"/>
    <w:rsid w:val="00F50D2E"/>
    <w:rsid w:val="00F51188"/>
    <w:rsid w:val="00F51610"/>
    <w:rsid w:val="00F51BCA"/>
    <w:rsid w:val="00F51ED9"/>
    <w:rsid w:val="00F52092"/>
    <w:rsid w:val="00F52976"/>
    <w:rsid w:val="00F52BA4"/>
    <w:rsid w:val="00F52C32"/>
    <w:rsid w:val="00F5352C"/>
    <w:rsid w:val="00F53656"/>
    <w:rsid w:val="00F54D77"/>
    <w:rsid w:val="00F54E98"/>
    <w:rsid w:val="00F54F42"/>
    <w:rsid w:val="00F550E6"/>
    <w:rsid w:val="00F552D6"/>
    <w:rsid w:val="00F555B9"/>
    <w:rsid w:val="00F557AE"/>
    <w:rsid w:val="00F557C3"/>
    <w:rsid w:val="00F55A5B"/>
    <w:rsid w:val="00F5629C"/>
    <w:rsid w:val="00F563FE"/>
    <w:rsid w:val="00F566AD"/>
    <w:rsid w:val="00F56FB1"/>
    <w:rsid w:val="00F570FC"/>
    <w:rsid w:val="00F57BCC"/>
    <w:rsid w:val="00F60158"/>
    <w:rsid w:val="00F6028F"/>
    <w:rsid w:val="00F606AA"/>
    <w:rsid w:val="00F6164D"/>
    <w:rsid w:val="00F61BFC"/>
    <w:rsid w:val="00F62309"/>
    <w:rsid w:val="00F62652"/>
    <w:rsid w:val="00F62B13"/>
    <w:rsid w:val="00F6341B"/>
    <w:rsid w:val="00F63AE2"/>
    <w:rsid w:val="00F6404B"/>
    <w:rsid w:val="00F64146"/>
    <w:rsid w:val="00F64464"/>
    <w:rsid w:val="00F64745"/>
    <w:rsid w:val="00F64F98"/>
    <w:rsid w:val="00F64FE0"/>
    <w:rsid w:val="00F655FC"/>
    <w:rsid w:val="00F65C62"/>
    <w:rsid w:val="00F66550"/>
    <w:rsid w:val="00F66D70"/>
    <w:rsid w:val="00F66F4E"/>
    <w:rsid w:val="00F67C8E"/>
    <w:rsid w:val="00F70A16"/>
    <w:rsid w:val="00F70A7E"/>
    <w:rsid w:val="00F70D06"/>
    <w:rsid w:val="00F70F6F"/>
    <w:rsid w:val="00F71219"/>
    <w:rsid w:val="00F71DA2"/>
    <w:rsid w:val="00F71EF2"/>
    <w:rsid w:val="00F71F59"/>
    <w:rsid w:val="00F7231B"/>
    <w:rsid w:val="00F72880"/>
    <w:rsid w:val="00F7296B"/>
    <w:rsid w:val="00F7385B"/>
    <w:rsid w:val="00F740BF"/>
    <w:rsid w:val="00F74345"/>
    <w:rsid w:val="00F74A91"/>
    <w:rsid w:val="00F754E7"/>
    <w:rsid w:val="00F7555D"/>
    <w:rsid w:val="00F75A2B"/>
    <w:rsid w:val="00F75A7E"/>
    <w:rsid w:val="00F75C64"/>
    <w:rsid w:val="00F75E4E"/>
    <w:rsid w:val="00F763DA"/>
    <w:rsid w:val="00F767F6"/>
    <w:rsid w:val="00F76FD2"/>
    <w:rsid w:val="00F77402"/>
    <w:rsid w:val="00F77730"/>
    <w:rsid w:val="00F77DF7"/>
    <w:rsid w:val="00F77E74"/>
    <w:rsid w:val="00F807B8"/>
    <w:rsid w:val="00F80A0A"/>
    <w:rsid w:val="00F81376"/>
    <w:rsid w:val="00F8177A"/>
    <w:rsid w:val="00F81A36"/>
    <w:rsid w:val="00F81D63"/>
    <w:rsid w:val="00F81E57"/>
    <w:rsid w:val="00F8206F"/>
    <w:rsid w:val="00F8234F"/>
    <w:rsid w:val="00F8251A"/>
    <w:rsid w:val="00F825D6"/>
    <w:rsid w:val="00F825DE"/>
    <w:rsid w:val="00F82B19"/>
    <w:rsid w:val="00F82E78"/>
    <w:rsid w:val="00F82F7B"/>
    <w:rsid w:val="00F83B67"/>
    <w:rsid w:val="00F8447D"/>
    <w:rsid w:val="00F84E64"/>
    <w:rsid w:val="00F84E85"/>
    <w:rsid w:val="00F84F20"/>
    <w:rsid w:val="00F85511"/>
    <w:rsid w:val="00F85D4E"/>
    <w:rsid w:val="00F85ED4"/>
    <w:rsid w:val="00F86355"/>
    <w:rsid w:val="00F86A6A"/>
    <w:rsid w:val="00F8710B"/>
    <w:rsid w:val="00F8725A"/>
    <w:rsid w:val="00F872A9"/>
    <w:rsid w:val="00F87530"/>
    <w:rsid w:val="00F8773B"/>
    <w:rsid w:val="00F87F15"/>
    <w:rsid w:val="00F90500"/>
    <w:rsid w:val="00F9054F"/>
    <w:rsid w:val="00F90BAF"/>
    <w:rsid w:val="00F910A7"/>
    <w:rsid w:val="00F910C0"/>
    <w:rsid w:val="00F913AD"/>
    <w:rsid w:val="00F9212D"/>
    <w:rsid w:val="00F92D0F"/>
    <w:rsid w:val="00F92F38"/>
    <w:rsid w:val="00F934C7"/>
    <w:rsid w:val="00F93F00"/>
    <w:rsid w:val="00F94138"/>
    <w:rsid w:val="00F94300"/>
    <w:rsid w:val="00F9450F"/>
    <w:rsid w:val="00F9465B"/>
    <w:rsid w:val="00F95689"/>
    <w:rsid w:val="00F95F92"/>
    <w:rsid w:val="00F965DA"/>
    <w:rsid w:val="00F96BC6"/>
    <w:rsid w:val="00F970A8"/>
    <w:rsid w:val="00F977BC"/>
    <w:rsid w:val="00F97AE5"/>
    <w:rsid w:val="00F97F9E"/>
    <w:rsid w:val="00FA0232"/>
    <w:rsid w:val="00FA0794"/>
    <w:rsid w:val="00FA19E0"/>
    <w:rsid w:val="00FA19F8"/>
    <w:rsid w:val="00FA1B70"/>
    <w:rsid w:val="00FA1BC6"/>
    <w:rsid w:val="00FA1E44"/>
    <w:rsid w:val="00FA1EDA"/>
    <w:rsid w:val="00FA1F5F"/>
    <w:rsid w:val="00FA1FAE"/>
    <w:rsid w:val="00FA2DE9"/>
    <w:rsid w:val="00FA2E08"/>
    <w:rsid w:val="00FA2E8C"/>
    <w:rsid w:val="00FA3348"/>
    <w:rsid w:val="00FA3B92"/>
    <w:rsid w:val="00FA406A"/>
    <w:rsid w:val="00FA45DC"/>
    <w:rsid w:val="00FA46A4"/>
    <w:rsid w:val="00FA473B"/>
    <w:rsid w:val="00FA4E25"/>
    <w:rsid w:val="00FA60C7"/>
    <w:rsid w:val="00FA6838"/>
    <w:rsid w:val="00FA68D2"/>
    <w:rsid w:val="00FA76E2"/>
    <w:rsid w:val="00FA7EF5"/>
    <w:rsid w:val="00FB00AC"/>
    <w:rsid w:val="00FB0162"/>
    <w:rsid w:val="00FB0845"/>
    <w:rsid w:val="00FB21D5"/>
    <w:rsid w:val="00FB27AE"/>
    <w:rsid w:val="00FB30A9"/>
    <w:rsid w:val="00FB330D"/>
    <w:rsid w:val="00FB3F91"/>
    <w:rsid w:val="00FB4460"/>
    <w:rsid w:val="00FB503A"/>
    <w:rsid w:val="00FB516C"/>
    <w:rsid w:val="00FB567E"/>
    <w:rsid w:val="00FB5A6C"/>
    <w:rsid w:val="00FB6132"/>
    <w:rsid w:val="00FB6B26"/>
    <w:rsid w:val="00FB7D62"/>
    <w:rsid w:val="00FC0340"/>
    <w:rsid w:val="00FC0662"/>
    <w:rsid w:val="00FC0FED"/>
    <w:rsid w:val="00FC18FD"/>
    <w:rsid w:val="00FC1C1D"/>
    <w:rsid w:val="00FC22E9"/>
    <w:rsid w:val="00FC2DF5"/>
    <w:rsid w:val="00FC3189"/>
    <w:rsid w:val="00FC31DB"/>
    <w:rsid w:val="00FC35DA"/>
    <w:rsid w:val="00FC3AA1"/>
    <w:rsid w:val="00FC3BB5"/>
    <w:rsid w:val="00FC449D"/>
    <w:rsid w:val="00FC453B"/>
    <w:rsid w:val="00FC4C28"/>
    <w:rsid w:val="00FC512E"/>
    <w:rsid w:val="00FC5C5F"/>
    <w:rsid w:val="00FC5E5E"/>
    <w:rsid w:val="00FC6530"/>
    <w:rsid w:val="00FC70EF"/>
    <w:rsid w:val="00FC7E33"/>
    <w:rsid w:val="00FD0236"/>
    <w:rsid w:val="00FD08B4"/>
    <w:rsid w:val="00FD0C4D"/>
    <w:rsid w:val="00FD100F"/>
    <w:rsid w:val="00FD166B"/>
    <w:rsid w:val="00FD18F4"/>
    <w:rsid w:val="00FD196D"/>
    <w:rsid w:val="00FD1BA2"/>
    <w:rsid w:val="00FD2291"/>
    <w:rsid w:val="00FD2724"/>
    <w:rsid w:val="00FD2761"/>
    <w:rsid w:val="00FD38EC"/>
    <w:rsid w:val="00FD39CD"/>
    <w:rsid w:val="00FD3ADA"/>
    <w:rsid w:val="00FD3F3B"/>
    <w:rsid w:val="00FD401C"/>
    <w:rsid w:val="00FD44E0"/>
    <w:rsid w:val="00FD4D7D"/>
    <w:rsid w:val="00FD52AF"/>
    <w:rsid w:val="00FD54DB"/>
    <w:rsid w:val="00FD5920"/>
    <w:rsid w:val="00FD619F"/>
    <w:rsid w:val="00FD6B7B"/>
    <w:rsid w:val="00FD7544"/>
    <w:rsid w:val="00FD7E3C"/>
    <w:rsid w:val="00FE079B"/>
    <w:rsid w:val="00FE0F71"/>
    <w:rsid w:val="00FE1118"/>
    <w:rsid w:val="00FE141A"/>
    <w:rsid w:val="00FE1723"/>
    <w:rsid w:val="00FE1D7E"/>
    <w:rsid w:val="00FE21C5"/>
    <w:rsid w:val="00FE2961"/>
    <w:rsid w:val="00FE2B8B"/>
    <w:rsid w:val="00FE2CCD"/>
    <w:rsid w:val="00FE2D09"/>
    <w:rsid w:val="00FE3977"/>
    <w:rsid w:val="00FE3E0A"/>
    <w:rsid w:val="00FE3EB0"/>
    <w:rsid w:val="00FE4827"/>
    <w:rsid w:val="00FE4A70"/>
    <w:rsid w:val="00FE51DF"/>
    <w:rsid w:val="00FE5321"/>
    <w:rsid w:val="00FE5B57"/>
    <w:rsid w:val="00FE5D5F"/>
    <w:rsid w:val="00FE6238"/>
    <w:rsid w:val="00FE6A8E"/>
    <w:rsid w:val="00FF00EE"/>
    <w:rsid w:val="00FF06CB"/>
    <w:rsid w:val="00FF0761"/>
    <w:rsid w:val="00FF1255"/>
    <w:rsid w:val="00FF1837"/>
    <w:rsid w:val="00FF1917"/>
    <w:rsid w:val="00FF1A19"/>
    <w:rsid w:val="00FF1CEB"/>
    <w:rsid w:val="00FF1E5D"/>
    <w:rsid w:val="00FF2081"/>
    <w:rsid w:val="00FF2664"/>
    <w:rsid w:val="00FF27FC"/>
    <w:rsid w:val="00FF3514"/>
    <w:rsid w:val="00FF381A"/>
    <w:rsid w:val="00FF4B42"/>
    <w:rsid w:val="00FF4E18"/>
    <w:rsid w:val="00FF5089"/>
    <w:rsid w:val="00FF5752"/>
    <w:rsid w:val="00FF5AC2"/>
    <w:rsid w:val="00FF5E37"/>
    <w:rsid w:val="00FF5F7E"/>
    <w:rsid w:val="00FF634C"/>
    <w:rsid w:val="00FF712E"/>
    <w:rsid w:val="00FF7237"/>
    <w:rsid w:val="00FF72EE"/>
    <w:rsid w:val="00FF7482"/>
    <w:rsid w:val="00FF762E"/>
    <w:rsid w:val="01290F7E"/>
    <w:rsid w:val="015D1E09"/>
    <w:rsid w:val="01622393"/>
    <w:rsid w:val="01804A4C"/>
    <w:rsid w:val="018E7169"/>
    <w:rsid w:val="02367534"/>
    <w:rsid w:val="02697903"/>
    <w:rsid w:val="02736E22"/>
    <w:rsid w:val="02893DC6"/>
    <w:rsid w:val="02A5253D"/>
    <w:rsid w:val="02B14305"/>
    <w:rsid w:val="02F96569"/>
    <w:rsid w:val="03EA7B21"/>
    <w:rsid w:val="04295E00"/>
    <w:rsid w:val="042A360F"/>
    <w:rsid w:val="04670723"/>
    <w:rsid w:val="049552E2"/>
    <w:rsid w:val="04DC1087"/>
    <w:rsid w:val="05477B9B"/>
    <w:rsid w:val="05F83EAE"/>
    <w:rsid w:val="063E7D85"/>
    <w:rsid w:val="069F534F"/>
    <w:rsid w:val="06FB3CB4"/>
    <w:rsid w:val="07293586"/>
    <w:rsid w:val="07295285"/>
    <w:rsid w:val="07636392"/>
    <w:rsid w:val="07770C56"/>
    <w:rsid w:val="07E44B57"/>
    <w:rsid w:val="07FC42B5"/>
    <w:rsid w:val="08167868"/>
    <w:rsid w:val="081B1982"/>
    <w:rsid w:val="089C7D4D"/>
    <w:rsid w:val="08FF02CD"/>
    <w:rsid w:val="092217DD"/>
    <w:rsid w:val="093A7294"/>
    <w:rsid w:val="098E107B"/>
    <w:rsid w:val="0A166DBA"/>
    <w:rsid w:val="0A1761CD"/>
    <w:rsid w:val="0A263993"/>
    <w:rsid w:val="0A2D3AC2"/>
    <w:rsid w:val="0A355414"/>
    <w:rsid w:val="0A545869"/>
    <w:rsid w:val="0AA755DF"/>
    <w:rsid w:val="0AC6252F"/>
    <w:rsid w:val="0AEE251F"/>
    <w:rsid w:val="0AF45278"/>
    <w:rsid w:val="0B120D44"/>
    <w:rsid w:val="0BD27BF6"/>
    <w:rsid w:val="0C093387"/>
    <w:rsid w:val="0C3B3C7D"/>
    <w:rsid w:val="0C472EFE"/>
    <w:rsid w:val="0C586822"/>
    <w:rsid w:val="0CAB2EAE"/>
    <w:rsid w:val="0D55281D"/>
    <w:rsid w:val="0D621C7D"/>
    <w:rsid w:val="0DAF60C2"/>
    <w:rsid w:val="0DD41B0D"/>
    <w:rsid w:val="0DF319D9"/>
    <w:rsid w:val="0E0849CA"/>
    <w:rsid w:val="0E617BD7"/>
    <w:rsid w:val="0E73034D"/>
    <w:rsid w:val="0F1223E7"/>
    <w:rsid w:val="0F13775A"/>
    <w:rsid w:val="0F4311E9"/>
    <w:rsid w:val="0F5F45FE"/>
    <w:rsid w:val="0F9A112B"/>
    <w:rsid w:val="0FDD5405"/>
    <w:rsid w:val="10233BD1"/>
    <w:rsid w:val="10262C63"/>
    <w:rsid w:val="106D2F64"/>
    <w:rsid w:val="108121DE"/>
    <w:rsid w:val="10B63710"/>
    <w:rsid w:val="10C53B38"/>
    <w:rsid w:val="10F10820"/>
    <w:rsid w:val="10F91C30"/>
    <w:rsid w:val="110414DD"/>
    <w:rsid w:val="111C2F7A"/>
    <w:rsid w:val="11312DEC"/>
    <w:rsid w:val="11665CA1"/>
    <w:rsid w:val="11920C21"/>
    <w:rsid w:val="11C52912"/>
    <w:rsid w:val="12102C19"/>
    <w:rsid w:val="12AD214B"/>
    <w:rsid w:val="12B404F3"/>
    <w:rsid w:val="12F724E1"/>
    <w:rsid w:val="130B7EEE"/>
    <w:rsid w:val="13465C7B"/>
    <w:rsid w:val="134D2B4C"/>
    <w:rsid w:val="135874C5"/>
    <w:rsid w:val="13951726"/>
    <w:rsid w:val="13F56C15"/>
    <w:rsid w:val="14066794"/>
    <w:rsid w:val="14396509"/>
    <w:rsid w:val="14860C16"/>
    <w:rsid w:val="14DD2C3C"/>
    <w:rsid w:val="15384785"/>
    <w:rsid w:val="15653500"/>
    <w:rsid w:val="15AD69F8"/>
    <w:rsid w:val="15C1690F"/>
    <w:rsid w:val="15F757FD"/>
    <w:rsid w:val="16004F67"/>
    <w:rsid w:val="16087E1D"/>
    <w:rsid w:val="16845F4F"/>
    <w:rsid w:val="17194723"/>
    <w:rsid w:val="1739446C"/>
    <w:rsid w:val="17701D14"/>
    <w:rsid w:val="17735226"/>
    <w:rsid w:val="185A1ECE"/>
    <w:rsid w:val="187650CA"/>
    <w:rsid w:val="189F624C"/>
    <w:rsid w:val="18D05731"/>
    <w:rsid w:val="18D6778D"/>
    <w:rsid w:val="18EA4E04"/>
    <w:rsid w:val="1A0B6A0F"/>
    <w:rsid w:val="1A1C66C0"/>
    <w:rsid w:val="1A42393B"/>
    <w:rsid w:val="1AAD45DE"/>
    <w:rsid w:val="1B046F80"/>
    <w:rsid w:val="1B134F47"/>
    <w:rsid w:val="1B3267B5"/>
    <w:rsid w:val="1B40161D"/>
    <w:rsid w:val="1B441859"/>
    <w:rsid w:val="1B6606B1"/>
    <w:rsid w:val="1B677B14"/>
    <w:rsid w:val="1B8235DA"/>
    <w:rsid w:val="1BBD1DA1"/>
    <w:rsid w:val="1BEE3951"/>
    <w:rsid w:val="1C2B64FC"/>
    <w:rsid w:val="1C2E5E9F"/>
    <w:rsid w:val="1C5E7925"/>
    <w:rsid w:val="1C7B26B8"/>
    <w:rsid w:val="1C900004"/>
    <w:rsid w:val="1CBC6646"/>
    <w:rsid w:val="1CFD070F"/>
    <w:rsid w:val="1D091567"/>
    <w:rsid w:val="1D5F590C"/>
    <w:rsid w:val="1D5F6196"/>
    <w:rsid w:val="1D6132A5"/>
    <w:rsid w:val="1D807EB1"/>
    <w:rsid w:val="1D8E56D5"/>
    <w:rsid w:val="1DD13DED"/>
    <w:rsid w:val="1E0C3959"/>
    <w:rsid w:val="1E7A43DA"/>
    <w:rsid w:val="1EC223A7"/>
    <w:rsid w:val="1EEC6D3A"/>
    <w:rsid w:val="1F216A30"/>
    <w:rsid w:val="1F532A31"/>
    <w:rsid w:val="1F764D1A"/>
    <w:rsid w:val="1FB1506A"/>
    <w:rsid w:val="1FCA4EB5"/>
    <w:rsid w:val="1FE7539E"/>
    <w:rsid w:val="20010977"/>
    <w:rsid w:val="20283F19"/>
    <w:rsid w:val="20671BE0"/>
    <w:rsid w:val="20706D1C"/>
    <w:rsid w:val="20963CB8"/>
    <w:rsid w:val="20A81A1B"/>
    <w:rsid w:val="20B07FB6"/>
    <w:rsid w:val="20B646FB"/>
    <w:rsid w:val="20EE497F"/>
    <w:rsid w:val="21393CDD"/>
    <w:rsid w:val="213B74B1"/>
    <w:rsid w:val="215A2310"/>
    <w:rsid w:val="219E2977"/>
    <w:rsid w:val="21AE0CAF"/>
    <w:rsid w:val="21DE318A"/>
    <w:rsid w:val="21EF5B80"/>
    <w:rsid w:val="22033436"/>
    <w:rsid w:val="22250C31"/>
    <w:rsid w:val="2246338E"/>
    <w:rsid w:val="22576990"/>
    <w:rsid w:val="227B6E3E"/>
    <w:rsid w:val="22CE5DF8"/>
    <w:rsid w:val="22F47480"/>
    <w:rsid w:val="2314686E"/>
    <w:rsid w:val="237C2A4A"/>
    <w:rsid w:val="23DE1C48"/>
    <w:rsid w:val="240210CD"/>
    <w:rsid w:val="24046B9F"/>
    <w:rsid w:val="245509FA"/>
    <w:rsid w:val="24883DA0"/>
    <w:rsid w:val="24BF09F7"/>
    <w:rsid w:val="24CF4D88"/>
    <w:rsid w:val="24D13CB0"/>
    <w:rsid w:val="250A7AF6"/>
    <w:rsid w:val="252D53FE"/>
    <w:rsid w:val="25CA04B0"/>
    <w:rsid w:val="25EC2D81"/>
    <w:rsid w:val="26A7363F"/>
    <w:rsid w:val="26CF4F42"/>
    <w:rsid w:val="2746051E"/>
    <w:rsid w:val="277057A2"/>
    <w:rsid w:val="287E232B"/>
    <w:rsid w:val="28A44FA6"/>
    <w:rsid w:val="29206EB8"/>
    <w:rsid w:val="294B4142"/>
    <w:rsid w:val="29595666"/>
    <w:rsid w:val="2970669A"/>
    <w:rsid w:val="29874881"/>
    <w:rsid w:val="29E325E0"/>
    <w:rsid w:val="2A2E3954"/>
    <w:rsid w:val="2A452503"/>
    <w:rsid w:val="2B1277C6"/>
    <w:rsid w:val="2BA936A8"/>
    <w:rsid w:val="2BB32120"/>
    <w:rsid w:val="2BC95FAE"/>
    <w:rsid w:val="2BED6FE8"/>
    <w:rsid w:val="2C315A5A"/>
    <w:rsid w:val="2C4B1C25"/>
    <w:rsid w:val="2CAE3E6C"/>
    <w:rsid w:val="2CC91150"/>
    <w:rsid w:val="2CD5327A"/>
    <w:rsid w:val="2D075965"/>
    <w:rsid w:val="2D193800"/>
    <w:rsid w:val="2D7E0CEF"/>
    <w:rsid w:val="2D9E56F5"/>
    <w:rsid w:val="2E111B95"/>
    <w:rsid w:val="2E4A0ED6"/>
    <w:rsid w:val="2E667F96"/>
    <w:rsid w:val="2E8226AB"/>
    <w:rsid w:val="2EED6936"/>
    <w:rsid w:val="2F320513"/>
    <w:rsid w:val="2FD065E6"/>
    <w:rsid w:val="2FD96870"/>
    <w:rsid w:val="30120BB1"/>
    <w:rsid w:val="30494E6A"/>
    <w:rsid w:val="30580BC9"/>
    <w:rsid w:val="30A77050"/>
    <w:rsid w:val="30CF3FC9"/>
    <w:rsid w:val="311E2ED7"/>
    <w:rsid w:val="312465B9"/>
    <w:rsid w:val="31301BE9"/>
    <w:rsid w:val="315619EE"/>
    <w:rsid w:val="315C449C"/>
    <w:rsid w:val="317205E6"/>
    <w:rsid w:val="317B153B"/>
    <w:rsid w:val="31B82709"/>
    <w:rsid w:val="31D05482"/>
    <w:rsid w:val="31E57408"/>
    <w:rsid w:val="32400B34"/>
    <w:rsid w:val="325A4F9F"/>
    <w:rsid w:val="326904E1"/>
    <w:rsid w:val="32774B24"/>
    <w:rsid w:val="329740D4"/>
    <w:rsid w:val="329E6876"/>
    <w:rsid w:val="333015F2"/>
    <w:rsid w:val="334B6320"/>
    <w:rsid w:val="3372466C"/>
    <w:rsid w:val="3383188D"/>
    <w:rsid w:val="33D934D4"/>
    <w:rsid w:val="33E94399"/>
    <w:rsid w:val="33FE15A0"/>
    <w:rsid w:val="33FE2F6A"/>
    <w:rsid w:val="340E07E5"/>
    <w:rsid w:val="34235BF7"/>
    <w:rsid w:val="345C44C5"/>
    <w:rsid w:val="34AF5D27"/>
    <w:rsid w:val="34CE54F3"/>
    <w:rsid w:val="34E904D5"/>
    <w:rsid w:val="34ED56A1"/>
    <w:rsid w:val="35565661"/>
    <w:rsid w:val="358111E8"/>
    <w:rsid w:val="358C5FA8"/>
    <w:rsid w:val="35A41E02"/>
    <w:rsid w:val="35C15DF1"/>
    <w:rsid w:val="36074A7F"/>
    <w:rsid w:val="36923549"/>
    <w:rsid w:val="36B75FBF"/>
    <w:rsid w:val="36BC7033"/>
    <w:rsid w:val="36BD0C45"/>
    <w:rsid w:val="37994A13"/>
    <w:rsid w:val="37E00298"/>
    <w:rsid w:val="383F59C3"/>
    <w:rsid w:val="384046AC"/>
    <w:rsid w:val="387C2083"/>
    <w:rsid w:val="388C2F3C"/>
    <w:rsid w:val="38B302F9"/>
    <w:rsid w:val="38C2711D"/>
    <w:rsid w:val="38F12CD3"/>
    <w:rsid w:val="38F8665B"/>
    <w:rsid w:val="38F94775"/>
    <w:rsid w:val="392971ED"/>
    <w:rsid w:val="392E436F"/>
    <w:rsid w:val="392F45C3"/>
    <w:rsid w:val="39325651"/>
    <w:rsid w:val="3A3572E3"/>
    <w:rsid w:val="3A762984"/>
    <w:rsid w:val="3A7D0F55"/>
    <w:rsid w:val="3A872856"/>
    <w:rsid w:val="3AD371CB"/>
    <w:rsid w:val="3B2F5F05"/>
    <w:rsid w:val="3B3763D1"/>
    <w:rsid w:val="3BAD6A55"/>
    <w:rsid w:val="3BE71EEB"/>
    <w:rsid w:val="3C0B7B31"/>
    <w:rsid w:val="3C2F6E1E"/>
    <w:rsid w:val="3C4F64BA"/>
    <w:rsid w:val="3C687FDC"/>
    <w:rsid w:val="3C960414"/>
    <w:rsid w:val="3CDA245A"/>
    <w:rsid w:val="3D1E06B7"/>
    <w:rsid w:val="3D6F3859"/>
    <w:rsid w:val="3DA66065"/>
    <w:rsid w:val="3EDA0523"/>
    <w:rsid w:val="3F544847"/>
    <w:rsid w:val="3F747F75"/>
    <w:rsid w:val="407A6407"/>
    <w:rsid w:val="40950CDD"/>
    <w:rsid w:val="40A80894"/>
    <w:rsid w:val="40E7595C"/>
    <w:rsid w:val="41AF6EA7"/>
    <w:rsid w:val="41D07A3F"/>
    <w:rsid w:val="41E30BC1"/>
    <w:rsid w:val="4200449D"/>
    <w:rsid w:val="422063A0"/>
    <w:rsid w:val="423A3BCC"/>
    <w:rsid w:val="424E57D2"/>
    <w:rsid w:val="42822D40"/>
    <w:rsid w:val="42B26C49"/>
    <w:rsid w:val="4321374E"/>
    <w:rsid w:val="433A6FE6"/>
    <w:rsid w:val="43480868"/>
    <w:rsid w:val="4350713C"/>
    <w:rsid w:val="43587B68"/>
    <w:rsid w:val="436653E0"/>
    <w:rsid w:val="43C4431A"/>
    <w:rsid w:val="44B951CC"/>
    <w:rsid w:val="44CD14E0"/>
    <w:rsid w:val="44E830D0"/>
    <w:rsid w:val="44EB0E23"/>
    <w:rsid w:val="44F20B0B"/>
    <w:rsid w:val="452E5F4C"/>
    <w:rsid w:val="45544593"/>
    <w:rsid w:val="45555E40"/>
    <w:rsid w:val="45612018"/>
    <w:rsid w:val="458946E9"/>
    <w:rsid w:val="45A47C0E"/>
    <w:rsid w:val="45D35388"/>
    <w:rsid w:val="45D44F9C"/>
    <w:rsid w:val="462C77CB"/>
    <w:rsid w:val="46577FD6"/>
    <w:rsid w:val="4665756D"/>
    <w:rsid w:val="46996DE8"/>
    <w:rsid w:val="46AF343D"/>
    <w:rsid w:val="46D955A7"/>
    <w:rsid w:val="46FF17B8"/>
    <w:rsid w:val="47133957"/>
    <w:rsid w:val="47190850"/>
    <w:rsid w:val="47610853"/>
    <w:rsid w:val="4774528A"/>
    <w:rsid w:val="47757898"/>
    <w:rsid w:val="47793290"/>
    <w:rsid w:val="47A07E0C"/>
    <w:rsid w:val="47A95036"/>
    <w:rsid w:val="4870272E"/>
    <w:rsid w:val="48F34F08"/>
    <w:rsid w:val="493F0316"/>
    <w:rsid w:val="49AE31D0"/>
    <w:rsid w:val="49DC7715"/>
    <w:rsid w:val="49EF481E"/>
    <w:rsid w:val="4A023139"/>
    <w:rsid w:val="4A4535D8"/>
    <w:rsid w:val="4A7B576F"/>
    <w:rsid w:val="4A7E51BA"/>
    <w:rsid w:val="4ACB7200"/>
    <w:rsid w:val="4AF561A9"/>
    <w:rsid w:val="4C16015A"/>
    <w:rsid w:val="4C2A447D"/>
    <w:rsid w:val="4C4A0649"/>
    <w:rsid w:val="4C7E5ECA"/>
    <w:rsid w:val="4C876AA5"/>
    <w:rsid w:val="4CA17387"/>
    <w:rsid w:val="4CA327DB"/>
    <w:rsid w:val="4CE60516"/>
    <w:rsid w:val="4D0E00FB"/>
    <w:rsid w:val="4D176606"/>
    <w:rsid w:val="4D7E3F6C"/>
    <w:rsid w:val="4DDF40D5"/>
    <w:rsid w:val="4DEC4FB0"/>
    <w:rsid w:val="4E075D8A"/>
    <w:rsid w:val="4E736DB7"/>
    <w:rsid w:val="4EC00FAD"/>
    <w:rsid w:val="4ECA3C30"/>
    <w:rsid w:val="4EF22163"/>
    <w:rsid w:val="4F2E1296"/>
    <w:rsid w:val="4F9843DC"/>
    <w:rsid w:val="4FC62A8C"/>
    <w:rsid w:val="4FE20F0D"/>
    <w:rsid w:val="4FE51552"/>
    <w:rsid w:val="50504C4B"/>
    <w:rsid w:val="50964F52"/>
    <w:rsid w:val="509C6E7C"/>
    <w:rsid w:val="50D2215B"/>
    <w:rsid w:val="511A06DB"/>
    <w:rsid w:val="5162104E"/>
    <w:rsid w:val="519A4750"/>
    <w:rsid w:val="51DC7F9D"/>
    <w:rsid w:val="520A1FAA"/>
    <w:rsid w:val="520B7396"/>
    <w:rsid w:val="526E5B29"/>
    <w:rsid w:val="52A44631"/>
    <w:rsid w:val="52BC1524"/>
    <w:rsid w:val="52E404E6"/>
    <w:rsid w:val="532B4093"/>
    <w:rsid w:val="532D5CDD"/>
    <w:rsid w:val="53334A31"/>
    <w:rsid w:val="534A0B89"/>
    <w:rsid w:val="53745638"/>
    <w:rsid w:val="538843BE"/>
    <w:rsid w:val="53A039CC"/>
    <w:rsid w:val="53A1505A"/>
    <w:rsid w:val="53B63409"/>
    <w:rsid w:val="53D4154E"/>
    <w:rsid w:val="53E81F82"/>
    <w:rsid w:val="54063E08"/>
    <w:rsid w:val="541128AF"/>
    <w:rsid w:val="54177BFA"/>
    <w:rsid w:val="543437E8"/>
    <w:rsid w:val="5472194A"/>
    <w:rsid w:val="54F73313"/>
    <w:rsid w:val="54F80955"/>
    <w:rsid w:val="551816A1"/>
    <w:rsid w:val="555170A7"/>
    <w:rsid w:val="55682C21"/>
    <w:rsid w:val="5587536D"/>
    <w:rsid w:val="559B174B"/>
    <w:rsid w:val="55CE0CF4"/>
    <w:rsid w:val="5642626D"/>
    <w:rsid w:val="56983B82"/>
    <w:rsid w:val="56B22A9C"/>
    <w:rsid w:val="56D62421"/>
    <w:rsid w:val="57307BC1"/>
    <w:rsid w:val="57740D77"/>
    <w:rsid w:val="579408E7"/>
    <w:rsid w:val="57B72A76"/>
    <w:rsid w:val="57C3426C"/>
    <w:rsid w:val="57CE1F93"/>
    <w:rsid w:val="58062BC6"/>
    <w:rsid w:val="588743D1"/>
    <w:rsid w:val="5887701A"/>
    <w:rsid w:val="58963EC3"/>
    <w:rsid w:val="58A75C9B"/>
    <w:rsid w:val="58A91E4A"/>
    <w:rsid w:val="59956A9C"/>
    <w:rsid w:val="59C0439F"/>
    <w:rsid w:val="5A62272E"/>
    <w:rsid w:val="5A720E57"/>
    <w:rsid w:val="5A8770DA"/>
    <w:rsid w:val="5AA42E19"/>
    <w:rsid w:val="5AAC1FA7"/>
    <w:rsid w:val="5ABE2233"/>
    <w:rsid w:val="5BB335E1"/>
    <w:rsid w:val="5BDF5D95"/>
    <w:rsid w:val="5BFE7528"/>
    <w:rsid w:val="5C904506"/>
    <w:rsid w:val="5D3E0333"/>
    <w:rsid w:val="5D5C21FF"/>
    <w:rsid w:val="5D7E391C"/>
    <w:rsid w:val="5DB06223"/>
    <w:rsid w:val="5E0E0A1B"/>
    <w:rsid w:val="5E2467F1"/>
    <w:rsid w:val="5E5D0BCB"/>
    <w:rsid w:val="5E7F03F4"/>
    <w:rsid w:val="5EB527CE"/>
    <w:rsid w:val="5EBC07F2"/>
    <w:rsid w:val="5F1A2B43"/>
    <w:rsid w:val="5F395BF2"/>
    <w:rsid w:val="5F41673E"/>
    <w:rsid w:val="5F422D20"/>
    <w:rsid w:val="5F556900"/>
    <w:rsid w:val="5F697BE9"/>
    <w:rsid w:val="5FB837BB"/>
    <w:rsid w:val="5FEF580E"/>
    <w:rsid w:val="60435FF7"/>
    <w:rsid w:val="604C78B6"/>
    <w:rsid w:val="608751A0"/>
    <w:rsid w:val="60A75752"/>
    <w:rsid w:val="60CC405A"/>
    <w:rsid w:val="611E6E74"/>
    <w:rsid w:val="615458E4"/>
    <w:rsid w:val="61E215D8"/>
    <w:rsid w:val="61E46768"/>
    <w:rsid w:val="621B3775"/>
    <w:rsid w:val="62364782"/>
    <w:rsid w:val="625C3B98"/>
    <w:rsid w:val="62FE464D"/>
    <w:rsid w:val="631225F6"/>
    <w:rsid w:val="634C4E90"/>
    <w:rsid w:val="63870BA3"/>
    <w:rsid w:val="6394356A"/>
    <w:rsid w:val="63C61B2C"/>
    <w:rsid w:val="63D40BE9"/>
    <w:rsid w:val="64102431"/>
    <w:rsid w:val="64276DCF"/>
    <w:rsid w:val="647E132B"/>
    <w:rsid w:val="64A5243A"/>
    <w:rsid w:val="64F531DE"/>
    <w:rsid w:val="64F566F3"/>
    <w:rsid w:val="65373578"/>
    <w:rsid w:val="65673FC5"/>
    <w:rsid w:val="656B62C3"/>
    <w:rsid w:val="658A4CA6"/>
    <w:rsid w:val="65C37EAD"/>
    <w:rsid w:val="65D523DB"/>
    <w:rsid w:val="664C504E"/>
    <w:rsid w:val="667D481B"/>
    <w:rsid w:val="66C36683"/>
    <w:rsid w:val="66CB7028"/>
    <w:rsid w:val="6713150B"/>
    <w:rsid w:val="671F124A"/>
    <w:rsid w:val="673332DD"/>
    <w:rsid w:val="673924AF"/>
    <w:rsid w:val="677A33C6"/>
    <w:rsid w:val="67807146"/>
    <w:rsid w:val="67A4673A"/>
    <w:rsid w:val="67D20932"/>
    <w:rsid w:val="68016A6B"/>
    <w:rsid w:val="681F6961"/>
    <w:rsid w:val="685968A7"/>
    <w:rsid w:val="68610A2F"/>
    <w:rsid w:val="68805514"/>
    <w:rsid w:val="68980B98"/>
    <w:rsid w:val="68C1439A"/>
    <w:rsid w:val="68DD71CC"/>
    <w:rsid w:val="69020CEC"/>
    <w:rsid w:val="69316E2F"/>
    <w:rsid w:val="694E2071"/>
    <w:rsid w:val="69680B71"/>
    <w:rsid w:val="69724B69"/>
    <w:rsid w:val="69766163"/>
    <w:rsid w:val="697A3B33"/>
    <w:rsid w:val="69C9327F"/>
    <w:rsid w:val="69D44760"/>
    <w:rsid w:val="69DE1602"/>
    <w:rsid w:val="6A152A7A"/>
    <w:rsid w:val="6A520EC7"/>
    <w:rsid w:val="6A8209DE"/>
    <w:rsid w:val="6AF87E20"/>
    <w:rsid w:val="6AF929BA"/>
    <w:rsid w:val="6B22606D"/>
    <w:rsid w:val="6B322639"/>
    <w:rsid w:val="6B340F05"/>
    <w:rsid w:val="6BA86C62"/>
    <w:rsid w:val="6C636C38"/>
    <w:rsid w:val="6C7614B9"/>
    <w:rsid w:val="6D175C32"/>
    <w:rsid w:val="6DB34098"/>
    <w:rsid w:val="6DB545B6"/>
    <w:rsid w:val="6DE02FB4"/>
    <w:rsid w:val="6E09658B"/>
    <w:rsid w:val="6E514CED"/>
    <w:rsid w:val="6E532E74"/>
    <w:rsid w:val="6E7D7CCC"/>
    <w:rsid w:val="6E903214"/>
    <w:rsid w:val="6EB563D5"/>
    <w:rsid w:val="6ED92677"/>
    <w:rsid w:val="6F225983"/>
    <w:rsid w:val="6F557948"/>
    <w:rsid w:val="6F640269"/>
    <w:rsid w:val="6FFC5590"/>
    <w:rsid w:val="70045DA2"/>
    <w:rsid w:val="702F14D6"/>
    <w:rsid w:val="70383246"/>
    <w:rsid w:val="706D1DD0"/>
    <w:rsid w:val="70856B87"/>
    <w:rsid w:val="70AE08E0"/>
    <w:rsid w:val="70D527EE"/>
    <w:rsid w:val="715B5300"/>
    <w:rsid w:val="715F06F1"/>
    <w:rsid w:val="719F16DB"/>
    <w:rsid w:val="71D27F8A"/>
    <w:rsid w:val="72553024"/>
    <w:rsid w:val="72A6164C"/>
    <w:rsid w:val="73122968"/>
    <w:rsid w:val="731F5D5E"/>
    <w:rsid w:val="73B57AA8"/>
    <w:rsid w:val="73C51AD5"/>
    <w:rsid w:val="741E793C"/>
    <w:rsid w:val="745E3944"/>
    <w:rsid w:val="74D116DC"/>
    <w:rsid w:val="750415F7"/>
    <w:rsid w:val="753D5C1E"/>
    <w:rsid w:val="75615ABE"/>
    <w:rsid w:val="76082865"/>
    <w:rsid w:val="7635099D"/>
    <w:rsid w:val="766E3993"/>
    <w:rsid w:val="76D340C7"/>
    <w:rsid w:val="76FE5EEA"/>
    <w:rsid w:val="77762421"/>
    <w:rsid w:val="77B56B1F"/>
    <w:rsid w:val="77C75732"/>
    <w:rsid w:val="77E5539F"/>
    <w:rsid w:val="77EE068E"/>
    <w:rsid w:val="780F09F4"/>
    <w:rsid w:val="78A90480"/>
    <w:rsid w:val="79B3565D"/>
    <w:rsid w:val="7A364017"/>
    <w:rsid w:val="7A8265E1"/>
    <w:rsid w:val="7AF95CC7"/>
    <w:rsid w:val="7B495A4C"/>
    <w:rsid w:val="7B686D42"/>
    <w:rsid w:val="7B841746"/>
    <w:rsid w:val="7BA03C1A"/>
    <w:rsid w:val="7BDD3241"/>
    <w:rsid w:val="7C1E1608"/>
    <w:rsid w:val="7C35687B"/>
    <w:rsid w:val="7C666E09"/>
    <w:rsid w:val="7C6C5AC7"/>
    <w:rsid w:val="7C88152E"/>
    <w:rsid w:val="7CC6544B"/>
    <w:rsid w:val="7CEA77C7"/>
    <w:rsid w:val="7D0239FF"/>
    <w:rsid w:val="7D304E48"/>
    <w:rsid w:val="7D3553BD"/>
    <w:rsid w:val="7D5E40CD"/>
    <w:rsid w:val="7DAF2E2B"/>
    <w:rsid w:val="7DB95854"/>
    <w:rsid w:val="7DCD56F2"/>
    <w:rsid w:val="7DD04185"/>
    <w:rsid w:val="7DF75804"/>
    <w:rsid w:val="7E192DB4"/>
    <w:rsid w:val="7E39290E"/>
    <w:rsid w:val="7EEA1BAF"/>
    <w:rsid w:val="7F001CE7"/>
    <w:rsid w:val="7F4337D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9" w:semiHidden="0" w:name="heading 2" w:locked="1"/>
    <w:lsdException w:qFormat="1" w:uiPriority="0" w:semiHidden="0" w:name="heading 3" w:locked="1"/>
    <w:lsdException w:qFormat="1" w:unhideWhenUsed="0" w:uiPriority="99" w:semiHidden="0" w:name="heading 4" w:locked="1"/>
    <w:lsdException w:qFormat="1" w:uiPriority="0" w:semiHidden="0" w:name="heading 5" w:locked="1"/>
    <w:lsdException w:qFormat="1" w:uiPriority="0" w:semiHidden="0" w:name="heading 6" w:locked="1"/>
    <w:lsdException w:qFormat="1" w:uiPriority="0" w:semiHidden="0" w:name="heading 7" w:locked="1"/>
    <w:lsdException w:qFormat="1" w:uiPriority="0" w:semiHidden="0" w:name="heading 8" w:locked="1"/>
    <w:lsdException w:qFormat="1" w:uiPriority="0" w:semiHidden="0" w:name="heading 9" w:locked="1"/>
    <w:lsdException w:uiPriority="0" w:name="index 1" w:locked="1"/>
    <w:lsdException w:uiPriority="0" w:name="index 2" w:locked="1"/>
    <w:lsdException w:uiPriority="0" w:name="index 3" w:locked="1"/>
    <w:lsdException w:uiPriority="0" w:name="index 4" w:locked="1"/>
    <w:lsdException w:uiPriority="0" w:name="index 5" w:locked="1"/>
    <w:lsdException w:uiPriority="0" w:name="index 6" w:locked="1"/>
    <w:lsdException w:uiPriority="0" w:name="index 7" w:locked="1"/>
    <w:lsdException w:uiPriority="0" w:name="index 8" w:locked="1"/>
    <w:lsdException w:uiPriority="0" w:name="index 9" w:locked="1"/>
    <w:lsdException w:uiPriority="0" w:name="toc 1" w:locked="1"/>
    <w:lsdException w:uiPriority="0" w:name="toc 2" w:locked="1"/>
    <w:lsdException w:uiPriority="0" w:name="toc 3" w:locked="1"/>
    <w:lsdException w:uiPriority="0" w:name="toc 4" w:locked="1"/>
    <w:lsdException w:uiPriority="0" w:name="toc 5" w:locked="1"/>
    <w:lsdException w:uiPriority="0" w:name="toc 6" w:locked="1"/>
    <w:lsdException w:uiPriority="0" w:name="toc 7" w:locked="1"/>
    <w:lsdException w:uiPriority="0" w:name="toc 8" w:locked="1"/>
    <w:lsdException w:uiPriority="0" w:name="toc 9" w:locked="1"/>
    <w:lsdException w:qFormat="1" w:unhideWhenUsed="0" w:uiPriority="0" w:semiHidden="0" w:name="Normal Indent" w:locked="1"/>
    <w:lsdException w:qFormat="1" w:unhideWhenUsed="0" w:uiPriority="0" w:semiHidden="0" w:name="footnote text" w:locked="1"/>
    <w:lsdException w:qFormat="1" w:uiPriority="0" w:semiHidden="0" w:name="annotation text"/>
    <w:lsdException w:qFormat="1" w:unhideWhenUsed="0" w:uiPriority="0" w:semiHidden="0" w:name="header"/>
    <w:lsdException w:qFormat="1" w:unhideWhenUsed="0" w:uiPriority="99" w:semiHidden="0" w:name="footer"/>
    <w:lsdException w:uiPriority="0" w:name="index heading" w:locked="1"/>
    <w:lsdException w:qFormat="1" w:uiPriority="0" w:semiHidden="0" w:name="caption" w:locked="1"/>
    <w:lsdException w:uiPriority="0" w:name="table of figures" w:locked="1"/>
    <w:lsdException w:uiPriority="0" w:name="envelope address" w:locked="1"/>
    <w:lsdException w:uiPriority="0" w:name="envelope return" w:locked="1"/>
    <w:lsdException w:uiPriority="0" w:name="footnote reference" w:locked="1"/>
    <w:lsdException w:qFormat="1" w:uiPriority="99" w:semiHidden="0" w:name="annotation reference"/>
    <w:lsdException w:uiPriority="0" w:name="line number" w:locked="1"/>
    <w:lsdException w:qFormat="1" w:unhideWhenUsed="0" w:uiPriority="0" w:semiHidden="0" w:name="page number" w:locked="1"/>
    <w:lsdException w:qFormat="1" w:uiPriority="0" w:name="endnote reference" w:locked="1"/>
    <w:lsdException w:qFormat="1" w:unhideWhenUsed="0" w:uiPriority="0" w:name="endnote text" w:locked="1"/>
    <w:lsdException w:unhideWhenUsed="0" w:uiPriority="0" w:semiHidden="0" w:name="table of authorities" w:locked="1"/>
    <w:lsdException w:uiPriority="0" w:name="macro" w:locked="1"/>
    <w:lsdException w:qFormat="1" w:unhideWhenUsed="0" w:uiPriority="0" w:name="toa heading" w:locked="1"/>
    <w:lsdException w:unhideWhenUsed="0" w:uiPriority="0" w:semiHidden="0" w:name="List" w:locked="1"/>
    <w:lsdException w:unhideWhenUsed="0" w:uiPriority="0" w:semiHidden="0" w:name="List Bullet" w:locked="1"/>
    <w:lsdException w:uiPriority="0" w:name="List Number" w:locked="1"/>
    <w:lsdException w:uiPriority="0" w:name="List 2" w:locked="1"/>
    <w:lsdException w:unhideWhenUsed="0" w:uiPriority="0" w:semiHidden="0" w:name="List 3" w:locked="1"/>
    <w:lsdException w:uiPriority="0" w:name="List 4" w:locked="1"/>
    <w:lsdException w:uiPriority="0" w:name="List 5" w:locked="1"/>
    <w:lsdException w:uiPriority="0" w:name="List Bullet 2" w:locked="1"/>
    <w:lsdException w:uiPriority="0" w:name="List Bullet 3" w:locked="1"/>
    <w:lsdException w:uiPriority="0" w:name="List Bullet 4" w:locked="1"/>
    <w:lsdException w:unhideWhenUsed="0" w:uiPriority="0" w:semiHidden="0" w:name="List Bullet 5" w:locked="1"/>
    <w:lsdException w:uiPriority="0" w:name="List Number 2" w:locked="1"/>
    <w:lsdException w:uiPriority="0" w:name="List Number 3" w:locked="1"/>
    <w:lsdException w:uiPriority="0" w:name="List Number 4" w:locked="1"/>
    <w:lsdException w:uiPriority="0" w:name="List Number 5" w:locked="1"/>
    <w:lsdException w:unhideWhenUsed="0" w:uiPriority="0" w:semiHidden="0" w:name="Title" w:locked="1"/>
    <w:lsdException w:uiPriority="0" w:name="Closing" w:locked="1"/>
    <w:lsdException w:uiPriority="0" w:name="Signature" w:locked="1"/>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qFormat="1" w:unhideWhenUsed="0" w:uiPriority="0" w:semiHidden="0" w:name="Message Header" w:locked="1"/>
    <w:lsdException w:unhideWhenUsed="0" w:uiPriority="0" w:semiHidden="0" w:name="Subtitle" w:locked="1"/>
    <w:lsdException w:uiPriority="0" w:name="Salutation" w:locked="1"/>
    <w:lsdException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iPriority="0" w:name="Note Heading" w:locked="1"/>
    <w:lsdException w:qFormat="1" w:uiPriority="0" w:name="Body Text 2" w:locked="1"/>
    <w:lsdException w:qFormat="1" w:uiPriority="0" w:name="Body Text 3" w:locked="1"/>
    <w:lsdException w:qFormat="1" w:uiPriority="0" w:name="Body Text Indent 2" w:locked="1"/>
    <w:lsdException w:qFormat="1" w:unhideWhenUsed="0" w:uiPriority="0" w:semiHidden="0" w:name="Body Text Indent 3" w:locked="1"/>
    <w:lsdException w:uiPriority="0" w:name="Block Text" w:locked="1"/>
    <w:lsdException w:unhideWhenUsed="0" w:uiPriority="99" w:semiHidden="0" w:name="Hyperlink" w:locked="1"/>
    <w:lsdException w:uiPriority="99" w:semiHidden="0" w:name="FollowedHyperlink" w:locked="1"/>
    <w:lsdException w:qFormat="1" w:unhideWhenUsed="0" w:uiPriority="0" w:semiHidden="0" w:name="Strong" w:locked="1"/>
    <w:lsdException w:unhideWhenUsed="0" w:uiPriority="0" w:semiHidden="0" w:name="Emphasis" w:locked="1"/>
    <w:lsdException w:qFormat="1" w:uiPriority="0" w:name="Document Map" w:locked="1"/>
    <w:lsdException w:unhideWhenUsed="0" w:uiPriority="0" w:semiHidden="0" w:name="Plain Text" w:locked="1"/>
    <w:lsdException w:uiPriority="0" w:name="E-mail Signature" w:locked="1"/>
    <w:lsdException w:qFormat="1" w:uiPriority="0" w:semiHidden="0" w:name="Normal (Web)"/>
    <w:lsdException w:uiPriority="0" w:name="HTML Acronym" w:locked="1"/>
    <w:lsdException w:uiPriority="0" w:name="HTML Address" w:locked="1"/>
    <w:lsdException w:uiPriority="0" w:name="HTML Cite" w:locked="1"/>
    <w:lsdException w:uiPriority="0" w:name="HTML Code" w:locked="1"/>
    <w:lsdException w:uiPriority="0" w:name="HTML Definition" w:locked="1"/>
    <w:lsdException w:uiPriority="0" w:name="HTML Keyboard" w:locked="1"/>
    <w:lsdException w:uiPriority="0" w:name="HTML Preformatted" w:locked="1"/>
    <w:lsdException w:uiPriority="0" w:name="HTML Sample" w:locked="1"/>
    <w:lsdException w:uiPriority="0" w:name="HTML Typewriter" w:locked="1"/>
    <w:lsdException w:uiPriority="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99" w:semiHidden="0" w:name="Table Grid"/>
    <w:lsdException w:qFormat="1"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48"/>
    <w:qFormat/>
    <w:locked/>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55"/>
    <w:unhideWhenUsed/>
    <w:qFormat/>
    <w:locked/>
    <w:uiPriority w:val="9"/>
    <w:pPr>
      <w:keepNext/>
      <w:keepLines/>
      <w:spacing w:before="260" w:after="260" w:line="412" w:lineRule="auto"/>
      <w:outlineLvl w:val="1"/>
    </w:pPr>
    <w:rPr>
      <w:rFonts w:ascii="Cambria" w:hAnsi="Cambria" w:cs="宋体"/>
      <w:b/>
      <w:bCs/>
      <w:sz w:val="32"/>
      <w:szCs w:val="32"/>
      <w:lang w:val="zh-CN"/>
    </w:rPr>
  </w:style>
  <w:style w:type="paragraph" w:styleId="4">
    <w:name w:val="heading 3"/>
    <w:basedOn w:val="1"/>
    <w:next w:val="1"/>
    <w:link w:val="50"/>
    <w:unhideWhenUsed/>
    <w:qFormat/>
    <w:locked/>
    <w:uiPriority w:val="0"/>
    <w:pPr>
      <w:keepNext/>
      <w:keepLines/>
      <w:spacing w:before="260" w:after="260" w:line="416" w:lineRule="auto"/>
      <w:outlineLvl w:val="2"/>
    </w:pPr>
    <w:rPr>
      <w:b/>
      <w:bCs/>
      <w:sz w:val="32"/>
      <w:szCs w:val="32"/>
    </w:rPr>
  </w:style>
  <w:style w:type="paragraph" w:styleId="5">
    <w:name w:val="heading 4"/>
    <w:basedOn w:val="1"/>
    <w:next w:val="1"/>
    <w:link w:val="61"/>
    <w:qFormat/>
    <w:locked/>
    <w:uiPriority w:val="99"/>
    <w:pPr>
      <w:keepNext/>
      <w:keepLines/>
      <w:spacing w:before="280" w:after="290" w:line="372" w:lineRule="auto"/>
      <w:outlineLvl w:val="3"/>
    </w:pPr>
    <w:rPr>
      <w:rFonts w:ascii="Arial" w:hAnsi="Arial" w:eastAsia="黑体"/>
      <w:b/>
      <w:bCs/>
      <w:sz w:val="28"/>
      <w:szCs w:val="28"/>
    </w:rPr>
  </w:style>
  <w:style w:type="paragraph" w:styleId="6">
    <w:name w:val="heading 5"/>
    <w:basedOn w:val="1"/>
    <w:next w:val="1"/>
    <w:link w:val="56"/>
    <w:unhideWhenUsed/>
    <w:qFormat/>
    <w:locked/>
    <w:uiPriority w:val="0"/>
    <w:pPr>
      <w:keepNext/>
      <w:keepLines/>
      <w:tabs>
        <w:tab w:val="left" w:pos="2100"/>
      </w:tabs>
      <w:adjustRightInd w:val="0"/>
      <w:spacing w:before="280" w:after="290" w:line="372" w:lineRule="auto"/>
      <w:ind w:left="735" w:hanging="450"/>
      <w:outlineLvl w:val="4"/>
    </w:pPr>
    <w:rPr>
      <w:b/>
      <w:kern w:val="44"/>
      <w:sz w:val="28"/>
      <w:szCs w:val="20"/>
      <w:lang w:val="zh-CN"/>
    </w:rPr>
  </w:style>
  <w:style w:type="paragraph" w:styleId="7">
    <w:name w:val="heading 6"/>
    <w:basedOn w:val="1"/>
    <w:next w:val="1"/>
    <w:link w:val="57"/>
    <w:unhideWhenUsed/>
    <w:qFormat/>
    <w:locked/>
    <w:uiPriority w:val="0"/>
    <w:pPr>
      <w:keepNext/>
      <w:keepLines/>
      <w:tabs>
        <w:tab w:val="left" w:pos="2520"/>
      </w:tabs>
      <w:adjustRightInd w:val="0"/>
      <w:spacing w:before="240" w:after="64" w:line="314" w:lineRule="auto"/>
      <w:ind w:left="735" w:hanging="450"/>
      <w:outlineLvl w:val="5"/>
    </w:pPr>
    <w:rPr>
      <w:rFonts w:ascii="Arial" w:hAnsi="Arial" w:eastAsia="黑体"/>
      <w:b/>
      <w:kern w:val="44"/>
      <w:sz w:val="24"/>
      <w:szCs w:val="20"/>
      <w:lang w:val="zh-CN"/>
    </w:rPr>
  </w:style>
  <w:style w:type="paragraph" w:styleId="8">
    <w:name w:val="heading 7"/>
    <w:basedOn w:val="1"/>
    <w:next w:val="1"/>
    <w:link w:val="58"/>
    <w:unhideWhenUsed/>
    <w:qFormat/>
    <w:locked/>
    <w:uiPriority w:val="0"/>
    <w:pPr>
      <w:keepNext/>
      <w:keepLines/>
      <w:tabs>
        <w:tab w:val="left" w:pos="2940"/>
      </w:tabs>
      <w:adjustRightInd w:val="0"/>
      <w:spacing w:before="240" w:after="64" w:line="314" w:lineRule="auto"/>
      <w:ind w:left="735" w:hanging="450"/>
      <w:outlineLvl w:val="6"/>
    </w:pPr>
    <w:rPr>
      <w:b/>
      <w:kern w:val="44"/>
      <w:sz w:val="24"/>
      <w:szCs w:val="20"/>
      <w:lang w:val="zh-CN"/>
    </w:rPr>
  </w:style>
  <w:style w:type="paragraph" w:styleId="9">
    <w:name w:val="heading 8"/>
    <w:basedOn w:val="1"/>
    <w:next w:val="1"/>
    <w:link w:val="59"/>
    <w:unhideWhenUsed/>
    <w:qFormat/>
    <w:locked/>
    <w:uiPriority w:val="0"/>
    <w:pPr>
      <w:keepNext/>
      <w:keepLines/>
      <w:tabs>
        <w:tab w:val="left" w:pos="3360"/>
      </w:tabs>
      <w:adjustRightInd w:val="0"/>
      <w:spacing w:before="240" w:after="64" w:line="314" w:lineRule="auto"/>
      <w:ind w:left="735" w:hanging="450"/>
      <w:outlineLvl w:val="7"/>
    </w:pPr>
    <w:rPr>
      <w:rFonts w:ascii="Arial" w:hAnsi="Arial" w:eastAsia="黑体"/>
      <w:kern w:val="44"/>
      <w:sz w:val="24"/>
      <w:szCs w:val="20"/>
      <w:lang w:val="zh-CN"/>
    </w:rPr>
  </w:style>
  <w:style w:type="paragraph" w:styleId="10">
    <w:name w:val="heading 9"/>
    <w:basedOn w:val="1"/>
    <w:next w:val="1"/>
    <w:link w:val="60"/>
    <w:unhideWhenUsed/>
    <w:qFormat/>
    <w:locked/>
    <w:uiPriority w:val="0"/>
    <w:pPr>
      <w:keepNext/>
      <w:keepLines/>
      <w:tabs>
        <w:tab w:val="left" w:pos="3780"/>
      </w:tabs>
      <w:adjustRightInd w:val="0"/>
      <w:spacing w:before="240" w:after="64" w:line="314" w:lineRule="auto"/>
      <w:ind w:left="735" w:hanging="450"/>
      <w:outlineLvl w:val="8"/>
    </w:pPr>
    <w:rPr>
      <w:rFonts w:ascii="Arial" w:hAnsi="Arial" w:eastAsia="黑体"/>
      <w:kern w:val="44"/>
      <w:szCs w:val="20"/>
      <w:lang w:val="zh-CN"/>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Normal Indent"/>
    <w:basedOn w:val="1"/>
    <w:next w:val="12"/>
    <w:qFormat/>
    <w:locked/>
    <w:uiPriority w:val="0"/>
    <w:pPr>
      <w:ind w:firstLine="420"/>
    </w:pPr>
    <w:rPr>
      <w:szCs w:val="20"/>
    </w:rPr>
  </w:style>
  <w:style w:type="paragraph" w:styleId="12">
    <w:name w:val="footnote text"/>
    <w:basedOn w:val="1"/>
    <w:qFormat/>
    <w:locked/>
    <w:uiPriority w:val="0"/>
    <w:pPr>
      <w:snapToGrid w:val="0"/>
      <w:jc w:val="left"/>
    </w:pPr>
    <w:rPr>
      <w:sz w:val="18"/>
    </w:rPr>
  </w:style>
  <w:style w:type="paragraph" w:styleId="13">
    <w:name w:val="caption"/>
    <w:basedOn w:val="1"/>
    <w:next w:val="1"/>
    <w:unhideWhenUsed/>
    <w:qFormat/>
    <w:locked/>
    <w:uiPriority w:val="0"/>
    <w:rPr>
      <w:rFonts w:eastAsia="黑体" w:asciiTheme="majorHAnsi" w:hAnsiTheme="majorHAnsi" w:cstheme="majorBidi"/>
      <w:sz w:val="20"/>
      <w:szCs w:val="20"/>
    </w:rPr>
  </w:style>
  <w:style w:type="paragraph" w:styleId="14">
    <w:name w:val="toa heading"/>
    <w:basedOn w:val="1"/>
    <w:next w:val="1"/>
    <w:semiHidden/>
    <w:qFormat/>
    <w:locked/>
    <w:uiPriority w:val="0"/>
    <w:pPr>
      <w:spacing w:before="120"/>
    </w:pPr>
    <w:rPr>
      <w:rFonts w:ascii="Arial" w:hAnsi="Arial" w:cs="Arial"/>
      <w:sz w:val="24"/>
    </w:rPr>
  </w:style>
  <w:style w:type="paragraph" w:styleId="15">
    <w:name w:val="annotation text"/>
    <w:basedOn w:val="1"/>
    <w:link w:val="62"/>
    <w:unhideWhenUsed/>
    <w:qFormat/>
    <w:uiPriority w:val="0"/>
    <w:pPr>
      <w:jc w:val="left"/>
    </w:pPr>
    <w:rPr>
      <w:rFonts w:asciiTheme="minorHAnsi" w:hAnsiTheme="minorHAnsi" w:eastAsiaTheme="minorEastAsia" w:cstheme="minorBidi"/>
      <w:szCs w:val="22"/>
    </w:rPr>
  </w:style>
  <w:style w:type="paragraph" w:styleId="16">
    <w:name w:val="Body Text"/>
    <w:basedOn w:val="1"/>
    <w:next w:val="17"/>
    <w:qFormat/>
    <w:uiPriority w:val="0"/>
    <w:pPr>
      <w:widowControl/>
      <w:snapToGrid w:val="0"/>
      <w:spacing w:before="60" w:after="160" w:line="259" w:lineRule="auto"/>
      <w:ind w:right="113"/>
    </w:pPr>
    <w:rPr>
      <w:kern w:val="0"/>
      <w:sz w:val="18"/>
      <w:szCs w:val="20"/>
    </w:rPr>
  </w:style>
  <w:style w:type="paragraph" w:styleId="17">
    <w:name w:val="List Bullet 5"/>
    <w:basedOn w:val="1"/>
    <w:locked/>
    <w:uiPriority w:val="0"/>
    <w:pPr>
      <w:numPr>
        <w:ilvl w:val="0"/>
        <w:numId w:val="1"/>
      </w:numPr>
    </w:pPr>
  </w:style>
  <w:style w:type="paragraph" w:styleId="18">
    <w:name w:val="Body Text Indent"/>
    <w:basedOn w:val="1"/>
    <w:next w:val="19"/>
    <w:link w:val="72"/>
    <w:qFormat/>
    <w:uiPriority w:val="0"/>
    <w:pPr>
      <w:spacing w:after="120"/>
      <w:ind w:left="420" w:leftChars="200"/>
    </w:pPr>
  </w:style>
  <w:style w:type="paragraph" w:styleId="19">
    <w:name w:val="header"/>
    <w:basedOn w:val="1"/>
    <w:next w:val="20"/>
    <w:link w:val="65"/>
    <w:qFormat/>
    <w:uiPriority w:val="0"/>
    <w:pPr>
      <w:tabs>
        <w:tab w:val="center" w:pos="4153"/>
        <w:tab w:val="right" w:pos="8306"/>
      </w:tabs>
      <w:snapToGrid w:val="0"/>
      <w:jc w:val="center"/>
    </w:pPr>
    <w:rPr>
      <w:sz w:val="18"/>
      <w:szCs w:val="18"/>
    </w:rPr>
  </w:style>
  <w:style w:type="paragraph" w:customStyle="1" w:styleId="20">
    <w:name w:val="样式5"/>
    <w:basedOn w:val="21"/>
    <w:qFormat/>
    <w:uiPriority w:val="0"/>
    <w:pPr>
      <w:snapToGrid w:val="0"/>
      <w:spacing w:beforeLines="20" w:afterLines="20" w:line="480" w:lineRule="exact"/>
      <w:ind w:firstLine="523" w:firstLineChars="218"/>
    </w:pPr>
    <w:rPr>
      <w:i/>
      <w:iCs/>
      <w:szCs w:val="20"/>
    </w:rPr>
  </w:style>
  <w:style w:type="paragraph" w:customStyle="1" w:styleId="21">
    <w:name w:val="正文1"/>
    <w:basedOn w:val="1"/>
    <w:next w:val="1"/>
    <w:qFormat/>
    <w:uiPriority w:val="0"/>
    <w:pPr>
      <w:spacing w:line="360" w:lineRule="auto"/>
      <w:ind w:firstLine="200" w:firstLineChars="200"/>
    </w:pPr>
    <w:rPr>
      <w:rFonts w:cs="宋体"/>
      <w:sz w:val="24"/>
      <w:szCs w:val="20"/>
    </w:rPr>
  </w:style>
  <w:style w:type="paragraph" w:styleId="22">
    <w:name w:val="endnote text"/>
    <w:basedOn w:val="1"/>
    <w:next w:val="14"/>
    <w:semiHidden/>
    <w:qFormat/>
    <w:locked/>
    <w:uiPriority w:val="0"/>
    <w:pPr>
      <w:widowControl/>
      <w:snapToGrid w:val="0"/>
      <w:jc w:val="left"/>
    </w:pPr>
    <w:rPr>
      <w:rFonts w:ascii="宋体" w:hAnsi="宋体"/>
      <w:szCs w:val="20"/>
    </w:rPr>
  </w:style>
  <w:style w:type="paragraph" w:styleId="23">
    <w:name w:val="footer"/>
    <w:basedOn w:val="1"/>
    <w:link w:val="66"/>
    <w:qFormat/>
    <w:uiPriority w:val="99"/>
    <w:pPr>
      <w:tabs>
        <w:tab w:val="center" w:pos="4153"/>
        <w:tab w:val="right" w:pos="8306"/>
      </w:tabs>
      <w:snapToGrid w:val="0"/>
      <w:jc w:val="left"/>
    </w:pPr>
    <w:rPr>
      <w:sz w:val="18"/>
      <w:szCs w:val="18"/>
    </w:rPr>
  </w:style>
  <w:style w:type="paragraph" w:styleId="24">
    <w:name w:val="Message Header"/>
    <w:basedOn w:val="1"/>
    <w:qFormat/>
    <w:locked/>
    <w:uiPriority w:val="0"/>
    <w:pPr>
      <w:pBdr>
        <w:top w:val="none" w:color="auto" w:sz="0" w:space="1"/>
        <w:left w:val="none" w:color="auto" w:sz="0" w:space="1"/>
        <w:bottom w:val="none" w:color="auto" w:sz="0" w:space="1"/>
        <w:right w:val="none" w:color="auto" w:sz="0" w:space="1"/>
      </w:pBdr>
      <w:ind w:left="1080" w:leftChars="500" w:hanging="1080" w:hangingChars="500"/>
    </w:pPr>
    <w:rPr>
      <w:rFonts w:ascii="Arial" w:hAnsi="Arial" w:eastAsia="宋体" w:cs="Times New Roman"/>
      <w:szCs w:val="24"/>
    </w:rPr>
  </w:style>
  <w:style w:type="paragraph" w:styleId="25">
    <w:name w:val="Normal (Web)"/>
    <w:basedOn w:val="1"/>
    <w:link w:val="69"/>
    <w:unhideWhenUsed/>
    <w:qFormat/>
    <w:uiPriority w:val="0"/>
    <w:pPr>
      <w:widowControl/>
      <w:spacing w:before="100" w:beforeAutospacing="1" w:after="100" w:afterAutospacing="1"/>
      <w:jc w:val="left"/>
    </w:pPr>
    <w:rPr>
      <w:rFonts w:ascii="宋体" w:hAnsi="宋体"/>
      <w:kern w:val="0"/>
      <w:sz w:val="24"/>
      <w:szCs w:val="20"/>
    </w:rPr>
  </w:style>
  <w:style w:type="paragraph" w:styleId="26">
    <w:name w:val="annotation subject"/>
    <w:basedOn w:val="15"/>
    <w:next w:val="15"/>
    <w:link w:val="68"/>
    <w:semiHidden/>
    <w:qFormat/>
    <w:uiPriority w:val="0"/>
    <w:rPr>
      <w:rFonts w:ascii="Times New Roman" w:hAnsi="Times New Roman" w:eastAsia="宋体" w:cs="Times New Roman"/>
      <w:b/>
      <w:bCs/>
      <w:szCs w:val="24"/>
    </w:rPr>
  </w:style>
  <w:style w:type="paragraph" w:styleId="27">
    <w:name w:val="Body Text First Indent"/>
    <w:basedOn w:val="16"/>
    <w:qFormat/>
    <w:locked/>
    <w:uiPriority w:val="0"/>
    <w:pPr>
      <w:widowControl w:val="0"/>
      <w:overflowPunct/>
      <w:autoSpaceDE/>
      <w:autoSpaceDN/>
      <w:adjustRightInd/>
      <w:spacing w:line="240" w:lineRule="auto"/>
      <w:ind w:firstLine="420" w:firstLineChars="100"/>
      <w:jc w:val="both"/>
      <w:textAlignment w:val="auto"/>
    </w:pPr>
    <w:rPr>
      <w:rFonts w:ascii="Times New Roman" w:hAnsi="Times New Roman"/>
      <w:kern w:val="2"/>
      <w:sz w:val="21"/>
      <w:szCs w:val="24"/>
    </w:rPr>
  </w:style>
  <w:style w:type="paragraph" w:styleId="28">
    <w:name w:val="Body Text First Indent 2"/>
    <w:basedOn w:val="18"/>
    <w:next w:val="1"/>
    <w:link w:val="73"/>
    <w:qFormat/>
    <w:locked/>
    <w:uiPriority w:val="0"/>
    <w:pPr>
      <w:ind w:firstLine="420" w:firstLineChars="200"/>
    </w:pPr>
    <w:rPr>
      <w:rFonts w:cstheme="minorBidi"/>
    </w:rPr>
  </w:style>
  <w:style w:type="table" w:styleId="30">
    <w:name w:val="Table Grid"/>
    <w:basedOn w:val="29"/>
    <w:qFormat/>
    <w:uiPriority w:val="9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qFormat/>
    <w:locked/>
    <w:uiPriority w:val="0"/>
    <w:rPr>
      <w:b/>
    </w:rPr>
  </w:style>
  <w:style w:type="character" w:styleId="33">
    <w:name w:val="page number"/>
    <w:basedOn w:val="31"/>
    <w:qFormat/>
    <w:locked/>
    <w:uiPriority w:val="0"/>
  </w:style>
  <w:style w:type="character" w:styleId="34">
    <w:name w:val="annotation reference"/>
    <w:basedOn w:val="31"/>
    <w:unhideWhenUsed/>
    <w:qFormat/>
    <w:uiPriority w:val="99"/>
    <w:rPr>
      <w:sz w:val="21"/>
      <w:szCs w:val="21"/>
    </w:rPr>
  </w:style>
  <w:style w:type="paragraph" w:customStyle="1" w:styleId="35">
    <w:name w:val="样式 正文文本缩进 + 行距: 1.5 倍行距"/>
    <w:basedOn w:val="36"/>
    <w:next w:val="1"/>
    <w:qFormat/>
    <w:uiPriority w:val="0"/>
    <w:pPr>
      <w:spacing w:after="120" w:line="360" w:lineRule="auto"/>
      <w:ind w:left="90" w:leftChars="32" w:firstLine="560" w:firstLineChars="200"/>
    </w:pPr>
    <w:rPr>
      <w:rFonts w:cs="宋体"/>
    </w:rPr>
  </w:style>
  <w:style w:type="paragraph" w:customStyle="1" w:styleId="36">
    <w:name w:val="Body Text Indent"/>
    <w:basedOn w:val="1"/>
    <w:next w:val="35"/>
    <w:qFormat/>
    <w:uiPriority w:val="0"/>
    <w:pPr>
      <w:spacing w:after="120" w:afterLines="0"/>
      <w:ind w:left="420" w:leftChars="200"/>
    </w:pPr>
    <w:rPr>
      <w:rFonts w:ascii="Times New Roman" w:hAnsi="Times New Roman" w:eastAsia="宋体"/>
      <w:sz w:val="24"/>
    </w:rPr>
  </w:style>
  <w:style w:type="paragraph" w:customStyle="1" w:styleId="37">
    <w:name w:val="纯文本1"/>
    <w:basedOn w:val="1"/>
    <w:qFormat/>
    <w:uiPriority w:val="0"/>
    <w:pPr>
      <w:adjustRightInd w:val="0"/>
    </w:pPr>
    <w:rPr>
      <w:rFonts w:ascii="宋体" w:hAnsi="Courier New"/>
      <w:szCs w:val="20"/>
    </w:rPr>
  </w:style>
  <w:style w:type="paragraph" w:customStyle="1" w:styleId="38">
    <w:name w:val="S表正文（缩进）"/>
    <w:basedOn w:val="1"/>
    <w:link w:val="40"/>
    <w:qFormat/>
    <w:uiPriority w:val="0"/>
    <w:pPr>
      <w:autoSpaceDE w:val="0"/>
      <w:autoSpaceDN w:val="0"/>
      <w:spacing w:line="360" w:lineRule="exact"/>
      <w:ind w:firstLine="420" w:firstLineChars="200"/>
    </w:pPr>
    <w:rPr>
      <w:rFonts w:ascii="Times New Roman" w:hAnsi="Times New Roman" w:eastAsia="宋体" w:cs="宋体"/>
      <w:color w:val="000000" w:themeColor="text1"/>
      <w:kern w:val="0"/>
      <w:szCs w:val="21"/>
      <w14:textFill>
        <w14:solidFill>
          <w14:schemeClr w14:val="tx1"/>
        </w14:solidFill>
      </w14:textFill>
    </w:rPr>
  </w:style>
  <w:style w:type="paragraph" w:customStyle="1" w:styleId="39">
    <w:name w:val="S表头、图题"/>
    <w:basedOn w:val="1"/>
    <w:link w:val="42"/>
    <w:qFormat/>
    <w:uiPriority w:val="0"/>
    <w:pPr>
      <w:autoSpaceDE w:val="0"/>
      <w:autoSpaceDN w:val="0"/>
      <w:spacing w:line="360" w:lineRule="exact"/>
      <w:jc w:val="center"/>
    </w:pPr>
    <w:rPr>
      <w:rFonts w:ascii="黑体" w:hAnsi="黑体" w:eastAsia="黑体"/>
      <w:color w:val="000000" w:themeColor="text1"/>
      <w14:textFill>
        <w14:solidFill>
          <w14:schemeClr w14:val="tx1"/>
        </w14:solidFill>
      </w14:textFill>
    </w:rPr>
  </w:style>
  <w:style w:type="character" w:customStyle="1" w:styleId="40">
    <w:name w:val="S表正文（缩进） 字符"/>
    <w:basedOn w:val="31"/>
    <w:link w:val="38"/>
    <w:qFormat/>
    <w:uiPriority w:val="0"/>
    <w:rPr>
      <w:rFonts w:ascii="Times New Roman" w:hAnsi="Times New Roman" w:eastAsia="宋体" w:cs="宋体"/>
      <w:color w:val="000000" w:themeColor="text1"/>
      <w:sz w:val="21"/>
      <w:szCs w:val="21"/>
      <w14:textFill>
        <w14:solidFill>
          <w14:schemeClr w14:val="tx1"/>
        </w14:solidFill>
      </w14:textFill>
    </w:rPr>
  </w:style>
  <w:style w:type="paragraph" w:customStyle="1" w:styleId="41">
    <w:name w:val="S表格"/>
    <w:basedOn w:val="1"/>
    <w:link w:val="44"/>
    <w:qFormat/>
    <w:uiPriority w:val="0"/>
    <w:pPr>
      <w:spacing w:line="280" w:lineRule="exact"/>
      <w:jc w:val="center"/>
    </w:pPr>
    <w:rPr>
      <w:rFonts w:ascii="宋体" w:hAnsi="宋体" w:eastAsia="宋体"/>
      <w:color w:val="000000" w:themeColor="text1"/>
      <w:sz w:val="20"/>
      <w:szCs w:val="18"/>
      <w14:textFill>
        <w14:solidFill>
          <w14:schemeClr w14:val="tx1"/>
        </w14:solidFill>
      </w14:textFill>
    </w:rPr>
  </w:style>
  <w:style w:type="character" w:customStyle="1" w:styleId="42">
    <w:name w:val="S表头、图题 字符"/>
    <w:basedOn w:val="31"/>
    <w:link w:val="39"/>
    <w:qFormat/>
    <w:uiPriority w:val="0"/>
    <w:rPr>
      <w:rFonts w:ascii="黑体" w:hAnsi="黑体" w:eastAsia="黑体"/>
      <w:color w:val="000000" w:themeColor="text1"/>
      <w:kern w:val="2"/>
      <w:sz w:val="21"/>
      <w:szCs w:val="24"/>
      <w14:textFill>
        <w14:solidFill>
          <w14:schemeClr w14:val="tx1"/>
        </w14:solidFill>
      </w14:textFill>
    </w:rPr>
  </w:style>
  <w:style w:type="paragraph" w:styleId="43">
    <w:name w:val="List Paragraph"/>
    <w:basedOn w:val="1"/>
    <w:qFormat/>
    <w:uiPriority w:val="34"/>
    <w:pPr>
      <w:ind w:firstLine="420" w:firstLineChars="200"/>
    </w:pPr>
  </w:style>
  <w:style w:type="character" w:customStyle="1" w:styleId="44">
    <w:name w:val="S表格 字符"/>
    <w:basedOn w:val="31"/>
    <w:link w:val="41"/>
    <w:qFormat/>
    <w:uiPriority w:val="0"/>
    <w:rPr>
      <w:rFonts w:ascii="宋体" w:hAnsi="宋体" w:eastAsia="宋体"/>
      <w:color w:val="000000" w:themeColor="text1"/>
      <w:kern w:val="2"/>
      <w:sz w:val="20"/>
      <w:szCs w:val="18"/>
      <w14:textFill>
        <w14:solidFill>
          <w14:schemeClr w14:val="tx1"/>
        </w14:solidFill>
      </w14:textFill>
    </w:rPr>
  </w:style>
  <w:style w:type="paragraph" w:customStyle="1" w:styleId="45">
    <w:name w:val="S书表头、图题"/>
    <w:basedOn w:val="1"/>
    <w:link w:val="46"/>
    <w:qFormat/>
    <w:uiPriority w:val="0"/>
    <w:pPr>
      <w:spacing w:line="360" w:lineRule="auto"/>
      <w:jc w:val="center"/>
    </w:pPr>
    <w:rPr>
      <w:rFonts w:ascii="黑体" w:hAnsi="黑体" w:eastAsia="黑体"/>
      <w:color w:val="000000" w:themeColor="text1"/>
      <w:kern w:val="24"/>
      <w:sz w:val="24"/>
      <w14:textFill>
        <w14:solidFill>
          <w14:schemeClr w14:val="tx1"/>
        </w14:solidFill>
      </w14:textFill>
    </w:rPr>
  </w:style>
  <w:style w:type="character" w:customStyle="1" w:styleId="46">
    <w:name w:val="S书表头、图题 字符"/>
    <w:basedOn w:val="31"/>
    <w:link w:val="45"/>
    <w:qFormat/>
    <w:uiPriority w:val="0"/>
    <w:rPr>
      <w:rFonts w:ascii="黑体" w:hAnsi="黑体" w:eastAsia="黑体"/>
      <w:color w:val="000000" w:themeColor="text1"/>
      <w:kern w:val="24"/>
      <w:sz w:val="24"/>
      <w:szCs w:val="24"/>
      <w14:textFill>
        <w14:solidFill>
          <w14:schemeClr w14:val="tx1"/>
        </w14:solidFill>
      </w14:textFill>
    </w:rPr>
  </w:style>
  <w:style w:type="paragraph" w:customStyle="1" w:styleId="47">
    <w:name w:val="【表格】"/>
    <w:next w:val="1"/>
    <w:qFormat/>
    <w:uiPriority w:val="0"/>
    <w:pPr>
      <w:jc w:val="center"/>
    </w:pPr>
    <w:rPr>
      <w:rFonts w:ascii="Times New Roman" w:hAnsi="Times New Roman" w:eastAsia="宋体" w:cs="Times New Roman"/>
      <w:sz w:val="21"/>
      <w:szCs w:val="24"/>
      <w:lang w:val="en-US" w:eastAsia="zh-CN" w:bidi="ar-SA"/>
    </w:rPr>
  </w:style>
  <w:style w:type="character" w:customStyle="1" w:styleId="48">
    <w:name w:val="标题 1 字符"/>
    <w:link w:val="2"/>
    <w:qFormat/>
    <w:uiPriority w:val="0"/>
    <w:rPr>
      <w:rFonts w:eastAsia="黑体"/>
      <w:b/>
      <w:bCs/>
      <w:color w:val="000000"/>
      <w:kern w:val="44"/>
      <w:sz w:val="30"/>
      <w:szCs w:val="30"/>
    </w:rPr>
  </w:style>
  <w:style w:type="paragraph" w:customStyle="1" w:styleId="49">
    <w:name w:val="修订1"/>
    <w:hidden/>
    <w:unhideWhenUsed/>
    <w:qFormat/>
    <w:uiPriority w:val="99"/>
    <w:rPr>
      <w:rFonts w:ascii="Times New Roman" w:hAnsi="Times New Roman" w:eastAsia="宋体" w:cs="Times New Roman"/>
      <w:kern w:val="2"/>
      <w:sz w:val="21"/>
      <w:szCs w:val="24"/>
      <w:lang w:val="en-US" w:eastAsia="zh-CN" w:bidi="ar-SA"/>
    </w:rPr>
  </w:style>
  <w:style w:type="character" w:customStyle="1" w:styleId="50">
    <w:name w:val="标题 3 字符"/>
    <w:basedOn w:val="31"/>
    <w:link w:val="4"/>
    <w:qFormat/>
    <w:uiPriority w:val="0"/>
    <w:rPr>
      <w:b/>
      <w:bCs/>
      <w:kern w:val="2"/>
      <w:sz w:val="32"/>
      <w:szCs w:val="32"/>
    </w:rPr>
  </w:style>
  <w:style w:type="paragraph" w:customStyle="1" w:styleId="51">
    <w:name w:val="修订2"/>
    <w:hidden/>
    <w:unhideWhenUsed/>
    <w:qFormat/>
    <w:uiPriority w:val="99"/>
    <w:rPr>
      <w:rFonts w:ascii="Times New Roman" w:hAnsi="Times New Roman" w:eastAsia="宋体" w:cs="Times New Roman"/>
      <w:kern w:val="2"/>
      <w:sz w:val="21"/>
      <w:szCs w:val="24"/>
      <w:lang w:val="en-US" w:eastAsia="zh-CN" w:bidi="ar-SA"/>
    </w:rPr>
  </w:style>
  <w:style w:type="paragraph" w:customStyle="1" w:styleId="52">
    <w:name w:val="Revision"/>
    <w:hidden/>
    <w:qFormat/>
    <w:uiPriority w:val="99"/>
    <w:rPr>
      <w:rFonts w:ascii="Times New Roman" w:hAnsi="Times New Roman" w:eastAsia="宋体" w:cs="Times New Roman"/>
      <w:kern w:val="2"/>
      <w:sz w:val="21"/>
      <w:szCs w:val="24"/>
      <w:lang w:val="en-US" w:eastAsia="zh-CN" w:bidi="ar-SA"/>
    </w:rPr>
  </w:style>
  <w:style w:type="character" w:customStyle="1" w:styleId="53">
    <w:name w:val="S表表格 字符"/>
    <w:basedOn w:val="31"/>
    <w:link w:val="54"/>
    <w:qFormat/>
    <w:locked/>
    <w:uiPriority w:val="0"/>
    <w:rPr>
      <w:rFonts w:ascii="宋体" w:hAnsi="宋体"/>
      <w:color w:val="000000" w:themeColor="text1"/>
      <w:kern w:val="2"/>
      <w:sz w:val="18"/>
      <w:szCs w:val="18"/>
      <w14:textFill>
        <w14:solidFill>
          <w14:schemeClr w14:val="tx1"/>
        </w14:solidFill>
      </w14:textFill>
    </w:rPr>
  </w:style>
  <w:style w:type="paragraph" w:customStyle="1" w:styleId="54">
    <w:name w:val="S表表格"/>
    <w:basedOn w:val="1"/>
    <w:link w:val="53"/>
    <w:qFormat/>
    <w:uiPriority w:val="0"/>
    <w:pPr>
      <w:widowControl/>
      <w:spacing w:line="280" w:lineRule="exact"/>
    </w:pPr>
    <w:rPr>
      <w:rFonts w:ascii="宋体" w:hAnsi="宋体"/>
      <w:color w:val="000000" w:themeColor="text1"/>
      <w:sz w:val="18"/>
      <w:szCs w:val="18"/>
      <w14:textFill>
        <w14:solidFill>
          <w14:schemeClr w14:val="tx1"/>
        </w14:solidFill>
      </w14:textFill>
    </w:rPr>
  </w:style>
  <w:style w:type="character" w:customStyle="1" w:styleId="55">
    <w:name w:val="标题 2 字符"/>
    <w:basedOn w:val="31"/>
    <w:link w:val="3"/>
    <w:qFormat/>
    <w:uiPriority w:val="9"/>
    <w:rPr>
      <w:rFonts w:ascii="Cambria" w:hAnsi="Cambria" w:cs="宋体"/>
      <w:b/>
      <w:bCs/>
      <w:kern w:val="2"/>
      <w:sz w:val="32"/>
      <w:szCs w:val="32"/>
      <w:lang w:val="zh-CN"/>
    </w:rPr>
  </w:style>
  <w:style w:type="character" w:customStyle="1" w:styleId="56">
    <w:name w:val="标题 5 字符"/>
    <w:basedOn w:val="31"/>
    <w:link w:val="6"/>
    <w:qFormat/>
    <w:uiPriority w:val="0"/>
    <w:rPr>
      <w:b/>
      <w:kern w:val="44"/>
      <w:sz w:val="28"/>
      <w:lang w:val="zh-CN"/>
    </w:rPr>
  </w:style>
  <w:style w:type="character" w:customStyle="1" w:styleId="57">
    <w:name w:val="标题 6 字符"/>
    <w:basedOn w:val="31"/>
    <w:link w:val="7"/>
    <w:qFormat/>
    <w:uiPriority w:val="0"/>
    <w:rPr>
      <w:rFonts w:ascii="Arial" w:hAnsi="Arial" w:eastAsia="黑体"/>
      <w:b/>
      <w:kern w:val="44"/>
      <w:sz w:val="24"/>
      <w:lang w:val="zh-CN"/>
    </w:rPr>
  </w:style>
  <w:style w:type="character" w:customStyle="1" w:styleId="58">
    <w:name w:val="标题 7 字符"/>
    <w:basedOn w:val="31"/>
    <w:link w:val="8"/>
    <w:qFormat/>
    <w:uiPriority w:val="0"/>
    <w:rPr>
      <w:b/>
      <w:kern w:val="44"/>
      <w:sz w:val="24"/>
      <w:lang w:val="zh-CN"/>
    </w:rPr>
  </w:style>
  <w:style w:type="character" w:customStyle="1" w:styleId="59">
    <w:name w:val="标题 8 字符"/>
    <w:basedOn w:val="31"/>
    <w:link w:val="9"/>
    <w:qFormat/>
    <w:uiPriority w:val="0"/>
    <w:rPr>
      <w:rFonts w:ascii="Arial" w:hAnsi="Arial" w:eastAsia="黑体"/>
      <w:kern w:val="44"/>
      <w:sz w:val="24"/>
      <w:lang w:val="zh-CN"/>
    </w:rPr>
  </w:style>
  <w:style w:type="character" w:customStyle="1" w:styleId="60">
    <w:name w:val="标题 9 字符"/>
    <w:basedOn w:val="31"/>
    <w:link w:val="10"/>
    <w:qFormat/>
    <w:uiPriority w:val="0"/>
    <w:rPr>
      <w:rFonts w:ascii="Arial" w:hAnsi="Arial" w:eastAsia="黑体"/>
      <w:kern w:val="44"/>
      <w:sz w:val="21"/>
      <w:lang w:val="zh-CN"/>
    </w:rPr>
  </w:style>
  <w:style w:type="character" w:customStyle="1" w:styleId="61">
    <w:name w:val="标题 4 字符"/>
    <w:basedOn w:val="31"/>
    <w:link w:val="5"/>
    <w:qFormat/>
    <w:uiPriority w:val="99"/>
    <w:rPr>
      <w:rFonts w:ascii="Arial" w:hAnsi="Arial" w:eastAsia="黑体"/>
      <w:b/>
      <w:bCs/>
      <w:kern w:val="2"/>
      <w:sz w:val="28"/>
      <w:szCs w:val="28"/>
    </w:rPr>
  </w:style>
  <w:style w:type="character" w:customStyle="1" w:styleId="62">
    <w:name w:val="批注文字 字符"/>
    <w:basedOn w:val="31"/>
    <w:link w:val="15"/>
    <w:qFormat/>
    <w:uiPriority w:val="0"/>
    <w:rPr>
      <w:rFonts w:asciiTheme="minorHAnsi" w:hAnsiTheme="minorHAnsi" w:eastAsiaTheme="minorEastAsia" w:cstheme="minorBidi"/>
      <w:kern w:val="2"/>
      <w:sz w:val="21"/>
      <w:szCs w:val="22"/>
    </w:rPr>
  </w:style>
  <w:style w:type="paragraph" w:customStyle="1" w:styleId="63">
    <w:name w:val="S表表居中"/>
    <w:basedOn w:val="54"/>
    <w:link w:val="64"/>
    <w:qFormat/>
    <w:uiPriority w:val="0"/>
    <w:pPr>
      <w:jc w:val="center"/>
    </w:pPr>
  </w:style>
  <w:style w:type="character" w:customStyle="1" w:styleId="64">
    <w:name w:val="S表表居中 字符"/>
    <w:basedOn w:val="53"/>
    <w:link w:val="63"/>
    <w:qFormat/>
    <w:uiPriority w:val="0"/>
    <w:rPr>
      <w:rFonts w:ascii="宋体" w:hAnsi="宋体"/>
      <w:color w:val="000000" w:themeColor="text1"/>
      <w:kern w:val="2"/>
      <w:sz w:val="18"/>
      <w:szCs w:val="18"/>
      <w14:textFill>
        <w14:solidFill>
          <w14:schemeClr w14:val="tx1"/>
        </w14:solidFill>
      </w14:textFill>
    </w:rPr>
  </w:style>
  <w:style w:type="character" w:customStyle="1" w:styleId="65">
    <w:name w:val="页眉 字符"/>
    <w:basedOn w:val="31"/>
    <w:link w:val="19"/>
    <w:qFormat/>
    <w:uiPriority w:val="0"/>
    <w:rPr>
      <w:kern w:val="2"/>
      <w:sz w:val="18"/>
      <w:szCs w:val="18"/>
    </w:rPr>
  </w:style>
  <w:style w:type="character" w:customStyle="1" w:styleId="66">
    <w:name w:val="页脚 字符"/>
    <w:basedOn w:val="31"/>
    <w:link w:val="23"/>
    <w:qFormat/>
    <w:uiPriority w:val="99"/>
    <w:rPr>
      <w:kern w:val="2"/>
      <w:sz w:val="18"/>
      <w:szCs w:val="18"/>
    </w:rPr>
  </w:style>
  <w:style w:type="table" w:customStyle="1" w:styleId="67">
    <w:name w:val="Table Normal"/>
    <w:unhideWhenUsed/>
    <w:qFormat/>
    <w:uiPriority w:val="2"/>
    <w:pPr>
      <w:widowControl w:val="0"/>
      <w:autoSpaceDE w:val="0"/>
      <w:autoSpaceDN w:val="0"/>
    </w:pPr>
    <w:rPr>
      <w:rFonts w:ascii="Calibri" w:hAnsi="Calibri"/>
      <w:sz w:val="22"/>
      <w:lang w:eastAsia="en-US"/>
    </w:rPr>
    <w:tblPr>
      <w:tblCellMar>
        <w:top w:w="0" w:type="dxa"/>
        <w:left w:w="0" w:type="dxa"/>
        <w:bottom w:w="0" w:type="dxa"/>
        <w:right w:w="0" w:type="dxa"/>
      </w:tblCellMar>
    </w:tblPr>
  </w:style>
  <w:style w:type="character" w:customStyle="1" w:styleId="68">
    <w:name w:val="批注主题 字符"/>
    <w:basedOn w:val="62"/>
    <w:link w:val="26"/>
    <w:semiHidden/>
    <w:qFormat/>
    <w:uiPriority w:val="0"/>
    <w:rPr>
      <w:rFonts w:asciiTheme="minorHAnsi" w:hAnsiTheme="minorHAnsi" w:eastAsiaTheme="minorEastAsia" w:cstheme="minorBidi"/>
      <w:b/>
      <w:bCs/>
      <w:kern w:val="2"/>
      <w:sz w:val="21"/>
      <w:szCs w:val="24"/>
    </w:rPr>
  </w:style>
  <w:style w:type="character" w:customStyle="1" w:styleId="69">
    <w:name w:val="普通(网站) 字符"/>
    <w:link w:val="25"/>
    <w:qFormat/>
    <w:locked/>
    <w:uiPriority w:val="0"/>
    <w:rPr>
      <w:rFonts w:ascii="宋体" w:hAnsi="宋体"/>
      <w:sz w:val="24"/>
    </w:rPr>
  </w:style>
  <w:style w:type="character" w:customStyle="1" w:styleId="70">
    <w:name w:val="表格 Char"/>
    <w:link w:val="71"/>
    <w:qFormat/>
    <w:locked/>
    <w:uiPriority w:val="0"/>
    <w:rPr>
      <w:rFonts w:ascii="宋体" w:hAnsi="宋体"/>
      <w:sz w:val="21"/>
    </w:rPr>
  </w:style>
  <w:style w:type="paragraph" w:customStyle="1" w:styleId="71">
    <w:name w:val="表格"/>
    <w:basedOn w:val="1"/>
    <w:next w:val="1"/>
    <w:link w:val="70"/>
    <w:qFormat/>
    <w:uiPriority w:val="0"/>
    <w:pPr>
      <w:adjustRightInd w:val="0"/>
      <w:snapToGrid w:val="0"/>
      <w:spacing w:beforeLines="10" w:afterLines="10" w:line="256" w:lineRule="auto"/>
      <w:jc w:val="center"/>
    </w:pPr>
    <w:rPr>
      <w:rFonts w:ascii="宋体" w:hAnsi="宋体"/>
      <w:kern w:val="0"/>
      <w:szCs w:val="20"/>
    </w:rPr>
  </w:style>
  <w:style w:type="character" w:customStyle="1" w:styleId="72">
    <w:name w:val="正文文本缩进 字符"/>
    <w:basedOn w:val="31"/>
    <w:link w:val="18"/>
    <w:qFormat/>
    <w:uiPriority w:val="0"/>
    <w:rPr>
      <w:kern w:val="2"/>
      <w:sz w:val="21"/>
      <w:szCs w:val="24"/>
    </w:rPr>
  </w:style>
  <w:style w:type="character" w:customStyle="1" w:styleId="73">
    <w:name w:val="正文文本首行缩进 2 字符"/>
    <w:basedOn w:val="72"/>
    <w:link w:val="28"/>
    <w:qFormat/>
    <w:uiPriority w:val="0"/>
    <w:rPr>
      <w:rFonts w:cstheme="minorBidi"/>
      <w:kern w:val="2"/>
      <w:sz w:val="21"/>
      <w:szCs w:val="24"/>
    </w:rPr>
  </w:style>
  <w:style w:type="paragraph" w:customStyle="1" w:styleId="74">
    <w:name w:val="正文 首行缩进:  2 字符"/>
    <w:basedOn w:val="1"/>
    <w:qFormat/>
    <w:uiPriority w:val="0"/>
    <w:pPr>
      <w:adjustRightInd w:val="0"/>
      <w:snapToGrid w:val="0"/>
      <w:spacing w:line="500" w:lineRule="exact"/>
      <w:ind w:firstLine="200" w:firstLineChars="200"/>
      <w:jc w:val="left"/>
    </w:pPr>
    <w:rPr>
      <w:rFonts w:cs="宋体"/>
      <w:sz w:val="24"/>
      <w:szCs w:val="20"/>
    </w:rPr>
  </w:style>
  <w:style w:type="paragraph" w:customStyle="1" w:styleId="75">
    <w:name w:val="Table Paragraph"/>
    <w:basedOn w:val="1"/>
    <w:qFormat/>
    <w:uiPriority w:val="0"/>
    <w:pPr>
      <w:autoSpaceDE w:val="0"/>
      <w:autoSpaceDN w:val="0"/>
      <w:adjustRightInd w:val="0"/>
      <w:jc w:val="left"/>
    </w:pPr>
    <w:rPr>
      <w:kern w:val="0"/>
      <w:sz w:val="24"/>
    </w:rPr>
  </w:style>
  <w:style w:type="paragraph" w:customStyle="1" w:styleId="76">
    <w:name w:val="表格内容2"/>
    <w:basedOn w:val="77"/>
    <w:qFormat/>
    <w:uiPriority w:val="0"/>
    <w:pPr>
      <w:spacing w:line="240" w:lineRule="auto"/>
      <w:ind w:firstLine="0" w:firstLineChars="0"/>
    </w:pPr>
    <w:rPr>
      <w:rFonts w:eastAsia="仿宋_GB2312"/>
    </w:rPr>
  </w:style>
  <w:style w:type="paragraph" w:customStyle="1" w:styleId="77">
    <w:name w:val="表格内容"/>
    <w:basedOn w:val="11"/>
    <w:qFormat/>
    <w:uiPriority w:val="0"/>
    <w:pPr>
      <w:jc w:val="center"/>
    </w:pPr>
  </w:style>
  <w:style w:type="paragraph" w:customStyle="1" w:styleId="78">
    <w:name w:val="表题注"/>
    <w:basedOn w:val="13"/>
    <w:qFormat/>
    <w:uiPriority w:val="0"/>
    <w:pPr>
      <w:framePr w:hSpace="180" w:wrap="around" w:vAnchor="text" w:hAnchor="text" w:xAlign="center" w:y="1"/>
      <w:adjustRightInd w:val="0"/>
      <w:snapToGrid w:val="0"/>
    </w:pPr>
    <w:rPr>
      <w:lang w:val="zh-CN"/>
    </w:rPr>
  </w:style>
  <w:style w:type="paragraph" w:customStyle="1" w:styleId="79">
    <w:name w:val="Table Text"/>
    <w:basedOn w:val="1"/>
    <w:semiHidden/>
    <w:qFormat/>
    <w:uiPriority w:val="0"/>
    <w:rPr>
      <w:rFonts w:ascii="宋体" w:hAnsi="宋体" w:eastAsia="宋体" w:cs="宋体"/>
      <w:sz w:val="24"/>
      <w:szCs w:val="24"/>
      <w:lang w:val="en-US" w:eastAsia="en-US" w:bidi="ar-SA"/>
    </w:rPr>
  </w:style>
  <w:style w:type="paragraph" w:customStyle="1" w:styleId="80">
    <w:name w:val="A-表格文字"/>
    <w:qFormat/>
    <w:uiPriority w:val="0"/>
    <w:pPr>
      <w:adjustRightInd w:val="0"/>
      <w:jc w:val="center"/>
      <w:textAlignment w:val="center"/>
    </w:pPr>
    <w:rPr>
      <w:rFonts w:ascii="Times New Roman" w:hAnsi="Times New Roman" w:eastAsia="宋体" w:cstheme="minorBidi"/>
      <w:sz w:val="21"/>
      <w:szCs w:val="21"/>
      <w:lang w:val="en-US" w:eastAsia="zh-CN" w:bidi="ar-SA"/>
    </w:rPr>
  </w:style>
  <w:style w:type="paragraph" w:customStyle="1" w:styleId="81">
    <w:name w:val="Default"/>
    <w:basedOn w:val="37"/>
    <w:next w:val="1"/>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header" Target="header1.xml"/><Relationship Id="rId75" Type="http://schemas.openxmlformats.org/officeDocument/2006/relationships/fontTable" Target="fontTable.xml"/><Relationship Id="rId74" Type="http://schemas.openxmlformats.org/officeDocument/2006/relationships/customXml" Target="../customXml/item2.xml"/><Relationship Id="rId73" Type="http://schemas.openxmlformats.org/officeDocument/2006/relationships/numbering" Target="numbering.xml"/><Relationship Id="rId72" Type="http://schemas.openxmlformats.org/officeDocument/2006/relationships/customXml" Target="../customXml/item1.xml"/><Relationship Id="rId71" Type="http://schemas.openxmlformats.org/officeDocument/2006/relationships/image" Target="media/image48.png"/><Relationship Id="rId70" Type="http://schemas.openxmlformats.org/officeDocument/2006/relationships/image" Target="media/image47.png"/><Relationship Id="rId7" Type="http://schemas.openxmlformats.org/officeDocument/2006/relationships/footer" Target="footer5.xml"/><Relationship Id="rId69" Type="http://schemas.openxmlformats.org/officeDocument/2006/relationships/image" Target="media/image46.png"/><Relationship Id="rId68" Type="http://schemas.openxmlformats.org/officeDocument/2006/relationships/image" Target="media/image45.jpeg"/><Relationship Id="rId67" Type="http://schemas.openxmlformats.org/officeDocument/2006/relationships/image" Target="media/image44.jpeg"/><Relationship Id="rId66" Type="http://schemas.openxmlformats.org/officeDocument/2006/relationships/image" Target="media/image43.png"/><Relationship Id="rId65" Type="http://schemas.openxmlformats.org/officeDocument/2006/relationships/image" Target="media/image42.png"/><Relationship Id="rId64" Type="http://schemas.openxmlformats.org/officeDocument/2006/relationships/image" Target="media/image41.png"/><Relationship Id="rId63" Type="http://schemas.openxmlformats.org/officeDocument/2006/relationships/image" Target="media/image40.png"/><Relationship Id="rId62" Type="http://schemas.openxmlformats.org/officeDocument/2006/relationships/image" Target="media/image39.png"/><Relationship Id="rId61" Type="http://schemas.openxmlformats.org/officeDocument/2006/relationships/image" Target="media/image38.png"/><Relationship Id="rId60" Type="http://schemas.openxmlformats.org/officeDocument/2006/relationships/image" Target="media/image37.png"/><Relationship Id="rId6" Type="http://schemas.openxmlformats.org/officeDocument/2006/relationships/footer" Target="footer4.xml"/><Relationship Id="rId59" Type="http://schemas.openxmlformats.org/officeDocument/2006/relationships/image" Target="media/image36.png"/><Relationship Id="rId58" Type="http://schemas.openxmlformats.org/officeDocument/2006/relationships/image" Target="media/image35.png"/><Relationship Id="rId57" Type="http://schemas.openxmlformats.org/officeDocument/2006/relationships/image" Target="media/image34.png"/><Relationship Id="rId56" Type="http://schemas.openxmlformats.org/officeDocument/2006/relationships/image" Target="media/image33.png"/><Relationship Id="rId55" Type="http://schemas.openxmlformats.org/officeDocument/2006/relationships/image" Target="media/image32.png"/><Relationship Id="rId54" Type="http://schemas.openxmlformats.org/officeDocument/2006/relationships/image" Target="media/image31.png"/><Relationship Id="rId53" Type="http://schemas.openxmlformats.org/officeDocument/2006/relationships/image" Target="media/image30.png"/><Relationship Id="rId52" Type="http://schemas.openxmlformats.org/officeDocument/2006/relationships/image" Target="media/image29.jpeg"/><Relationship Id="rId51" Type="http://schemas.openxmlformats.org/officeDocument/2006/relationships/image" Target="media/image28.png"/><Relationship Id="rId50" Type="http://schemas.openxmlformats.org/officeDocument/2006/relationships/image" Target="media/image27.png"/><Relationship Id="rId5" Type="http://schemas.openxmlformats.org/officeDocument/2006/relationships/footer" Target="footer3.xml"/><Relationship Id="rId49" Type="http://schemas.openxmlformats.org/officeDocument/2006/relationships/image" Target="media/image26.png"/><Relationship Id="rId48" Type="http://schemas.openxmlformats.org/officeDocument/2006/relationships/image" Target="media/image25.png"/><Relationship Id="rId47" Type="http://schemas.openxmlformats.org/officeDocument/2006/relationships/image" Target="media/image24.png"/><Relationship Id="rId46" Type="http://schemas.openxmlformats.org/officeDocument/2006/relationships/image" Target="media/image23.png"/><Relationship Id="rId45" Type="http://schemas.openxmlformats.org/officeDocument/2006/relationships/image" Target="media/image22.png"/><Relationship Id="rId44" Type="http://schemas.openxmlformats.org/officeDocument/2006/relationships/image" Target="media/image21.jpeg"/><Relationship Id="rId43" Type="http://schemas.openxmlformats.org/officeDocument/2006/relationships/image" Target="media/image20.png"/><Relationship Id="rId42" Type="http://schemas.openxmlformats.org/officeDocument/2006/relationships/image" Target="media/image19.wmf"/><Relationship Id="rId41" Type="http://schemas.openxmlformats.org/officeDocument/2006/relationships/oleObject" Target="embeddings/oleObject4.bin"/><Relationship Id="rId40" Type="http://schemas.openxmlformats.org/officeDocument/2006/relationships/image" Target="media/image18.png"/><Relationship Id="rId4" Type="http://schemas.openxmlformats.org/officeDocument/2006/relationships/footer" Target="footer2.xml"/><Relationship Id="rId39" Type="http://schemas.openxmlformats.org/officeDocument/2006/relationships/image" Target="media/image17.emf"/><Relationship Id="rId38" Type="http://schemas.openxmlformats.org/officeDocument/2006/relationships/image" Target="media/image16.png"/><Relationship Id="rId37" Type="http://schemas.openxmlformats.org/officeDocument/2006/relationships/image" Target="media/image15.png"/><Relationship Id="rId36" Type="http://schemas.openxmlformats.org/officeDocument/2006/relationships/image" Target="media/image14.emf"/><Relationship Id="rId35" Type="http://schemas.openxmlformats.org/officeDocument/2006/relationships/oleObject" Target="embeddings/oleObject3.bin"/><Relationship Id="rId34" Type="http://schemas.openxmlformats.org/officeDocument/2006/relationships/image" Target="media/image13.png"/><Relationship Id="rId33" Type="http://schemas.openxmlformats.org/officeDocument/2006/relationships/image" Target="media/image12.png"/><Relationship Id="rId32" Type="http://schemas.openxmlformats.org/officeDocument/2006/relationships/image" Target="media/image11.png"/><Relationship Id="rId31" Type="http://schemas.openxmlformats.org/officeDocument/2006/relationships/image" Target="media/image10.png"/><Relationship Id="rId30" Type="http://schemas.openxmlformats.org/officeDocument/2006/relationships/image" Target="media/image9.png"/><Relationship Id="rId3" Type="http://schemas.openxmlformats.org/officeDocument/2006/relationships/footer" Target="footer1.xml"/><Relationship Id="rId29" Type="http://schemas.openxmlformats.org/officeDocument/2006/relationships/image" Target="media/image8.emf"/><Relationship Id="rId28" Type="http://schemas.openxmlformats.org/officeDocument/2006/relationships/oleObject" Target="embeddings/oleObject2.bin"/><Relationship Id="rId27" Type="http://schemas.openxmlformats.org/officeDocument/2006/relationships/image" Target="media/image7.emf"/><Relationship Id="rId26" Type="http://schemas.openxmlformats.org/officeDocument/2006/relationships/oleObject" Target="embeddings/oleObject1.bin"/><Relationship Id="rId25" Type="http://schemas.openxmlformats.org/officeDocument/2006/relationships/image" Target="media/image6.png"/><Relationship Id="rId24" Type="http://schemas.openxmlformats.org/officeDocument/2006/relationships/image" Target="media/image5.png"/><Relationship Id="rId23" Type="http://schemas.openxmlformats.org/officeDocument/2006/relationships/image" Target="media/image4.png"/><Relationship Id="rId22" Type="http://schemas.openxmlformats.org/officeDocument/2006/relationships/image" Target="media/image3.png"/><Relationship Id="rId21" Type="http://schemas.openxmlformats.org/officeDocument/2006/relationships/image" Target="media/image2.jpeg"/><Relationship Id="rId20" Type="http://schemas.openxmlformats.org/officeDocument/2006/relationships/image" Target="media/image1.jpeg"/><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11.xml"/><Relationship Id="rId17" Type="http://schemas.openxmlformats.org/officeDocument/2006/relationships/header" Target="header5.xml"/><Relationship Id="rId16" Type="http://schemas.openxmlformats.org/officeDocument/2006/relationships/footer" Target="footer10.xml"/><Relationship Id="rId15" Type="http://schemas.openxmlformats.org/officeDocument/2006/relationships/header" Target="header4.xml"/><Relationship Id="rId14" Type="http://schemas.openxmlformats.org/officeDocument/2006/relationships/footer" Target="footer9.xml"/><Relationship Id="rId13" Type="http://schemas.openxmlformats.org/officeDocument/2006/relationships/header" Target="header3.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header" Target="header2.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ot="0" vertOverflow="overflow" horzOverflow="overflow" vert="horz" wrap="square" lIns="91440" tIns="45720" rIns="91440" bIns="45720" numCol="1" spcCol="0" rtlCol="0" fromWordArt="0" anchor="ctr" anchorCtr="0" forceAA="0" compatLnSpc="1">
        <a:noAutofit/>
      </a:bodyPr>
      <a:lstStyle/>
      <a:style>
        <a:lnRef idx="2">
          <a:schemeClr val="accent1">
            <a:lumMod val="75000"/>
          </a:schemeClr>
        </a:lnRef>
        <a:fillRef idx="1">
          <a:schemeClr val="accent1"/>
        </a:fillRef>
        <a:effectRef idx="0">
          <a:srgbClr val="FFFFFF"/>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57"/>
    <customShpInfo spid="_x0000_s2060"/>
    <customShpInfo spid="_x0000_s2061"/>
    <customShpInfo spid="_x0000_s2062"/>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3E9E64B-D621-41C5-8826-5D86CE8211F2}">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80</Pages>
  <Words>111</Words>
  <Characters>143</Characters>
  <Lines>633</Lines>
  <Paragraphs>178</Paragraphs>
  <TotalTime>21</TotalTime>
  <ScaleCrop>false</ScaleCrop>
  <LinksUpToDate>false</LinksUpToDate>
  <CharactersWithSpaces>169</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2025-02-19T08:03:00Z</dcterms:created>
  <dc:creator>lhj</dc:creator>
  <cp:lastModifiedBy>珍重</cp:lastModifiedBy>
  <cp:lastPrinted>2026-04-10T02:15:00Z</cp:lastPrinted>
  <dcterms:modified xsi:type="dcterms:W3CDTF">2026-05-25T09:31:59Z</dcterms:modified>
  <dc:title>附件2</dc:title>
  <cp:revision>72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7EC99F9AD4574B1A9401143AB62D6CCF</vt:lpwstr>
  </property>
  <property fmtid="{D5CDD505-2E9C-101B-9397-08002B2CF9AE}" pid="4" name="KSOTemplateDocerSaveRecord">
    <vt:lpwstr>eyJoZGlkIjoiOWRjMmJmMDQ0NDE5Njk1NTIzYjE2NTFhN2E0MzllMzciLCJ1c2VySWQiOiIyNDgzMzIwMjEifQ==</vt:lpwstr>
  </property>
</Properties>
</file>