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color="auto" w:fill="FFFFFF"/>
          <w:lang w:val="en-US" w:eastAsia="zh-CN"/>
        </w:rPr>
        <w:t>国家税务总局淄博经济开发区税务局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color="auto" w:fill="FFFFFF"/>
          <w:lang w:val="en-US" w:eastAsia="zh-CN"/>
        </w:rPr>
        <w:t>2021年政府信息公开工作年度报告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根据《中华人民共和国政府信息公开条例》（国务院令第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711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号）及总局、省局、市局有关制度规定，特向社会公布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度国家税务总局淄博经济开发区税务局（以下简称淄博经开区税务局）政府信息公开工作情况。本报告包括总体情况、主动公开政府信息情况、收到和处理政府信息公开申请情况、政府信息公开行政复议、行政诉讼情况、存在的主要问题及改进情况、其他需要报告的事项共六个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如对本报告有疑问，请与国家税务总局淄博经济开发区税务局政府信息公开（政务公开）工作领导小组办公室联系（地址：淄博市张店区重庆路与复兴路交叉口东南角，电话：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0533-6583005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，传真：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0533-6583002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，在省、市局和区党工委、管委会的正确领导下，淄博经开区税务局深入贯彻《中华人民共和国政府信息公开条例》精神，全面落实政府信息公开工作的相关要求，深入推进依法行政，全面推进决策、执行、管理、服务、结果全过程公开，加强政策解读、回应社会关切，保障公众知情权、参与权、表达权和监督权，持续提升税务部门政府信息公开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按照《中华人民共和国政府信息公开条例》要求的政府信息公开重点，坚持“公开为原则，不公开为例外”，对应当让社会公众广泛知晓或参与的事项，按照规定的程序，做到及时、主动地公开。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年，主动对外公开行政许可处理决定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2745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条，行政处罚处理决定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252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为提高依申请公开办理质效，规范依申请公开目录和依申请公开流程，在办理依申请公开事项的过程中，相关业务部门共同研究论证，加强依申请公开答复的合法性审核，依法依规做好答复工作。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年全年未收到政府信息依申请公开事项。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坚持“先审查，后公开”原则，健全政府信息公开审查机制和公文公开审核机制，依照规定对拟公开的政府信息进行审查，规范政府信息发布公开流程，确保按照规定时限，及时通过政府信息公开平台发布和更新维护，进一步提升政府信息公开的标准化、规范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（四）平台建设情况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依托淄博市税务局官方网站作为政府信息公开的主要平台，进一步拓展政府信息公开渠道，内容继续保持动态调整更新，方便纳税人更多地了解税收最新动态，不断提高政府信息公开服务水平。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建立政府信息公开内容审查和更新维护、考核评估、培训宣传和工作年报等工作制度，建立和完善政府信息公开审查制度，确保政府信息公开工作制度化、规范化发展。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主动公开政府信息情况</w:t>
      </w:r>
    </w:p>
    <w:tbl>
      <w:tblPr>
        <w:tblStyle w:val="4"/>
        <w:tblW w:w="9165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406"/>
        <w:gridCol w:w="2130"/>
        <w:gridCol w:w="2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60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本年制发件数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本年废止件数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规章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行政规范性文件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行政许可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行政强制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行政事业性收费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/>
    <w:p/>
    <w:p/>
    <w:p>
      <w:pPr>
        <w:numPr>
          <w:numId w:val="0"/>
        </w:numPr>
        <w:ind w:leftChars="0" w:firstLine="640" w:firstLineChars="200"/>
        <w:jc w:val="left"/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4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"/>
        <w:gridCol w:w="1425"/>
        <w:gridCol w:w="2580"/>
        <w:gridCol w:w="825"/>
        <w:gridCol w:w="705"/>
        <w:gridCol w:w="680"/>
        <w:gridCol w:w="711"/>
        <w:gridCol w:w="644"/>
        <w:gridCol w:w="749"/>
        <w:gridCol w:w="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4328" w:type="dxa"/>
            <w:gridSpan w:val="3"/>
            <w:vMerge w:val="restart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本列数据的勾稽关系为：第一项加第二项之和，等于第三项加第四项之和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5091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328" w:type="dxa"/>
            <w:gridSpan w:val="3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自然人</w:t>
            </w:r>
          </w:p>
        </w:tc>
        <w:tc>
          <w:tcPr>
            <w:tcW w:w="3489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77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28" w:type="dxa"/>
            <w:gridSpan w:val="3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商业企业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科研机构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社会公益组织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法律服务机构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328" w:type="dxa"/>
            <w:gridSpan w:val="3"/>
            <w:vAlign w:val="center"/>
          </w:tcPr>
          <w:p>
            <w:pPr>
              <w:jc w:val="both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一、本年新收政府信息公开申请数量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328" w:type="dxa"/>
            <w:gridSpan w:val="3"/>
            <w:vAlign w:val="center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二、上年结转政府信息公开申请数量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23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三、本年度办理结果</w:t>
            </w:r>
          </w:p>
        </w:tc>
        <w:tc>
          <w:tcPr>
            <w:tcW w:w="4005" w:type="dxa"/>
            <w:gridSpan w:val="2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（一）予以公开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gridSpan w:val="2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（二）部分公开（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区分处理的，只记这一情形，不计其他情形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（三）不予公开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1.属于国家机密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2.其他法律行政法规禁止公开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3.危及“三安全一稳定”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4.保护第三方合法权益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5.属于三类内部事务信息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6.属于四类过程性信息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7.属于行政执法案卷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8.属于行政查询事项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（四）无法提供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1.本机关不掌握相关政府信息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2.没有现成信息需要另行制作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3.补正后申请内容仍不明确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（五）不予处理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1.信访举报投诉类申请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2.重复申请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3.要求提供公开出版物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4.无正当理由大量反复申请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5.要求行政机关确认或重新出具已获取信息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（六）其他处理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2.申请人逾期未按收费通知要求缴纳费用、行政机关不再处理其他政府公开申请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3.其他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4005" w:type="dxa"/>
            <w:gridSpan w:val="2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（七）总计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4328" w:type="dxa"/>
            <w:gridSpan w:val="3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四、结转下年度继续办理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>
      <w:pPr>
        <w:numPr>
          <w:numId w:val="0"/>
        </w:numPr>
        <w:ind w:leftChars="0" w:firstLine="640" w:firstLineChars="20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4"/>
        <w:tblpPr w:leftFromText="180" w:rightFromText="180" w:vertAnchor="text" w:horzAnchor="page" w:tblpX="1290" w:tblpY="300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600"/>
        <w:gridCol w:w="645"/>
        <w:gridCol w:w="670"/>
        <w:gridCol w:w="605"/>
        <w:gridCol w:w="610"/>
        <w:gridCol w:w="585"/>
        <w:gridCol w:w="630"/>
        <w:gridCol w:w="645"/>
        <w:gridCol w:w="615"/>
        <w:gridCol w:w="578"/>
        <w:gridCol w:w="633"/>
        <w:gridCol w:w="633"/>
        <w:gridCol w:w="633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270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行政复议</w:t>
            </w:r>
          </w:p>
        </w:tc>
        <w:tc>
          <w:tcPr>
            <w:tcW w:w="6250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4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0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308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未经复议直接起诉</w:t>
            </w:r>
          </w:p>
        </w:tc>
        <w:tc>
          <w:tcPr>
            <w:tcW w:w="316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1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5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5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8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0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7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1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针对政府信息公开工作中存在的信息公开更新还不够及时，公开流程不够规范等问题，淄博经开区税务局重点采取了以下几项措施：一是不断提升政府信息公开工作质效。对照《中华人民共和国政府信息公开条例》的具体要求，认真清理政府信息公开事项，查漏补缺，确保应公开的政务信息全部公开。同时严把质量关、保密审查关，确保政府信息公开不影响国家安全、公共安全、经济安全和社会稳定，真正体现公开、公平、公正。二是加强业务培训。通过开展培训教育，强化工作人员信息公开的责任意识、大局意识、服务意识，确保政务信息公开工作及时、准确。进一步细化信息公开工作流程，自觉接受社会公众对信息公开情况的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中数据的统计期限为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日至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日。本单位不存在收取信息处理费情况。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p/>
    <w:p>
      <w:pPr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1B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2022-01-28T08:06:12Z</dcterms:created>
  <dc:creator>Lenovo009</dc:creator>
  <cp:lastModifiedBy>一依</cp:lastModifiedBy>
  <dcterms:modified xsi:type="dcterms:W3CDTF">2022-01-28T08:31:55Z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E33AC67273614263AE91C63DC531D924</vt:lpwstr>
  </property>
</Properties>
</file>