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0" w:after="100" w:line="560" w:lineRule="exact"/>
        <w:ind w:firstLine="0" w:firstLineChars="0"/>
        <w:jc w:val="center"/>
        <w:outlineLvl w:val="0"/>
        <w:rPr>
          <w:rFonts w:hint="eastAsia" w:ascii="方正小标宋简体" w:hAnsi="方正小标宋简体" w:eastAsia="方正小标宋简体" w:cs="Times New Roman"/>
          <w:b w:val="0"/>
          <w:sz w:val="44"/>
          <w:lang w:val="en-US" w:eastAsia="zh-CN" w:bidi="ar-SA"/>
        </w:rPr>
      </w:pPr>
      <w:r>
        <w:rPr>
          <w:rFonts w:hint="eastAsia" w:ascii="方正小标宋简体" w:hAnsi="方正小标宋简体" w:eastAsia="方正小标宋简体" w:cs="Times New Roman"/>
          <w:b w:val="0"/>
          <w:sz w:val="44"/>
          <w:lang w:val="en-US" w:eastAsia="zh-CN" w:bidi="ar-SA"/>
        </w:rPr>
        <w:t>淄博经济开发区党工委管委会商务局</w:t>
      </w:r>
    </w:p>
    <w:p>
      <w:pPr>
        <w:pStyle w:val="2"/>
        <w:spacing w:before="100" w:after="100" w:line="560" w:lineRule="exact"/>
        <w:ind w:firstLine="0" w:firstLineChars="0"/>
        <w:jc w:val="center"/>
        <w:outlineLvl w:val="0"/>
        <w:rPr>
          <w:rFonts w:hint="eastAsia" w:ascii="方正小标宋简体" w:hAnsi="方正小标宋简体" w:eastAsia="方正小标宋简体" w:cs="Times New Roman"/>
          <w:b w:val="0"/>
          <w:sz w:val="44"/>
          <w:lang w:val="en-US" w:eastAsia="zh-CN" w:bidi="ar-SA"/>
        </w:rPr>
      </w:pPr>
      <w:r>
        <w:rPr>
          <w:rFonts w:hint="eastAsia" w:ascii="方正小标宋简体" w:hAnsi="方正小标宋简体" w:eastAsia="方正小标宋简体" w:cs="Times New Roman"/>
          <w:b w:val="0"/>
          <w:sz w:val="44"/>
          <w:lang w:val="en-US" w:eastAsia="zh-CN" w:bidi="ar-SA"/>
        </w:rPr>
        <w:t>2021年政府信息公开年报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bdr w:val="none" w:color="auto" w:sz="0" w:space="0"/>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bdr w:val="none" w:color="auto" w:sz="0" w:space="0"/>
        </w:rPr>
        <w:t>本年度报告是根据《中华人民共和国政府信息公开条例》要求，由淄博经济开发区</w:t>
      </w:r>
      <w:r>
        <w:rPr>
          <w:rFonts w:hint="eastAsia" w:ascii="仿宋_GB2312" w:hAnsi="微软雅黑" w:eastAsia="仿宋_GB2312" w:cs="仿宋_GB2312"/>
          <w:i w:val="0"/>
          <w:iCs w:val="0"/>
          <w:caps w:val="0"/>
          <w:color w:val="000000"/>
          <w:spacing w:val="0"/>
          <w:sz w:val="32"/>
          <w:szCs w:val="32"/>
          <w:bdr w:val="none" w:color="auto" w:sz="0" w:space="0"/>
        </w:rPr>
        <w:t>商务局编制。全文包括总体情况、主动公开政府信息情况、收到和处理政府信息公开申请情况、因政府信息公开工作被申请行政复议和提起行政诉讼情况、政府信息公开工作存在的主要问题及改进情况和其他需要报告的事项。本年度报告中所列数据的统计期限自</w:t>
      </w:r>
      <w:r>
        <w:rPr>
          <w:rFonts w:hint="default" w:ascii="Times New Roman" w:hAnsi="Times New Roman" w:eastAsia="仿宋_GB2312" w:cs="Times New Roman"/>
          <w:i w:val="0"/>
          <w:iCs w:val="0"/>
          <w:caps w:val="0"/>
          <w:color w:val="000000"/>
          <w:spacing w:val="0"/>
          <w:sz w:val="32"/>
          <w:szCs w:val="32"/>
          <w:bdr w:val="none" w:color="auto" w:sz="0" w:space="0"/>
        </w:rPr>
        <w:t>2021</w:t>
      </w:r>
      <w:r>
        <w:rPr>
          <w:rFonts w:hint="eastAsia" w:ascii="仿宋_GB2312" w:hAnsi="微软雅黑" w:eastAsia="仿宋_GB2312" w:cs="仿宋_GB2312"/>
          <w:i w:val="0"/>
          <w:iCs w:val="0"/>
          <w:caps w:val="0"/>
          <w:color w:val="000000"/>
          <w:spacing w:val="0"/>
          <w:sz w:val="32"/>
          <w:szCs w:val="32"/>
          <w:bdr w:val="none" w:color="auto" w:sz="0" w:space="0"/>
        </w:rPr>
        <w:t>年</w:t>
      </w:r>
      <w:r>
        <w:rPr>
          <w:rFonts w:hint="eastAsia" w:ascii="Times New Roman" w:hAnsi="Times New Roman" w:eastAsia="仿宋_GB2312" w:cs="Times New Roman"/>
          <w:i w:val="0"/>
          <w:iCs w:val="0"/>
          <w:caps w:val="0"/>
          <w:color w:val="000000"/>
          <w:spacing w:val="0"/>
          <w:sz w:val="32"/>
          <w:szCs w:val="32"/>
        </w:rPr>
        <w:t>1</w:t>
      </w:r>
      <w:r>
        <w:rPr>
          <w:rFonts w:hint="eastAsia" w:ascii="仿宋_GB2312" w:hAnsi="微软雅黑" w:eastAsia="仿宋_GB2312" w:cs="仿宋_GB2312"/>
          <w:i w:val="0"/>
          <w:iCs w:val="0"/>
          <w:caps w:val="0"/>
          <w:color w:val="000000"/>
          <w:spacing w:val="0"/>
          <w:sz w:val="32"/>
          <w:szCs w:val="32"/>
          <w:bdr w:val="none" w:color="auto" w:sz="0" w:space="0"/>
        </w:rPr>
        <w:t>月</w:t>
      </w:r>
      <w:r>
        <w:rPr>
          <w:rFonts w:hint="eastAsia" w:ascii="Times New Roman" w:hAnsi="Times New Roman" w:eastAsia="仿宋_GB2312" w:cs="Times New Roman"/>
          <w:i w:val="0"/>
          <w:iCs w:val="0"/>
          <w:caps w:val="0"/>
          <w:color w:val="000000"/>
          <w:spacing w:val="0"/>
          <w:sz w:val="32"/>
          <w:szCs w:val="32"/>
        </w:rPr>
        <w:t>1</w:t>
      </w:r>
      <w:r>
        <w:rPr>
          <w:rFonts w:hint="eastAsia" w:ascii="仿宋_GB2312" w:hAnsi="微软雅黑" w:eastAsia="仿宋_GB2312" w:cs="仿宋_GB2312"/>
          <w:i w:val="0"/>
          <w:iCs w:val="0"/>
          <w:caps w:val="0"/>
          <w:color w:val="000000"/>
          <w:spacing w:val="0"/>
          <w:sz w:val="32"/>
          <w:szCs w:val="32"/>
          <w:bdr w:val="none" w:color="auto" w:sz="0" w:space="0"/>
        </w:rPr>
        <w:t>日起至</w:t>
      </w:r>
      <w:r>
        <w:rPr>
          <w:rFonts w:hint="eastAsia" w:ascii="Times New Roman" w:hAnsi="Times New Roman" w:eastAsia="仿宋_GB2312" w:cs="Times New Roman"/>
          <w:i w:val="0"/>
          <w:iCs w:val="0"/>
          <w:caps w:val="0"/>
          <w:color w:val="000000"/>
          <w:spacing w:val="0"/>
          <w:sz w:val="32"/>
          <w:szCs w:val="32"/>
        </w:rPr>
        <w:t>2021</w:t>
      </w:r>
      <w:r>
        <w:rPr>
          <w:rFonts w:hint="eastAsia" w:ascii="仿宋_GB2312" w:hAnsi="微软雅黑" w:eastAsia="仿宋_GB2312" w:cs="仿宋_GB2312"/>
          <w:i w:val="0"/>
          <w:iCs w:val="0"/>
          <w:caps w:val="0"/>
          <w:color w:val="000000"/>
          <w:spacing w:val="0"/>
          <w:sz w:val="32"/>
          <w:szCs w:val="32"/>
          <w:bdr w:val="none" w:color="auto" w:sz="0" w:space="0"/>
        </w:rPr>
        <w:t>年</w:t>
      </w:r>
      <w:r>
        <w:rPr>
          <w:rFonts w:hint="eastAsia" w:ascii="Times New Roman" w:hAnsi="Times New Roman" w:eastAsia="仿宋_GB2312" w:cs="Times New Roman"/>
          <w:i w:val="0"/>
          <w:iCs w:val="0"/>
          <w:caps w:val="0"/>
          <w:color w:val="000000"/>
          <w:spacing w:val="0"/>
          <w:sz w:val="32"/>
          <w:szCs w:val="32"/>
        </w:rPr>
        <w:t>12</w:t>
      </w:r>
      <w:r>
        <w:rPr>
          <w:rFonts w:hint="eastAsia" w:ascii="仿宋_GB2312" w:hAnsi="微软雅黑" w:eastAsia="仿宋_GB2312" w:cs="仿宋_GB2312"/>
          <w:i w:val="0"/>
          <w:iCs w:val="0"/>
          <w:caps w:val="0"/>
          <w:color w:val="000000"/>
          <w:spacing w:val="0"/>
          <w:sz w:val="32"/>
          <w:szCs w:val="32"/>
          <w:bdr w:val="none" w:color="auto" w:sz="0" w:space="0"/>
        </w:rPr>
        <w:t>月</w:t>
      </w:r>
      <w:r>
        <w:rPr>
          <w:rFonts w:hint="eastAsia" w:ascii="Times New Roman" w:hAnsi="Times New Roman" w:eastAsia="仿宋_GB2312" w:cs="Times New Roman"/>
          <w:i w:val="0"/>
          <w:iCs w:val="0"/>
          <w:caps w:val="0"/>
          <w:color w:val="000000"/>
          <w:spacing w:val="0"/>
          <w:sz w:val="32"/>
          <w:szCs w:val="32"/>
        </w:rPr>
        <w:t>31</w:t>
      </w:r>
      <w:r>
        <w:rPr>
          <w:rFonts w:hint="eastAsia" w:ascii="仿宋_GB2312" w:hAnsi="微软雅黑" w:eastAsia="仿宋_GB2312" w:cs="仿宋_GB2312"/>
          <w:i w:val="0"/>
          <w:iCs w:val="0"/>
          <w:caps w:val="0"/>
          <w:color w:val="000000"/>
          <w:spacing w:val="0"/>
          <w:sz w:val="32"/>
          <w:szCs w:val="32"/>
          <w:bdr w:val="none" w:color="auto" w:sz="0" w:space="0"/>
        </w:rPr>
        <w:t>日止。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eastAsia" w:ascii="微软雅黑" w:hAnsi="微软雅黑" w:eastAsia="微软雅黑" w:cs="微软雅黑"/>
          <w:i w:val="0"/>
          <w:iCs w:val="0"/>
          <w:caps w:val="0"/>
          <w:color w:val="000000"/>
          <w:spacing w:val="0"/>
          <w:sz w:val="24"/>
          <w:szCs w:val="24"/>
        </w:rPr>
      </w:pPr>
      <w:r>
        <w:rPr>
          <w:rStyle w:val="7"/>
          <w:rFonts w:ascii="楷体" w:hAnsi="楷体" w:eastAsia="楷体" w:cs="楷体"/>
          <w:b/>
          <w:bCs/>
          <w:i w:val="0"/>
          <w:iCs w:val="0"/>
          <w:caps w:val="0"/>
          <w:color w:val="000000"/>
          <w:spacing w:val="0"/>
          <w:sz w:val="32"/>
          <w:szCs w:val="32"/>
          <w:bdr w:val="none" w:color="auto" w:sz="0" w:space="0"/>
        </w:rPr>
        <w:t>（一）主动公开情况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bookmarkStart w:id="0" w:name="_GoBack"/>
      <w:r>
        <w:rPr>
          <w:rFonts w:hint="eastAsia" w:ascii="Times New Roman" w:hAnsi="Times New Roman" w:eastAsia="仿宋_GB2312" w:cs="Times New Roman"/>
          <w:i w:val="0"/>
          <w:iCs w:val="0"/>
          <w:caps w:val="0"/>
          <w:color w:val="000000"/>
          <w:spacing w:val="0"/>
          <w:sz w:val="32"/>
          <w:szCs w:val="32"/>
        </w:rPr>
        <w:t>2021</w:t>
      </w:r>
      <w:bookmarkEnd w:id="0"/>
      <w:r>
        <w:rPr>
          <w:rFonts w:hint="eastAsia" w:ascii="仿宋_GB2312" w:hAnsi="微软雅黑" w:eastAsia="仿宋_GB2312" w:cs="仿宋_GB2312"/>
          <w:i w:val="0"/>
          <w:iCs w:val="0"/>
          <w:caps w:val="0"/>
          <w:color w:val="000000"/>
          <w:spacing w:val="0"/>
          <w:sz w:val="32"/>
          <w:szCs w:val="32"/>
          <w:bdr w:val="none" w:color="auto" w:sz="0" w:space="0"/>
        </w:rPr>
        <w:t>年度，淄博经济开发区商务局严格按照《中华人民共和国政府信息公开条例》要求做好政府信息公开工作，坚持以公开为常态、不公开为例外，积极、有序、稳妥推进政府信息公开工作，公开内容和时效均符合《中华人民共和国政府信息公开条例》规定。全年主动公开条目</w:t>
      </w:r>
      <w:r>
        <w:rPr>
          <w:rFonts w:hint="default" w:ascii="Times New Roman" w:hAnsi="Times New Roman" w:eastAsia="仿宋_GB2312" w:cs="Times New Roman"/>
          <w:i w:val="0"/>
          <w:iCs w:val="0"/>
          <w:caps w:val="0"/>
          <w:color w:val="000000"/>
          <w:spacing w:val="0"/>
          <w:sz w:val="32"/>
          <w:szCs w:val="32"/>
          <w:bdr w:val="none" w:color="auto" w:sz="0" w:space="0"/>
        </w:rPr>
        <w:t>26</w:t>
      </w:r>
      <w:r>
        <w:rPr>
          <w:rFonts w:hint="eastAsia" w:ascii="仿宋_GB2312" w:hAnsi="微软雅黑" w:eastAsia="仿宋_GB2312" w:cs="仿宋_GB2312"/>
          <w:i w:val="0"/>
          <w:iCs w:val="0"/>
          <w:caps w:val="0"/>
          <w:color w:val="000000"/>
          <w:spacing w:val="0"/>
          <w:sz w:val="32"/>
          <w:szCs w:val="32"/>
          <w:bdr w:val="none" w:color="auto" w:sz="0" w:space="0"/>
        </w:rPr>
        <w:t>条，做到应公开尽公开。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eastAsia" w:ascii="微软雅黑" w:hAnsi="微软雅黑" w:eastAsia="微软雅黑" w:cs="微软雅黑"/>
          <w:i w:val="0"/>
          <w:iCs w:val="0"/>
          <w:caps w:val="0"/>
          <w:color w:val="000000"/>
          <w:spacing w:val="0"/>
          <w:sz w:val="24"/>
          <w:szCs w:val="24"/>
        </w:rPr>
      </w:pPr>
      <w:r>
        <w:rPr>
          <w:rStyle w:val="7"/>
          <w:rFonts w:hint="eastAsia" w:ascii="楷体" w:hAnsi="楷体" w:eastAsia="楷体" w:cs="楷体"/>
          <w:b/>
          <w:bCs/>
          <w:i w:val="0"/>
          <w:iCs w:val="0"/>
          <w:caps w:val="0"/>
          <w:color w:val="000000"/>
          <w:spacing w:val="0"/>
          <w:sz w:val="32"/>
          <w:szCs w:val="32"/>
          <w:bdr w:val="none" w:color="auto" w:sz="0" w:space="0"/>
        </w:rPr>
        <w:t>（二）依申请公开情况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Times New Roman" w:hAnsi="Times New Roman" w:eastAsia="仿宋_GB2312" w:cs="Times New Roman"/>
          <w:i w:val="0"/>
          <w:iCs w:val="0"/>
          <w:caps w:val="0"/>
          <w:color w:val="000000"/>
          <w:spacing w:val="0"/>
          <w:sz w:val="32"/>
          <w:szCs w:val="32"/>
        </w:rPr>
        <w:t>2021</w:t>
      </w:r>
      <w:r>
        <w:rPr>
          <w:rFonts w:hint="eastAsia" w:ascii="仿宋_GB2312" w:hAnsi="微软雅黑" w:eastAsia="仿宋_GB2312" w:cs="仿宋_GB2312"/>
          <w:i w:val="0"/>
          <w:iCs w:val="0"/>
          <w:caps w:val="0"/>
          <w:color w:val="000000"/>
          <w:spacing w:val="0"/>
          <w:sz w:val="32"/>
          <w:szCs w:val="32"/>
          <w:bdr w:val="none" w:color="auto" w:sz="0" w:space="0"/>
        </w:rPr>
        <w:t>年度，我局全年未受理依申请公开。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eastAsia" w:ascii="微软雅黑" w:hAnsi="微软雅黑" w:eastAsia="微软雅黑" w:cs="微软雅黑"/>
          <w:i w:val="0"/>
          <w:iCs w:val="0"/>
          <w:caps w:val="0"/>
          <w:color w:val="000000"/>
          <w:spacing w:val="0"/>
          <w:sz w:val="24"/>
          <w:szCs w:val="24"/>
        </w:rPr>
      </w:pPr>
      <w:r>
        <w:rPr>
          <w:rStyle w:val="7"/>
          <w:rFonts w:hint="eastAsia" w:ascii="楷体" w:hAnsi="楷体" w:eastAsia="楷体" w:cs="楷体"/>
          <w:b/>
          <w:bCs/>
          <w:i w:val="0"/>
          <w:iCs w:val="0"/>
          <w:caps w:val="0"/>
          <w:color w:val="000000"/>
          <w:spacing w:val="0"/>
          <w:sz w:val="32"/>
          <w:szCs w:val="32"/>
          <w:bdr w:val="none" w:color="auto" w:sz="0" w:space="0"/>
        </w:rPr>
        <w:t>（三）政府信息管理方面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rPr>
        <w:t>建立健全政府信息审查发布机制，对拟在“淄博经济开发区”管委会网站公开的政府信息进行审核，确保公开信息依法、及时、全面、准确和合理。提高信息管理质量，完善政府信息公开动态管理机制，对于我局制发的部门文件等重要政府信息，集中统一对外公开并动态调整更新，同时，做好各类政策文件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eastAsia" w:ascii="微软雅黑" w:hAnsi="微软雅黑" w:eastAsia="微软雅黑" w:cs="微软雅黑"/>
          <w:i w:val="0"/>
          <w:iCs w:val="0"/>
          <w:caps w:val="0"/>
          <w:color w:val="000000"/>
          <w:spacing w:val="0"/>
          <w:sz w:val="24"/>
          <w:szCs w:val="24"/>
        </w:rPr>
      </w:pPr>
      <w:r>
        <w:rPr>
          <w:rStyle w:val="7"/>
          <w:rFonts w:hint="eastAsia" w:ascii="楷体" w:hAnsi="楷体" w:eastAsia="楷体" w:cs="楷体"/>
          <w:b/>
          <w:bCs/>
          <w:i w:val="0"/>
          <w:iCs w:val="0"/>
          <w:caps w:val="0"/>
          <w:color w:val="000000"/>
          <w:spacing w:val="0"/>
          <w:sz w:val="32"/>
          <w:szCs w:val="32"/>
          <w:bdr w:val="none" w:color="auto" w:sz="0" w:space="0"/>
        </w:rPr>
        <w:t>（四）政府信息公开平台建设方面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rPr>
        <w:t>我局积极加强政务信息公开平台化建设，依托经开区政府官网、微信公众号等做好政务公开工作。结合工作实际及区管委办公室制定的信息公开目录，及时完成政府网站有关我局内容的维护工作，并及时发布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eastAsia" w:ascii="微软雅黑" w:hAnsi="微软雅黑" w:eastAsia="微软雅黑" w:cs="微软雅黑"/>
          <w:i w:val="0"/>
          <w:iCs w:val="0"/>
          <w:caps w:val="0"/>
          <w:color w:val="000000"/>
          <w:spacing w:val="0"/>
          <w:sz w:val="24"/>
          <w:szCs w:val="24"/>
        </w:rPr>
      </w:pPr>
      <w:r>
        <w:rPr>
          <w:rStyle w:val="7"/>
          <w:rFonts w:hint="eastAsia" w:ascii="楷体" w:hAnsi="楷体" w:eastAsia="楷体" w:cs="楷体"/>
          <w:b/>
          <w:bCs/>
          <w:i w:val="0"/>
          <w:iCs w:val="0"/>
          <w:caps w:val="0"/>
          <w:color w:val="000000"/>
          <w:spacing w:val="0"/>
          <w:sz w:val="32"/>
          <w:szCs w:val="32"/>
          <w:bdr w:val="none" w:color="auto" w:sz="0" w:space="0"/>
        </w:rPr>
        <w:t>（五）监督保障方面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lang w:val="en-US" w:eastAsia="zh-CN"/>
        </w:rPr>
      </w:pPr>
      <w:r>
        <w:rPr>
          <w:rFonts w:hint="eastAsia" w:ascii="仿宋_GB2312" w:hAnsi="微软雅黑" w:eastAsia="仿宋_GB2312" w:cs="仿宋_GB2312"/>
          <w:i w:val="0"/>
          <w:iCs w:val="0"/>
          <w:caps w:val="0"/>
          <w:color w:val="000000"/>
          <w:spacing w:val="0"/>
          <w:sz w:val="32"/>
          <w:szCs w:val="32"/>
          <w:bdr w:val="none" w:color="auto" w:sz="0" w:space="0"/>
        </w:rPr>
        <w:t>我局安排专人负责政府信息公开工作，对照《条例》要求，完善信息公开制度，明确政府信息公开工作规程，积极参加区管委办公室组织的政府信息公开工作培训会议，切实落实政府信息公开相关任务。</w:t>
      </w:r>
    </w:p>
    <w:p>
      <w:pPr>
        <w:numPr>
          <w:numId w:val="0"/>
        </w:numPr>
        <w:ind w:leftChars="0" w:firstLine="640" w:firstLineChars="200"/>
        <w:jc w:val="left"/>
        <w:rPr>
          <w:rFonts w:hint="eastAsia" w:ascii="Times New Roman" w:hAnsi="Times New Roman" w:eastAsia="仿宋_GB2312" w:cs="Times New Roman"/>
          <w:color w:val="000000"/>
          <w:kern w:val="0"/>
          <w:sz w:val="31"/>
          <w:szCs w:val="31"/>
          <w:lang w:val="en-US" w:eastAsia="zh-CN" w:bidi="ar"/>
        </w:rPr>
      </w:pPr>
      <w:r>
        <w:rPr>
          <w:rFonts w:hint="eastAsia" w:ascii="黑体" w:hAnsi="黑体" w:eastAsia="黑体" w:cs="黑体"/>
          <w:b w:val="0"/>
          <w:bCs w:val="0"/>
          <w:sz w:val="32"/>
          <w:szCs w:val="32"/>
          <w:lang w:val="en-US" w:eastAsia="zh-CN"/>
        </w:rPr>
        <w:t>二、主动公开政府信息情况</w:t>
      </w:r>
    </w:p>
    <w:tbl>
      <w:tblPr>
        <w:tblStyle w:val="5"/>
        <w:tblW w:w="916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60"/>
        <w:gridCol w:w="2406"/>
        <w:gridCol w:w="2130"/>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7" w:hRule="atLeast"/>
        </w:trPr>
        <w:tc>
          <w:tcPr>
            <w:tcW w:w="9165" w:type="dxa"/>
            <w:gridSpan w:val="4"/>
            <w:shd w:val="clear" w:color="auto" w:fill="auto"/>
            <w:vAlign w:val="center"/>
          </w:tcPr>
          <w:p>
            <w:pPr>
              <w:numPr>
                <w:ilvl w:val="0"/>
                <w:numId w:val="0"/>
              </w:numPr>
              <w:jc w:val="center"/>
              <w:rPr>
                <w:rFonts w:hint="default" w:ascii="黑体" w:hAnsi="黑体" w:eastAsia="黑体" w:cs="黑体"/>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shd w:val="clear" w:color="auto" w:fill="auto"/>
            <w:vAlign w:val="top"/>
          </w:tcPr>
          <w:p>
            <w:pPr>
              <w:numPr>
                <w:ilvl w:val="0"/>
                <w:numId w:val="0"/>
              </w:numPr>
              <w:jc w:val="both"/>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信息内容</w:t>
            </w:r>
          </w:p>
        </w:tc>
        <w:tc>
          <w:tcPr>
            <w:tcW w:w="2406" w:type="dxa"/>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本年制发件数</w:t>
            </w:r>
          </w:p>
        </w:tc>
        <w:tc>
          <w:tcPr>
            <w:tcW w:w="213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本年废止件数</w:t>
            </w:r>
          </w:p>
        </w:tc>
        <w:tc>
          <w:tcPr>
            <w:tcW w:w="2469"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shd w:val="clear" w:color="auto" w:fill="auto"/>
            <w:vAlign w:val="center"/>
          </w:tcPr>
          <w:p>
            <w:pPr>
              <w:numPr>
                <w:ilvl w:val="0"/>
                <w:numId w:val="0"/>
              </w:numPr>
              <w:jc w:val="both"/>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规章</w:t>
            </w:r>
          </w:p>
        </w:tc>
        <w:tc>
          <w:tcPr>
            <w:tcW w:w="2406" w:type="dxa"/>
            <w:shd w:val="clear" w:color="auto" w:fill="auto"/>
            <w:vAlign w:val="center"/>
          </w:tcPr>
          <w:p>
            <w:pPr>
              <w:numPr>
                <w:ilvl w:val="0"/>
                <w:numId w:val="0"/>
              </w:num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130"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469"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60" w:type="dxa"/>
            <w:shd w:val="clear" w:color="auto" w:fill="auto"/>
            <w:vAlign w:val="center"/>
          </w:tcPr>
          <w:p>
            <w:pPr>
              <w:numPr>
                <w:ilvl w:val="0"/>
                <w:numId w:val="0"/>
              </w:numPr>
              <w:jc w:val="both"/>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行政规范性文件</w:t>
            </w:r>
          </w:p>
        </w:tc>
        <w:tc>
          <w:tcPr>
            <w:tcW w:w="2406" w:type="dxa"/>
            <w:shd w:val="clear" w:color="auto" w:fill="auto"/>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2130" w:type="dxa"/>
            <w:shd w:val="clear" w:color="auto" w:fill="auto"/>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2469" w:type="dxa"/>
            <w:shd w:val="clear" w:color="auto" w:fill="auto"/>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165" w:type="dxa"/>
            <w:gridSpan w:val="4"/>
            <w:shd w:val="clear" w:color="auto" w:fill="auto"/>
            <w:vAlign w:val="center"/>
          </w:tcPr>
          <w:p>
            <w:pPr>
              <w:numPr>
                <w:ilvl w:val="0"/>
                <w:numId w:val="0"/>
              </w:numPr>
              <w:jc w:val="center"/>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行政许可</w:t>
            </w:r>
          </w:p>
        </w:tc>
        <w:tc>
          <w:tcPr>
            <w:tcW w:w="7005" w:type="dxa"/>
            <w:gridSpan w:val="3"/>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165" w:type="dxa"/>
            <w:gridSpan w:val="4"/>
            <w:shd w:val="clear" w:color="auto" w:fill="auto"/>
            <w:vAlign w:val="center"/>
          </w:tcPr>
          <w:p>
            <w:pPr>
              <w:numPr>
                <w:ilvl w:val="0"/>
                <w:numId w:val="0"/>
              </w:numPr>
              <w:jc w:val="center"/>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shd w:val="clear" w:color="auto" w:fill="auto"/>
            <w:vAlign w:val="center"/>
          </w:tcPr>
          <w:p>
            <w:pPr>
              <w:numPr>
                <w:ilvl w:val="0"/>
                <w:numId w:val="0"/>
              </w:numPr>
              <w:jc w:val="left"/>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行政处罚</w:t>
            </w:r>
          </w:p>
        </w:tc>
        <w:tc>
          <w:tcPr>
            <w:tcW w:w="7005" w:type="dxa"/>
            <w:gridSpan w:val="3"/>
            <w:shd w:val="clear" w:color="auto" w:fill="auto"/>
            <w:vAlign w:val="center"/>
          </w:tcPr>
          <w:p>
            <w:pPr>
              <w:numPr>
                <w:ilvl w:val="0"/>
                <w:numId w:val="0"/>
              </w:num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行政强制</w:t>
            </w:r>
          </w:p>
        </w:tc>
        <w:tc>
          <w:tcPr>
            <w:tcW w:w="7005" w:type="dxa"/>
            <w:gridSpan w:val="3"/>
            <w:shd w:val="clear" w:color="auto" w:fill="auto"/>
            <w:vAlign w:val="center"/>
          </w:tcPr>
          <w:p>
            <w:pPr>
              <w:numPr>
                <w:ilvl w:val="0"/>
                <w:numId w:val="0"/>
              </w:num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165" w:type="dxa"/>
            <w:gridSpan w:val="4"/>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行政事业性收费</w:t>
            </w:r>
          </w:p>
        </w:tc>
        <w:tc>
          <w:tcPr>
            <w:tcW w:w="7005" w:type="dxa"/>
            <w:gridSpan w:val="3"/>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0</w:t>
            </w:r>
          </w:p>
        </w:tc>
      </w:tr>
    </w:tbl>
    <w:p/>
    <w:p/>
    <w:p/>
    <w:p>
      <w:pPr>
        <w:numPr>
          <w:numId w:val="0"/>
        </w:numPr>
        <w:ind w:leftChars="0" w:firstLine="320" w:firstLineChars="100"/>
        <w:jc w:val="left"/>
      </w:pPr>
      <w:r>
        <w:rPr>
          <w:rFonts w:hint="eastAsia" w:ascii="黑体" w:hAnsi="黑体" w:eastAsia="黑体" w:cs="黑体"/>
          <w:b w:val="0"/>
          <w:bCs w:val="0"/>
          <w:sz w:val="32"/>
          <w:szCs w:val="32"/>
          <w:lang w:val="en-US" w:eastAsia="zh-CN"/>
        </w:rPr>
        <w:t>三、收到和处理政府信息公开申请情况</w:t>
      </w:r>
    </w:p>
    <w:p/>
    <w:tbl>
      <w:tblPr>
        <w:tblStyle w:val="5"/>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425"/>
        <w:gridCol w:w="2580"/>
        <w:gridCol w:w="825"/>
        <w:gridCol w:w="705"/>
        <w:gridCol w:w="680"/>
        <w:gridCol w:w="711"/>
        <w:gridCol w:w="644"/>
        <w:gridCol w:w="74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28" w:type="dxa"/>
            <w:gridSpan w:val="3"/>
            <w:vMerge w:val="restart"/>
            <w:vAlign w:val="center"/>
          </w:tcPr>
          <w:p>
            <w:pPr>
              <w:numPr>
                <w:ilvl w:val="0"/>
                <w:numId w:val="0"/>
              </w:numPr>
              <w:ind w:leftChars="0"/>
              <w:jc w:val="center"/>
              <w:rPr>
                <w:rFonts w:hint="default" w:ascii="黑体" w:hAnsi="黑体" w:eastAsia="黑体" w:cs="黑体"/>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w:t>
            </w:r>
            <w:r>
              <w:rPr>
                <w:rFonts w:hint="eastAsia" w:ascii="楷体" w:hAnsi="楷体" w:eastAsia="楷体" w:cs="楷体"/>
                <w:b w:val="0"/>
                <w:bCs w:val="0"/>
                <w:sz w:val="21"/>
                <w:szCs w:val="21"/>
                <w:lang w:val="en-US" w:eastAsia="zh-CN"/>
              </w:rPr>
              <w:t>本列数据的勾稽关系为：第一项加第二项之和，等于第三项加第四项之和</w:t>
            </w:r>
            <w:r>
              <w:rPr>
                <w:rFonts w:hint="eastAsia" w:asciiTheme="minorEastAsia" w:hAnsiTheme="minorEastAsia" w:eastAsiaTheme="minorEastAsia" w:cstheme="minorEastAsia"/>
                <w:b w:val="0"/>
                <w:bCs w:val="0"/>
                <w:sz w:val="18"/>
                <w:szCs w:val="18"/>
                <w:vertAlign w:val="baseline"/>
                <w:lang w:val="en-US" w:eastAsia="zh-CN"/>
              </w:rPr>
              <w:t>）</w:t>
            </w:r>
          </w:p>
        </w:tc>
        <w:tc>
          <w:tcPr>
            <w:tcW w:w="5091" w:type="dxa"/>
            <w:gridSpan w:val="7"/>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28" w:type="dxa"/>
            <w:gridSpan w:val="3"/>
            <w:vMerge w:val="continue"/>
            <w:vAlign w:val="center"/>
          </w:tcPr>
          <w:p>
            <w:pPr>
              <w:jc w:val="center"/>
              <w:rPr>
                <w:sz w:val="18"/>
                <w:szCs w:val="18"/>
              </w:rPr>
            </w:pPr>
          </w:p>
        </w:tc>
        <w:tc>
          <w:tcPr>
            <w:tcW w:w="825"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自然人</w:t>
            </w:r>
          </w:p>
        </w:tc>
        <w:tc>
          <w:tcPr>
            <w:tcW w:w="3489" w:type="dxa"/>
            <w:gridSpan w:val="5"/>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法人或其他组织</w:t>
            </w:r>
          </w:p>
        </w:tc>
        <w:tc>
          <w:tcPr>
            <w:tcW w:w="777"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328" w:type="dxa"/>
            <w:gridSpan w:val="3"/>
            <w:vMerge w:val="continue"/>
            <w:vAlign w:val="center"/>
          </w:tcPr>
          <w:p>
            <w:pPr>
              <w:jc w:val="center"/>
              <w:rPr>
                <w:sz w:val="18"/>
                <w:szCs w:val="18"/>
              </w:rPr>
            </w:pPr>
          </w:p>
        </w:tc>
        <w:tc>
          <w:tcPr>
            <w:tcW w:w="825" w:type="dxa"/>
            <w:vMerge w:val="continue"/>
            <w:vAlign w:val="center"/>
          </w:tcPr>
          <w:p>
            <w:pPr>
              <w:jc w:val="center"/>
              <w:rPr>
                <w:sz w:val="18"/>
                <w:szCs w:val="18"/>
              </w:rPr>
            </w:pPr>
          </w:p>
        </w:tc>
        <w:tc>
          <w:tcPr>
            <w:tcW w:w="705"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商业企业</w:t>
            </w:r>
          </w:p>
        </w:tc>
        <w:tc>
          <w:tcPr>
            <w:tcW w:w="680"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科研机构</w:t>
            </w:r>
          </w:p>
        </w:tc>
        <w:tc>
          <w:tcPr>
            <w:tcW w:w="711"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社会公益组织</w:t>
            </w:r>
          </w:p>
        </w:tc>
        <w:tc>
          <w:tcPr>
            <w:tcW w:w="644"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法律服务机构</w:t>
            </w:r>
          </w:p>
        </w:tc>
        <w:tc>
          <w:tcPr>
            <w:tcW w:w="749"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w:t>
            </w:r>
          </w:p>
        </w:tc>
        <w:tc>
          <w:tcPr>
            <w:tcW w:w="777" w:type="dxa"/>
            <w:vMerge w:val="continue"/>
            <w:vAlign w:val="center"/>
          </w:tcPr>
          <w:p>
            <w:pPr>
              <w:jc w:val="center"/>
              <w:rPr>
                <w:rFonts w:hint="eastAsia" w:asciiTheme="minorEastAsia" w:hAnsiTheme="minorEastAsia" w:eastAsiaTheme="minorEastAsia" w:cstheme="minor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328" w:type="dxa"/>
            <w:gridSpan w:val="3"/>
            <w:vAlign w:val="top"/>
          </w:tcPr>
          <w:p>
            <w:pPr>
              <w:jc w:val="both"/>
              <w:rPr>
                <w:rFonts w:hint="default" w:eastAsiaTheme="minorEastAsia"/>
                <w:sz w:val="18"/>
                <w:szCs w:val="18"/>
                <w:lang w:val="en-US" w:eastAsia="zh-CN"/>
              </w:rPr>
            </w:pPr>
            <w:r>
              <w:rPr>
                <w:rFonts w:hint="eastAsia"/>
                <w:sz w:val="18"/>
                <w:szCs w:val="18"/>
                <w:lang w:val="en-US" w:eastAsia="zh-CN"/>
              </w:rPr>
              <w:t>一、本年新收政府信息公开申请数量</w:t>
            </w:r>
          </w:p>
        </w:tc>
        <w:tc>
          <w:tcPr>
            <w:tcW w:w="825"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328" w:type="dxa"/>
            <w:gridSpan w:val="3"/>
            <w:vAlign w:val="top"/>
          </w:tcPr>
          <w:p>
            <w:pPr>
              <w:jc w:val="both"/>
              <w:rPr>
                <w:rFonts w:hint="default"/>
                <w:sz w:val="18"/>
                <w:szCs w:val="18"/>
                <w:lang w:val="en-US" w:eastAsia="zh-CN"/>
              </w:rPr>
            </w:pPr>
            <w:r>
              <w:rPr>
                <w:rFonts w:hint="eastAsia"/>
                <w:sz w:val="18"/>
                <w:szCs w:val="18"/>
                <w:lang w:val="en-US" w:eastAsia="zh-CN"/>
              </w:rPr>
              <w:t>二、上年结转政府信息公开申请数量</w:t>
            </w:r>
          </w:p>
        </w:tc>
        <w:tc>
          <w:tcPr>
            <w:tcW w:w="825"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3" w:type="dxa"/>
            <w:vMerge w:val="restart"/>
            <w:vAlign w:val="center"/>
          </w:tcPr>
          <w:p>
            <w:pPr>
              <w:jc w:val="center"/>
              <w:rPr>
                <w:rFonts w:hint="default"/>
                <w:sz w:val="18"/>
                <w:szCs w:val="18"/>
                <w:lang w:val="en-US" w:eastAsia="zh-CN"/>
              </w:rPr>
            </w:pPr>
            <w:r>
              <w:rPr>
                <w:rFonts w:hint="eastAsia"/>
                <w:sz w:val="18"/>
                <w:szCs w:val="18"/>
                <w:lang w:val="en-US" w:eastAsia="zh-CN"/>
              </w:rPr>
              <w:t>三、本年度办理结果</w:t>
            </w:r>
          </w:p>
        </w:tc>
        <w:tc>
          <w:tcPr>
            <w:tcW w:w="4005" w:type="dxa"/>
            <w:gridSpan w:val="2"/>
            <w:vAlign w:val="top"/>
          </w:tcPr>
          <w:p>
            <w:pPr>
              <w:jc w:val="both"/>
              <w:rPr>
                <w:rFonts w:hint="default"/>
                <w:sz w:val="18"/>
                <w:szCs w:val="18"/>
                <w:lang w:val="en-US" w:eastAsia="zh-CN"/>
              </w:rPr>
            </w:pPr>
            <w:r>
              <w:rPr>
                <w:rFonts w:hint="eastAsia"/>
                <w:sz w:val="18"/>
                <w:szCs w:val="18"/>
                <w:lang w:val="en-US" w:eastAsia="zh-CN"/>
              </w:rPr>
              <w:t>（一）予以公开</w:t>
            </w:r>
          </w:p>
        </w:tc>
        <w:tc>
          <w:tcPr>
            <w:tcW w:w="825"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3" w:type="dxa"/>
            <w:vMerge w:val="continue"/>
            <w:vAlign w:val="center"/>
          </w:tcPr>
          <w:p>
            <w:pPr>
              <w:jc w:val="center"/>
              <w:rPr>
                <w:sz w:val="18"/>
                <w:szCs w:val="18"/>
              </w:rPr>
            </w:pPr>
          </w:p>
        </w:tc>
        <w:tc>
          <w:tcPr>
            <w:tcW w:w="4005" w:type="dxa"/>
            <w:gridSpan w:val="2"/>
            <w:vAlign w:val="top"/>
          </w:tcPr>
          <w:p>
            <w:pPr>
              <w:jc w:val="both"/>
              <w:rPr>
                <w:rFonts w:hint="default"/>
                <w:sz w:val="18"/>
                <w:szCs w:val="18"/>
                <w:lang w:val="en-US" w:eastAsia="zh-CN"/>
              </w:rPr>
            </w:pPr>
            <w:r>
              <w:rPr>
                <w:rFonts w:hint="eastAsia"/>
                <w:sz w:val="18"/>
                <w:szCs w:val="18"/>
                <w:lang w:val="en-US" w:eastAsia="zh-CN"/>
              </w:rPr>
              <w:t>（二）部分公开（</w:t>
            </w:r>
            <w:r>
              <w:rPr>
                <w:rFonts w:hint="eastAsia" w:ascii="楷体" w:hAnsi="楷体" w:eastAsia="楷体" w:cs="楷体"/>
                <w:b/>
                <w:bCs/>
                <w:sz w:val="21"/>
                <w:szCs w:val="21"/>
                <w:lang w:val="en-US" w:eastAsia="zh-CN"/>
              </w:rPr>
              <w:t>区分处理的，只记这一情形，不计其他情形</w:t>
            </w:r>
            <w:r>
              <w:rPr>
                <w:rFonts w:hint="eastAsia"/>
                <w:sz w:val="18"/>
                <w:szCs w:val="18"/>
                <w:lang w:val="en-US" w:eastAsia="zh-CN"/>
              </w:rPr>
              <w:t>）</w:t>
            </w:r>
          </w:p>
        </w:tc>
        <w:tc>
          <w:tcPr>
            <w:tcW w:w="825"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（三）不予公开</w:t>
            </w:r>
          </w:p>
        </w:tc>
        <w:tc>
          <w:tcPr>
            <w:tcW w:w="2580" w:type="dxa"/>
            <w:vAlign w:val="center"/>
          </w:tcPr>
          <w:p>
            <w:pPr>
              <w:jc w:val="left"/>
              <w:rPr>
                <w:rFonts w:hint="default"/>
                <w:sz w:val="18"/>
                <w:szCs w:val="18"/>
                <w:lang w:val="en-US" w:eastAsia="zh-CN"/>
              </w:rPr>
            </w:pPr>
            <w:r>
              <w:rPr>
                <w:rFonts w:hint="eastAsia"/>
                <w:sz w:val="18"/>
                <w:szCs w:val="18"/>
                <w:lang w:val="en-US" w:eastAsia="zh-CN"/>
              </w:rPr>
              <w:t>1.属于国家机密</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rFonts w:hint="default"/>
                <w:sz w:val="18"/>
                <w:szCs w:val="18"/>
                <w:lang w:val="en-US" w:eastAsia="zh-CN"/>
              </w:rPr>
            </w:pPr>
            <w:r>
              <w:rPr>
                <w:rFonts w:hint="eastAsia"/>
                <w:sz w:val="18"/>
                <w:szCs w:val="18"/>
                <w:lang w:val="en-US" w:eastAsia="zh-CN"/>
              </w:rPr>
              <w:t>2.其他法律行政法规禁止公开</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3.危及“三安全一稳定”</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4.保护第三方合法权益</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5.属于三类内部事务信息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6.属于四类过程性信息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7.属于行政执法案卷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8.属于行政查询事项</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（四）无法提供</w:t>
            </w:r>
          </w:p>
        </w:tc>
        <w:tc>
          <w:tcPr>
            <w:tcW w:w="2580" w:type="dxa"/>
            <w:vAlign w:val="center"/>
          </w:tcPr>
          <w:p>
            <w:pPr>
              <w:jc w:val="left"/>
              <w:rPr>
                <w:rFonts w:hint="default"/>
                <w:sz w:val="18"/>
                <w:szCs w:val="18"/>
                <w:lang w:val="en-US" w:eastAsia="zh-CN"/>
              </w:rPr>
            </w:pPr>
            <w:r>
              <w:rPr>
                <w:rFonts w:hint="eastAsia"/>
                <w:sz w:val="18"/>
                <w:szCs w:val="18"/>
                <w:lang w:val="en-US" w:eastAsia="zh-CN"/>
              </w:rPr>
              <w:t>1.本机关不掌握相关政府信息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2.没有现成信息需要另行制作</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3.补正后申请内容仍不明确</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（五）不予处理</w:t>
            </w:r>
          </w:p>
        </w:tc>
        <w:tc>
          <w:tcPr>
            <w:tcW w:w="2580" w:type="dxa"/>
            <w:vAlign w:val="center"/>
          </w:tcPr>
          <w:p>
            <w:pPr>
              <w:jc w:val="left"/>
              <w:rPr>
                <w:rFonts w:hint="default"/>
                <w:sz w:val="18"/>
                <w:szCs w:val="18"/>
                <w:lang w:val="en-US" w:eastAsia="zh-CN"/>
              </w:rPr>
            </w:pPr>
            <w:r>
              <w:rPr>
                <w:rFonts w:hint="eastAsia"/>
                <w:sz w:val="18"/>
                <w:szCs w:val="18"/>
                <w:lang w:val="en-US" w:eastAsia="zh-CN"/>
              </w:rPr>
              <w:t>1.信访举报投诉类申请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2.重复申请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3.要求提供公开出版物</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4.无正当理由大量反复申请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5.要求行政机关确认或重新出具已获取信息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（六）其他处理</w:t>
            </w:r>
          </w:p>
        </w:tc>
        <w:tc>
          <w:tcPr>
            <w:tcW w:w="2580" w:type="dxa"/>
            <w:vAlign w:val="center"/>
          </w:tcPr>
          <w:p>
            <w:pPr>
              <w:jc w:val="left"/>
              <w:rPr>
                <w:rFonts w:hint="default"/>
                <w:sz w:val="18"/>
                <w:szCs w:val="18"/>
                <w:lang w:val="en-US" w:eastAsia="zh-CN"/>
              </w:rPr>
            </w:pPr>
            <w:r>
              <w:rPr>
                <w:rFonts w:hint="eastAsia"/>
                <w:sz w:val="18"/>
                <w:szCs w:val="18"/>
                <w:lang w:val="en-US" w:eastAsia="zh-CN"/>
              </w:rPr>
              <w:t>1.申请人无正当理由逾期不补正、行政机关不再处理其政府信息公开申请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2.申请人逾期未按收费通知要求缴纳费用、行政机关不再处理其他政府公开申请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3.其他</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3" w:type="dxa"/>
            <w:vMerge w:val="continue"/>
            <w:vAlign w:val="center"/>
          </w:tcPr>
          <w:p>
            <w:pPr>
              <w:jc w:val="center"/>
              <w:rPr>
                <w:rFonts w:hint="eastAsia"/>
                <w:sz w:val="18"/>
                <w:szCs w:val="18"/>
                <w:lang w:val="en-US" w:eastAsia="zh-CN"/>
              </w:rPr>
            </w:pPr>
          </w:p>
        </w:tc>
        <w:tc>
          <w:tcPr>
            <w:tcW w:w="4005" w:type="dxa"/>
            <w:gridSpan w:val="2"/>
            <w:vAlign w:val="center"/>
          </w:tcPr>
          <w:p>
            <w:pPr>
              <w:jc w:val="left"/>
              <w:rPr>
                <w:rFonts w:hint="default"/>
                <w:sz w:val="18"/>
                <w:szCs w:val="18"/>
                <w:lang w:val="en-US" w:eastAsia="zh-CN"/>
              </w:rPr>
            </w:pPr>
            <w:r>
              <w:rPr>
                <w:rFonts w:hint="eastAsia"/>
                <w:sz w:val="18"/>
                <w:szCs w:val="18"/>
                <w:lang w:val="en-US" w:eastAsia="zh-CN"/>
              </w:rPr>
              <w:t>（七）总计</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28" w:type="dxa"/>
            <w:gridSpan w:val="3"/>
            <w:vAlign w:val="center"/>
          </w:tcPr>
          <w:p>
            <w:pPr>
              <w:jc w:val="left"/>
              <w:rPr>
                <w:rFonts w:hint="default"/>
                <w:sz w:val="18"/>
                <w:szCs w:val="18"/>
                <w:lang w:val="en-US" w:eastAsia="zh-CN"/>
              </w:rPr>
            </w:pPr>
            <w:r>
              <w:rPr>
                <w:rFonts w:hint="eastAsia"/>
                <w:sz w:val="18"/>
                <w:szCs w:val="18"/>
                <w:lang w:val="en-US" w:eastAsia="zh-CN"/>
              </w:rPr>
              <w:t>四、结转下年度继续办理</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bl>
    <w:p>
      <w:pPr>
        <w:numPr>
          <w:numId w:val="0"/>
        </w:numPr>
        <w:ind w:leftChars="0" w:firstLine="320" w:firstLineChars="100"/>
        <w:jc w:val="left"/>
        <w:rPr>
          <w:rFonts w:hint="eastAsia" w:ascii="方正小标宋简体" w:hAnsi="方正小标宋简体" w:eastAsia="方正小标宋简体" w:cs="方正小标宋简体"/>
          <w:b w:val="0"/>
          <w:bCs w:val="0"/>
          <w:color w:val="auto"/>
          <w:kern w:val="0"/>
          <w:sz w:val="44"/>
          <w:szCs w:val="44"/>
          <w:u w:val="none"/>
          <w:lang w:val="en-US" w:eastAsia="zh-CN" w:bidi="ar"/>
        </w:rPr>
      </w:pPr>
      <w:r>
        <w:rPr>
          <w:rFonts w:hint="eastAsia" w:ascii="黑体" w:hAnsi="黑体" w:eastAsia="黑体" w:cs="黑体"/>
          <w:b w:val="0"/>
          <w:bCs w:val="0"/>
          <w:sz w:val="32"/>
          <w:szCs w:val="32"/>
          <w:lang w:val="en-US" w:eastAsia="zh-CN"/>
        </w:rPr>
        <w:t>四、政府信息公开行政复议、行政诉讼情况</w:t>
      </w:r>
    </w:p>
    <w:tbl>
      <w:tblPr>
        <w:tblStyle w:val="5"/>
        <w:tblpPr w:leftFromText="180" w:rightFromText="180" w:vertAnchor="text" w:horzAnchor="page" w:tblpX="1290" w:tblpY="300"/>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00"/>
        <w:gridCol w:w="645"/>
        <w:gridCol w:w="670"/>
        <w:gridCol w:w="605"/>
        <w:gridCol w:w="610"/>
        <w:gridCol w:w="585"/>
        <w:gridCol w:w="630"/>
        <w:gridCol w:w="645"/>
        <w:gridCol w:w="615"/>
        <w:gridCol w:w="578"/>
        <w:gridCol w:w="633"/>
        <w:gridCol w:w="633"/>
        <w:gridCol w:w="63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270"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行政复议</w:t>
            </w:r>
          </w:p>
        </w:tc>
        <w:tc>
          <w:tcPr>
            <w:tcW w:w="6250" w:type="dxa"/>
            <w:gridSpan w:val="10"/>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结果维持</w:t>
            </w:r>
          </w:p>
        </w:tc>
        <w:tc>
          <w:tcPr>
            <w:tcW w:w="60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结果纠正</w:t>
            </w:r>
          </w:p>
        </w:tc>
        <w:tc>
          <w:tcPr>
            <w:tcW w:w="645"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其他结果</w:t>
            </w:r>
          </w:p>
        </w:tc>
        <w:tc>
          <w:tcPr>
            <w:tcW w:w="67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尚未审结</w:t>
            </w:r>
          </w:p>
        </w:tc>
        <w:tc>
          <w:tcPr>
            <w:tcW w:w="605"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c>
          <w:tcPr>
            <w:tcW w:w="3085"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未经复议直接起诉</w:t>
            </w:r>
          </w:p>
        </w:tc>
        <w:tc>
          <w:tcPr>
            <w:tcW w:w="3165"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Merge w:val="continue"/>
            <w:vAlign w:val="center"/>
          </w:tcPr>
          <w:p>
            <w:pPr>
              <w:jc w:val="center"/>
            </w:pPr>
          </w:p>
        </w:tc>
        <w:tc>
          <w:tcPr>
            <w:tcW w:w="600" w:type="dxa"/>
            <w:vMerge w:val="continue"/>
            <w:vAlign w:val="center"/>
          </w:tcPr>
          <w:p>
            <w:pPr>
              <w:jc w:val="center"/>
            </w:pPr>
          </w:p>
        </w:tc>
        <w:tc>
          <w:tcPr>
            <w:tcW w:w="645" w:type="dxa"/>
            <w:vMerge w:val="continue"/>
            <w:vAlign w:val="center"/>
          </w:tcPr>
          <w:p>
            <w:pPr>
              <w:jc w:val="center"/>
            </w:pPr>
          </w:p>
        </w:tc>
        <w:tc>
          <w:tcPr>
            <w:tcW w:w="670" w:type="dxa"/>
            <w:vMerge w:val="continue"/>
            <w:vAlign w:val="center"/>
          </w:tcPr>
          <w:p>
            <w:pPr>
              <w:jc w:val="center"/>
            </w:pPr>
          </w:p>
        </w:tc>
        <w:tc>
          <w:tcPr>
            <w:tcW w:w="605" w:type="dxa"/>
            <w:vMerge w:val="continue"/>
            <w:vAlign w:val="center"/>
          </w:tcPr>
          <w:p>
            <w:pPr>
              <w:jc w:val="center"/>
            </w:pPr>
          </w:p>
        </w:tc>
        <w:tc>
          <w:tcPr>
            <w:tcW w:w="61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58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4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1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c>
          <w:tcPr>
            <w:tcW w:w="578"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88"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60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7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1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585"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30"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64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1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578"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33"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33"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33"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8" w:type="dxa"/>
            <w:vAlign w:val="center"/>
          </w:tcPr>
          <w:p>
            <w:pPr>
              <w:numPr>
                <w:ilvl w:val="0"/>
                <w:numId w:val="0"/>
              </w:numPr>
              <w:ind w:left="0" w:leftChars="0" w:firstLine="0" w:firstLineChars="0"/>
              <w:jc w:val="center"/>
              <w:rPr>
                <w:rFonts w:hint="default" w:asciiTheme="minorEastAsia" w:hAnsiTheme="minorEastAsia" w:cs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bdr w:val="none" w:color="auto" w:sz="0" w:space="0"/>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bdr w:val="none" w:color="auto" w:sz="0" w:space="0"/>
        </w:rPr>
        <w:t>一是政府信息主动公开意识不强，公开内容往往是必选项，对重大政策文件的解读力度不够；二是政府信息公开质量有待提高、存在公开时效性不强、深度不够等问题，规范化程度需进一步提升；三是政府信息公开创新意识不强，主要依托政务信息外网发布公开，缺少公众号等自媒体的广泛宣传和政策解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bdr w:val="none" w:color="auto" w:sz="0" w:space="0"/>
        </w:rPr>
        <w:t>2022</w:t>
      </w:r>
      <w:r>
        <w:rPr>
          <w:rFonts w:hint="eastAsia" w:ascii="仿宋_GB2312" w:hAnsi="微软雅黑" w:eastAsia="仿宋_GB2312" w:cs="仿宋_GB2312"/>
          <w:i w:val="0"/>
          <w:iCs w:val="0"/>
          <w:caps w:val="0"/>
          <w:color w:val="000000"/>
          <w:spacing w:val="0"/>
          <w:sz w:val="32"/>
          <w:szCs w:val="32"/>
          <w:bdr w:val="none" w:color="auto" w:sz="0" w:space="0"/>
        </w:rPr>
        <w:t>年，我局将按照国家、省、市、区的要求，进一步推进我局政府信息公开工作：一是进一步深化政府信息公开内容，以群众关切的政府信息为切入口，完善政府信息公开机制，规范政府信息公开行为。二是进一步丰富政府信息公开形式，积极发挥新媒体传播优势，通俗易懂地解读好政府政策，回应好群众关切。三是进一步强化政务公开的责任意识，提高依法办理政府信息公开工作的能力，稳步提高信息公开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bdr w:val="none" w:color="auto" w:sz="0" w:space="0"/>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bdr w:val="none" w:color="auto" w:sz="0" w:space="0"/>
        </w:rPr>
        <w:t>截止目前，暂无其他需要报告的事项。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rPr>
        <w:t> </w:t>
      </w: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0105A"/>
    <w:rsid w:val="352A5052"/>
    <w:rsid w:val="69100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2022-01-27T01:52:16Z</dcterms:created>
  <dc:creator>Lenovo009</dc:creator>
  <cp:lastModifiedBy>一依</cp:lastModifiedBy>
  <dcterms:modified xsi:type="dcterms:W3CDTF">2022-01-27T02:00:34Z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A6C4C7FBFC524D169379E48C4AEDB332</vt:lpwstr>
  </property>
</Properties>
</file>