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line="560" w:lineRule="exact"/>
        <w:ind w:firstLine="0" w:firstLineChars="0"/>
        <w:jc w:val="center"/>
        <w:outlineLvl w:val="0"/>
        <w:rPr>
          <w:rFonts w:hint="eastAsia" w:ascii="方正小标宋简体" w:hAnsi="方正小标宋简体" w:eastAsia="方正小标宋简体" w:cs="Times New Roman"/>
          <w:b w:val="0"/>
          <w:sz w:val="44"/>
          <w:lang w:val="en-US" w:eastAsia="zh-CN" w:bidi="ar-SA"/>
        </w:rPr>
      </w:pPr>
      <w:r>
        <w:rPr>
          <w:rFonts w:hint="eastAsia" w:ascii="方正小标宋简体" w:hAnsi="方正小标宋简体" w:eastAsia="方正小标宋简体" w:cs="Times New Roman"/>
          <w:b w:val="0"/>
          <w:sz w:val="44"/>
          <w:lang w:val="en-US" w:eastAsia="zh-CN" w:bidi="ar-SA"/>
        </w:rPr>
        <w:t>淄博经济开发区管理委员会综合行政执法局2021年政府信息公开年度报告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ascii="微软雅黑" w:hAnsi="微软雅黑" w:eastAsia="微软雅黑" w:cs="微软雅黑"/>
          <w:i w:val="0"/>
          <w:iCs w:val="0"/>
          <w:caps w:val="0"/>
          <w:color w:val="000000"/>
          <w:spacing w:val="0"/>
          <w:sz w:val="32"/>
          <w:szCs w:val="32"/>
        </w:rPr>
      </w:pPr>
      <w:r>
        <w:rPr>
          <w:rFonts w:ascii="黑体" w:hAnsi="宋体" w:eastAsia="黑体" w:cs="黑体"/>
          <w:i w:val="0"/>
          <w:iCs w:val="0"/>
          <w:caps w:val="0"/>
          <w:color w:val="000000"/>
          <w:spacing w:val="0"/>
          <w:sz w:val="32"/>
          <w:szCs w:val="32"/>
          <w:bdr w:val="none" w:color="auto" w:sz="0" w:space="0"/>
          <w:lang w:val="en-US"/>
        </w:rPr>
        <w:t>一、</w:t>
      </w:r>
      <w:r>
        <w:rPr>
          <w:rFonts w:hint="eastAsia" w:ascii="黑体" w:hAnsi="宋体" w:eastAsia="黑体" w:cs="黑体"/>
          <w:i w:val="0"/>
          <w:iCs w:val="0"/>
          <w:caps w:val="0"/>
          <w:color w:val="000000"/>
          <w:spacing w:val="0"/>
          <w:sz w:val="32"/>
          <w:szCs w:val="32"/>
          <w:bdr w:val="none" w:color="auto" w:sz="0" w:space="0"/>
        </w:rPr>
        <w:t>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bdr w:val="none" w:color="auto" w:sz="0" w:space="0"/>
          <w:shd w:val="clear" w:fill="FFFFFF"/>
        </w:rPr>
      </w:pPr>
      <w:r>
        <w:rPr>
          <w:rFonts w:hint="default" w:ascii="Times New Roman" w:hAnsi="Times New Roman" w:eastAsia="仿宋_GB2312" w:cs="Times New Roman"/>
          <w:i w:val="0"/>
          <w:iCs w:val="0"/>
          <w:caps w:val="0"/>
          <w:color w:val="000000"/>
          <w:spacing w:val="0"/>
          <w:sz w:val="32"/>
          <w:szCs w:val="32"/>
          <w:bdr w:val="none" w:color="auto" w:sz="0" w:space="0"/>
          <w:shd w:val="clear" w:fill="FFFFFF"/>
          <w:lang w:val="en-US"/>
        </w:rPr>
        <w:t>2021</w:t>
      </w:r>
      <w:r>
        <w:rPr>
          <w:rFonts w:hint="eastAsia" w:ascii="仿宋_GB2312" w:hAnsi="仿宋_GB2312" w:eastAsia="仿宋_GB2312" w:cs="仿宋_GB2312"/>
          <w:i w:val="0"/>
          <w:iCs w:val="0"/>
          <w:caps w:val="0"/>
          <w:color w:val="000000"/>
          <w:spacing w:val="0"/>
          <w:sz w:val="32"/>
          <w:szCs w:val="32"/>
          <w:bdr w:val="none" w:color="auto" w:sz="0" w:space="0"/>
          <w:shd w:val="clear" w:fill="FFFFFF"/>
        </w:rPr>
        <w:t>年，我局以习近平新时代中国特色社会主义思想为指导，全面贯彻党的十九大和十九届六中全会精神，认真落实《中华人民共和国政府信息公开条例》有关要求，紧密结合城市管理执法工作实际，坚持正确、准确、及时，大力推进决策、执行、管理、服务、结果公开，加强信息发布和政策解读工作，扩大公开范围、丰富公开形势、增强公开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bdr w:val="none" w:color="auto" w:sz="0" w:space="0"/>
          <w:shd w:val="clear" w:fill="FFFFFF"/>
        </w:rPr>
        <w:t>（一）扎实做好政府信息主动公开工作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rPr>
        <w:t>1.</w:t>
      </w:r>
      <w:r>
        <w:rPr>
          <w:rFonts w:hint="eastAsia" w:ascii="仿宋_GB2312" w:hAnsi="仿宋_GB2312" w:eastAsia="仿宋_GB2312" w:cs="仿宋_GB2312"/>
          <w:i w:val="0"/>
          <w:iCs w:val="0"/>
          <w:caps w:val="0"/>
          <w:color w:val="000000"/>
          <w:spacing w:val="0"/>
          <w:sz w:val="32"/>
          <w:szCs w:val="32"/>
          <w:bdr w:val="none" w:color="auto" w:sz="0" w:space="0"/>
          <w:shd w:val="clear" w:fill="FFFFFF"/>
        </w:rPr>
        <w:t>及时更新主动公开信息。对照《中华人民共和国政府信息公开条例》（国务院令第</w:t>
      </w:r>
      <w:r>
        <w:rPr>
          <w:rFonts w:hint="eastAsia" w:ascii="Times New Roman" w:hAnsi="Times New Roman" w:eastAsia="仿宋_GB2312" w:cs="Times New Roman"/>
          <w:i w:val="0"/>
          <w:iCs w:val="0"/>
          <w:caps w:val="0"/>
          <w:color w:val="000000"/>
          <w:spacing w:val="0"/>
          <w:sz w:val="32"/>
          <w:szCs w:val="32"/>
          <w:shd w:val="clear" w:fill="FFFFFF"/>
          <w:lang w:val="en-US"/>
        </w:rPr>
        <w:t>711</w:t>
      </w:r>
      <w:r>
        <w:rPr>
          <w:rFonts w:hint="eastAsia" w:ascii="仿宋_GB2312" w:hAnsi="仿宋_GB2312" w:eastAsia="仿宋_GB2312" w:cs="仿宋_GB2312"/>
          <w:i w:val="0"/>
          <w:iCs w:val="0"/>
          <w:caps w:val="0"/>
          <w:color w:val="000000"/>
          <w:spacing w:val="0"/>
          <w:sz w:val="32"/>
          <w:szCs w:val="32"/>
          <w:bdr w:val="none" w:color="auto" w:sz="0" w:space="0"/>
          <w:shd w:val="clear" w:fill="FFFFFF"/>
        </w:rPr>
        <w:t>号）条例，认真清理我局政务公开事项，查漏补缺，编制更加科学规范的政务公开指南和目录并予以公布。</w:t>
      </w:r>
      <w:r>
        <w:rPr>
          <w:rFonts w:hint="eastAsia" w:ascii="Times New Roman" w:hAnsi="Times New Roman" w:eastAsia="仿宋_GB2312" w:cs="Times New Roman"/>
          <w:i w:val="0"/>
          <w:iCs w:val="0"/>
          <w:caps w:val="0"/>
          <w:color w:val="000000"/>
          <w:spacing w:val="0"/>
          <w:sz w:val="32"/>
          <w:szCs w:val="32"/>
          <w:shd w:val="clear" w:fill="FFFFFF"/>
          <w:lang w:val="en-US"/>
        </w:rPr>
        <w:t>2021</w:t>
      </w:r>
      <w:r>
        <w:rPr>
          <w:rFonts w:hint="eastAsia" w:ascii="仿宋_GB2312" w:hAnsi="仿宋_GB2312" w:eastAsia="仿宋_GB2312" w:cs="仿宋_GB2312"/>
          <w:i w:val="0"/>
          <w:iCs w:val="0"/>
          <w:caps w:val="0"/>
          <w:color w:val="000000"/>
          <w:spacing w:val="0"/>
          <w:sz w:val="32"/>
          <w:szCs w:val="32"/>
          <w:bdr w:val="none" w:color="auto" w:sz="0" w:space="0"/>
          <w:shd w:val="clear" w:fill="FFFFFF"/>
        </w:rPr>
        <w:t>年累计通过局网站主动公开文件</w:t>
      </w:r>
      <w:r>
        <w:rPr>
          <w:rFonts w:hint="eastAsia" w:ascii="Times New Roman" w:hAnsi="Times New Roman" w:eastAsia="仿宋_GB2312" w:cs="Times New Roman"/>
          <w:i w:val="0"/>
          <w:iCs w:val="0"/>
          <w:caps w:val="0"/>
          <w:color w:val="000000"/>
          <w:spacing w:val="0"/>
          <w:sz w:val="32"/>
          <w:szCs w:val="32"/>
          <w:shd w:val="clear" w:fill="FFFFFF"/>
          <w:lang w:val="en-US"/>
        </w:rPr>
        <w:t>69</w:t>
      </w:r>
      <w:r>
        <w:rPr>
          <w:rFonts w:hint="eastAsia" w:ascii="仿宋_GB2312" w:hAnsi="仿宋_GB2312" w:eastAsia="仿宋_GB2312" w:cs="仿宋_GB2312"/>
          <w:i w:val="0"/>
          <w:iCs w:val="0"/>
          <w:caps w:val="0"/>
          <w:color w:val="000000"/>
          <w:spacing w:val="0"/>
          <w:sz w:val="32"/>
          <w:szCs w:val="32"/>
          <w:bdr w:val="none" w:color="auto" w:sz="0" w:space="0"/>
          <w:shd w:val="clear" w:fill="FFFFFF"/>
        </w:rPr>
        <w:t>件，内容涵盖工作规划、计划、财政资金等各类信息。一是推进权责清单公开。我局对权责清单实施动态管理，对行政权力清单、责任清单和公共服务事项清单进行了全面梳理，今年修订权责清单</w:t>
      </w:r>
      <w:r>
        <w:rPr>
          <w:rFonts w:hint="eastAsia" w:ascii="Times New Roman" w:hAnsi="Times New Roman" w:eastAsia="仿宋_GB2312" w:cs="Times New Roman"/>
          <w:i w:val="0"/>
          <w:iCs w:val="0"/>
          <w:caps w:val="0"/>
          <w:color w:val="000000"/>
          <w:spacing w:val="0"/>
          <w:sz w:val="32"/>
          <w:szCs w:val="32"/>
          <w:shd w:val="clear" w:fill="FFFFFF"/>
          <w:lang w:val="en-US"/>
        </w:rPr>
        <w:t>2</w:t>
      </w:r>
      <w:r>
        <w:rPr>
          <w:rFonts w:hint="eastAsia" w:ascii="仿宋_GB2312" w:hAnsi="仿宋_GB2312" w:eastAsia="仿宋_GB2312" w:cs="仿宋_GB2312"/>
          <w:i w:val="0"/>
          <w:iCs w:val="0"/>
          <w:caps w:val="0"/>
          <w:color w:val="000000"/>
          <w:spacing w:val="0"/>
          <w:sz w:val="32"/>
          <w:szCs w:val="32"/>
          <w:bdr w:val="none" w:color="auto" w:sz="0" w:space="0"/>
          <w:shd w:val="clear" w:fill="FFFFFF"/>
        </w:rPr>
        <w:t>次，经市审改办审核确认后通过本局官网全面公开权责清单。二是推进行政执法信息公开。统一公示方式，依法有序公开执法主体、执法依据、执法权限、执法程序、执法结果等相关信息，增强行政执法的透明度，提升行政执法的公信力。根据新修订《政府信息公开条例》第二十条第五、六项规定，梳理我局行政许可、行政处罚、行政强制等法定主动公开事项的依据、条件、程序以及《条例》实施以来的办理结果和行政处罚决定。三是推进行政许可信息公开。我市户外广告设施设置管理的相关法规、总体规划、导则、技术规范以及政策解读等均在我局网站公布，并及时更新。窗口行政许可信息、备案信息均适时在我局网站、市信用信息平台等对外公布。四是推进财政资金信息公开。按要求及时公开</w:t>
      </w:r>
      <w:r>
        <w:rPr>
          <w:rFonts w:hint="eastAsia" w:ascii="Times New Roman" w:hAnsi="Times New Roman" w:eastAsia="仿宋_GB2312" w:cs="Times New Roman"/>
          <w:i w:val="0"/>
          <w:iCs w:val="0"/>
          <w:caps w:val="0"/>
          <w:color w:val="000000"/>
          <w:spacing w:val="0"/>
          <w:sz w:val="32"/>
          <w:szCs w:val="32"/>
          <w:shd w:val="clear" w:fill="FFFFFF"/>
          <w:lang w:val="en-US"/>
        </w:rPr>
        <w:t>2021</w:t>
      </w:r>
      <w:r>
        <w:rPr>
          <w:rFonts w:hint="eastAsia" w:ascii="仿宋_GB2312" w:hAnsi="仿宋_GB2312" w:eastAsia="仿宋_GB2312" w:cs="仿宋_GB2312"/>
          <w:i w:val="0"/>
          <w:iCs w:val="0"/>
          <w:caps w:val="0"/>
          <w:color w:val="000000"/>
          <w:spacing w:val="0"/>
          <w:sz w:val="32"/>
          <w:szCs w:val="32"/>
          <w:bdr w:val="none" w:color="auto" w:sz="0" w:space="0"/>
          <w:shd w:val="clear" w:fill="FFFFFF"/>
        </w:rPr>
        <w:t>年度部门决算、</w:t>
      </w:r>
      <w:r>
        <w:rPr>
          <w:rFonts w:hint="eastAsia" w:ascii="Times New Roman" w:hAnsi="Times New Roman" w:eastAsia="仿宋_GB2312" w:cs="Times New Roman"/>
          <w:i w:val="0"/>
          <w:iCs w:val="0"/>
          <w:caps w:val="0"/>
          <w:color w:val="000000"/>
          <w:spacing w:val="0"/>
          <w:sz w:val="32"/>
          <w:szCs w:val="32"/>
          <w:shd w:val="clear" w:fill="FFFFFF"/>
          <w:lang w:val="en-US"/>
        </w:rPr>
        <w:t>2022</w:t>
      </w:r>
      <w:r>
        <w:rPr>
          <w:rFonts w:hint="eastAsia" w:ascii="仿宋_GB2312" w:hAnsi="仿宋_GB2312" w:eastAsia="仿宋_GB2312" w:cs="仿宋_GB2312"/>
          <w:i w:val="0"/>
          <w:iCs w:val="0"/>
          <w:caps w:val="0"/>
          <w:color w:val="000000"/>
          <w:spacing w:val="0"/>
          <w:sz w:val="32"/>
          <w:szCs w:val="32"/>
          <w:bdr w:val="none" w:color="auto" w:sz="0" w:space="0"/>
          <w:shd w:val="clear" w:fill="FFFFFF"/>
        </w:rPr>
        <w:t>年部门预算及“三公”经费信息相关情况，进一步提高预决算及“三公”经费预决算的透明度。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rPr>
        <w:t>2.</w:t>
      </w:r>
      <w:r>
        <w:rPr>
          <w:rFonts w:hint="eastAsia" w:ascii="仿宋_GB2312" w:hAnsi="仿宋_GB2312" w:eastAsia="仿宋_GB2312" w:cs="仿宋_GB2312"/>
          <w:i w:val="0"/>
          <w:iCs w:val="0"/>
          <w:caps w:val="0"/>
          <w:color w:val="000000"/>
          <w:spacing w:val="0"/>
          <w:sz w:val="32"/>
          <w:szCs w:val="32"/>
          <w:bdr w:val="none" w:color="auto" w:sz="0" w:space="0"/>
          <w:shd w:val="clear" w:fill="FFFFFF"/>
        </w:rPr>
        <w:t>建立政策解读机制</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rPr>
        <w:t>,</w:t>
      </w:r>
      <w:r>
        <w:rPr>
          <w:rFonts w:hint="eastAsia" w:ascii="仿宋_GB2312" w:hAnsi="仿宋_GB2312" w:eastAsia="仿宋_GB2312" w:cs="仿宋_GB2312"/>
          <w:i w:val="0"/>
          <w:iCs w:val="0"/>
          <w:caps w:val="0"/>
          <w:color w:val="000000"/>
          <w:spacing w:val="0"/>
          <w:sz w:val="32"/>
          <w:szCs w:val="32"/>
          <w:bdr w:val="none" w:color="auto" w:sz="0" w:space="0"/>
          <w:shd w:val="clear" w:fill="FFFFFF"/>
        </w:rPr>
        <w:t>明确解读范围</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rPr>
        <w:t>,</w:t>
      </w:r>
      <w:r>
        <w:rPr>
          <w:rFonts w:hint="eastAsia" w:ascii="仿宋_GB2312" w:hAnsi="仿宋_GB2312" w:eastAsia="仿宋_GB2312" w:cs="仿宋_GB2312"/>
          <w:i w:val="0"/>
          <w:iCs w:val="0"/>
          <w:caps w:val="0"/>
          <w:color w:val="000000"/>
          <w:spacing w:val="0"/>
          <w:sz w:val="32"/>
          <w:szCs w:val="32"/>
          <w:bdr w:val="none" w:color="auto" w:sz="0" w:space="0"/>
          <w:shd w:val="clear" w:fill="FFFFFF"/>
        </w:rPr>
        <w:t>强化解读责任</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rPr>
        <w:t>,</w:t>
      </w:r>
      <w:r>
        <w:rPr>
          <w:rFonts w:hint="eastAsia" w:ascii="仿宋_GB2312" w:hAnsi="仿宋_GB2312" w:eastAsia="仿宋_GB2312" w:cs="仿宋_GB2312"/>
          <w:i w:val="0"/>
          <w:iCs w:val="0"/>
          <w:caps w:val="0"/>
          <w:color w:val="000000"/>
          <w:spacing w:val="0"/>
          <w:sz w:val="32"/>
          <w:szCs w:val="32"/>
          <w:bdr w:val="none" w:color="auto" w:sz="0" w:space="0"/>
          <w:shd w:val="clear" w:fill="FFFFFF"/>
        </w:rPr>
        <w:t>规范解读程序。建立舆情收集、研判、报告和回应机制，进一步加强政府与群众的互动交流。围绕全县城市管理和行政执法局的中心工作，针对公众关切，主动、及时、全面、准确地发布权威政府信息，特别是有关城市管理事务工作的重要会议、重要活动、重要决策部署、重大突发事件及其应对处置情况等方面的信息，以增进公众对城管工作的了解和理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rPr>
        <w:t>3.</w:t>
      </w:r>
      <w:r>
        <w:rPr>
          <w:rFonts w:hint="eastAsia" w:ascii="仿宋_GB2312" w:hAnsi="仿宋_GB2312" w:eastAsia="仿宋_GB2312" w:cs="仿宋_GB2312"/>
          <w:i w:val="0"/>
          <w:iCs w:val="0"/>
          <w:caps w:val="0"/>
          <w:color w:val="000000"/>
          <w:spacing w:val="0"/>
          <w:sz w:val="32"/>
          <w:szCs w:val="32"/>
          <w:bdr w:val="none" w:color="auto" w:sz="0" w:space="0"/>
          <w:shd w:val="clear" w:fill="FFFFFF"/>
        </w:rPr>
        <w:t>主动回应社会关切，及时回应网上诉求。在微信公众号开通投诉咨询群众互动窗口，接受市民投诉、咨询并及时反馈。做到件件有落实，事事有回音。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楷体" w:hAnsi="楷体" w:eastAsia="楷体" w:cs="楷体"/>
          <w:b/>
          <w:bCs/>
          <w:i w:val="0"/>
          <w:iCs w:val="0"/>
          <w:caps w:val="0"/>
          <w:color w:val="000000"/>
          <w:spacing w:val="0"/>
          <w:sz w:val="32"/>
          <w:szCs w:val="32"/>
        </w:rPr>
      </w:pPr>
      <w:r>
        <w:rPr>
          <w:rFonts w:hint="eastAsia" w:ascii="楷体" w:hAnsi="楷体" w:eastAsia="楷体" w:cs="楷体"/>
          <w:b/>
          <w:bCs/>
          <w:i w:val="0"/>
          <w:iCs w:val="0"/>
          <w:caps w:val="0"/>
          <w:color w:val="000000"/>
          <w:spacing w:val="0"/>
          <w:sz w:val="32"/>
          <w:szCs w:val="32"/>
          <w:bdr w:val="none" w:color="auto" w:sz="0" w:space="0"/>
          <w:shd w:val="clear" w:fill="FFFFFF"/>
        </w:rPr>
        <w:t>（二）规范办理政府信息公开申请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bdr w:val="none" w:color="auto" w:sz="0" w:space="0"/>
          <w:shd w:val="clear" w:fill="FFFFFF"/>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进一步规范我局依申请公开工作，完善依申请公开办理相关制度，对依申请公开办理流程、文书进行规范，未出现因政府信息公开申请而导致的行政复议和行政诉讼情况。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drawing>
          <wp:inline distT="0" distB="0" distL="114300" distR="114300">
            <wp:extent cx="5269865" cy="7123430"/>
            <wp:effectExtent l="0" t="0" r="6985" b="1270"/>
            <wp:docPr id="1" name="图片 1" descr="依申请公开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依申请公开流程"/>
                    <pic:cNvPicPr>
                      <a:picLocks noChangeAspect="1"/>
                    </pic:cNvPicPr>
                  </pic:nvPicPr>
                  <pic:blipFill>
                    <a:blip r:embed="rId4"/>
                    <a:stretch>
                      <a:fillRect/>
                    </a:stretch>
                  </pic:blipFill>
                  <pic:spPr>
                    <a:xfrm>
                      <a:off x="0" y="0"/>
                      <a:ext cx="5269865" cy="712343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0" w:firstLineChars="200"/>
        <w:jc w:val="center"/>
        <w:textAlignment w:val="auto"/>
        <w:rPr>
          <w:rFonts w:hint="eastAsia" w:ascii="微软雅黑" w:hAnsi="微软雅黑" w:eastAsia="微软雅黑" w:cs="微软雅黑"/>
          <w:i w:val="0"/>
          <w:iCs w:val="0"/>
          <w:caps w:val="0"/>
          <w:color w:val="000000"/>
          <w:spacing w:val="0"/>
          <w:sz w:val="24"/>
          <w:szCs w:val="24"/>
          <w:bdr w:val="none" w:color="auto" w:sz="0" w:space="0"/>
          <w:shd w:val="clear" w:fill="FFFFFF"/>
        </w:rPr>
      </w:pPr>
      <w:r>
        <w:rPr>
          <w:rStyle w:val="7"/>
          <w:rFonts w:ascii="微软雅黑" w:hAnsi="微软雅黑" w:eastAsia="微软雅黑" w:cs="微软雅黑"/>
          <w:b/>
          <w:bCs/>
          <w:i w:val="0"/>
          <w:iCs w:val="0"/>
          <w:caps w:val="0"/>
          <w:color w:val="000000"/>
          <w:spacing w:val="0"/>
          <w:sz w:val="27"/>
          <w:szCs w:val="27"/>
          <w:bdr w:val="none" w:color="auto" w:sz="0" w:space="0"/>
        </w:rPr>
        <w:t>依申请公开办理流程</w:t>
      </w:r>
    </w:p>
    <w:p>
      <w:pPr>
        <w:rPr>
          <w:rFonts w:hint="eastAsia"/>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楷体" w:hAnsi="楷体" w:eastAsia="楷体" w:cs="楷体"/>
          <w:b/>
          <w:bCs/>
          <w:i w:val="0"/>
          <w:iCs w:val="0"/>
          <w:caps w:val="0"/>
          <w:color w:val="000000"/>
          <w:spacing w:val="0"/>
          <w:sz w:val="32"/>
          <w:szCs w:val="32"/>
          <w:shd w:val="clear" w:fill="FFFFFF"/>
        </w:rPr>
      </w:pPr>
      <w:r>
        <w:rPr>
          <w:rFonts w:hint="eastAsia" w:ascii="楷体" w:hAnsi="楷体" w:eastAsia="楷体" w:cs="楷体"/>
          <w:b/>
          <w:bCs/>
          <w:i w:val="0"/>
          <w:iCs w:val="0"/>
          <w:caps w:val="0"/>
          <w:color w:val="000000"/>
          <w:spacing w:val="0"/>
          <w:sz w:val="32"/>
          <w:szCs w:val="32"/>
          <w:shd w:val="clear" w:fill="FFFFFF"/>
        </w:rPr>
        <w:t>（三）完善制度，加强政府信息管理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rPr>
        <w:t>1.</w:t>
      </w:r>
      <w:r>
        <w:rPr>
          <w:rFonts w:hint="eastAsia" w:ascii="仿宋_GB2312" w:hAnsi="仿宋_GB2312" w:eastAsia="仿宋_GB2312" w:cs="仿宋_GB2312"/>
          <w:i w:val="0"/>
          <w:iCs w:val="0"/>
          <w:caps w:val="0"/>
          <w:color w:val="000000"/>
          <w:spacing w:val="0"/>
          <w:sz w:val="32"/>
          <w:szCs w:val="32"/>
          <w:bdr w:val="none" w:color="auto" w:sz="0" w:space="0"/>
          <w:shd w:val="clear" w:fill="FFFFFF"/>
        </w:rPr>
        <w:t>严格意识形态责任制。将网站和新媒体建设管理纳入意识形态责任制和网络意识形态责任制的范围，加强意识形态方面的审核把关，及时解答市民群众关注的热点问题。做到语言生动、易懂，图文并茂，在线访谈、媒体聚集图文与音频、视频相结合开展，提高可读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rPr>
        <w:t>2.</w:t>
      </w:r>
      <w:r>
        <w:rPr>
          <w:rFonts w:hint="eastAsia" w:ascii="仿宋_GB2312" w:hAnsi="仿宋_GB2312" w:eastAsia="仿宋_GB2312" w:cs="仿宋_GB2312"/>
          <w:i w:val="0"/>
          <w:iCs w:val="0"/>
          <w:caps w:val="0"/>
          <w:color w:val="000000"/>
          <w:spacing w:val="0"/>
          <w:sz w:val="32"/>
          <w:szCs w:val="32"/>
          <w:bdr w:val="none" w:color="auto" w:sz="0" w:space="0"/>
          <w:shd w:val="clear" w:fill="FFFFFF"/>
        </w:rPr>
        <w:t>严格保密信息发布审查制度。结合《新闻发布规定》的修订，将网站和新媒体信息发布纳入新闻发布的审查范围 ，建立健全新的信息发布审查制度，对信息发布作出明确要求，在实际工作中严格落实。对各类信息的发布严格按照上级相关规定《新闻发布规定》和《市执法局网站管理和保障规定》执行，坚持先审查、后发布的原则，严格进行全方位审查，确保发布的信息不涉及国家秘密和法律法规禁止公开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rPr>
        <w:t>3.</w:t>
      </w:r>
      <w:r>
        <w:rPr>
          <w:rFonts w:hint="eastAsia" w:ascii="仿宋_GB2312" w:hAnsi="仿宋_GB2312" w:eastAsia="仿宋_GB2312" w:cs="仿宋_GB2312"/>
          <w:i w:val="0"/>
          <w:iCs w:val="0"/>
          <w:caps w:val="0"/>
          <w:color w:val="000000"/>
          <w:spacing w:val="0"/>
          <w:sz w:val="32"/>
          <w:szCs w:val="32"/>
          <w:bdr w:val="none" w:color="auto" w:sz="0" w:space="0"/>
          <w:shd w:val="clear" w:fill="FFFFFF"/>
        </w:rPr>
        <w:t>严格落实自查整改机制。参照市府办对各单位网站和新媒体检查通报中的问题，举一反三开展自查，组织人员对本单位网站信息进行彻底清理，消除隐患，建立定期自查机制，发现问题，及时整改到位。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楷体" w:hAnsi="楷体" w:eastAsia="楷体" w:cs="楷体"/>
          <w:b/>
          <w:bCs/>
          <w:i w:val="0"/>
          <w:iCs w:val="0"/>
          <w:caps w:val="0"/>
          <w:color w:val="000000"/>
          <w:spacing w:val="0"/>
          <w:sz w:val="32"/>
          <w:szCs w:val="32"/>
          <w:shd w:val="clear" w:fill="FFFFFF"/>
        </w:rPr>
      </w:pPr>
      <w:r>
        <w:rPr>
          <w:rFonts w:hint="eastAsia" w:ascii="楷体" w:hAnsi="楷体" w:eastAsia="楷体" w:cs="楷体"/>
          <w:b/>
          <w:bCs/>
          <w:i w:val="0"/>
          <w:iCs w:val="0"/>
          <w:caps w:val="0"/>
          <w:color w:val="000000"/>
          <w:spacing w:val="0"/>
          <w:sz w:val="32"/>
          <w:szCs w:val="32"/>
          <w:shd w:val="clear" w:fill="FFFFFF"/>
        </w:rPr>
        <w:t>（四）规范平台建设，提升高效便民服务水平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加强网站和政务新媒体建设。围绕政府信息公开、在线服务等工作，结合内设机构设置和职能，完善网站信息发布渠道。做好宣传策划、提升采写水平、丰富供稿形式，全方位地展现新时代城管队伍的形象。</w:t>
      </w:r>
      <w:r>
        <w:rPr>
          <w:rFonts w:hint="default" w:ascii="Times New Roman" w:hAnsi="Times New Roman" w:eastAsia="仿宋_GB2312" w:cs="Times New Roman"/>
          <w:i w:val="0"/>
          <w:iCs w:val="0"/>
          <w:caps w:val="0"/>
          <w:color w:val="000000"/>
          <w:spacing w:val="0"/>
          <w:sz w:val="32"/>
          <w:szCs w:val="32"/>
          <w:shd w:val="clear" w:fill="FFFFFF"/>
          <w:lang w:val="en-US"/>
        </w:rPr>
        <w:t>2021</w:t>
      </w:r>
      <w:r>
        <w:rPr>
          <w:rFonts w:hint="eastAsia" w:ascii="仿宋_GB2312" w:hAnsi="仿宋_GB2312" w:eastAsia="仿宋_GB2312" w:cs="仿宋_GB2312"/>
          <w:i w:val="0"/>
          <w:iCs w:val="0"/>
          <w:caps w:val="0"/>
          <w:color w:val="000000"/>
          <w:spacing w:val="0"/>
          <w:sz w:val="32"/>
          <w:szCs w:val="32"/>
          <w:bdr w:val="none" w:color="auto" w:sz="0" w:space="0"/>
          <w:shd w:val="clear" w:fill="FFFFFF"/>
        </w:rPr>
        <w:t>年来我局累计在主流媒体发布</w:t>
      </w:r>
      <w:r>
        <w:rPr>
          <w:rFonts w:hint="eastAsia" w:ascii="Times New Roman" w:hAnsi="Times New Roman" w:eastAsia="仿宋_GB2312" w:cs="Times New Roman"/>
          <w:i w:val="0"/>
          <w:iCs w:val="0"/>
          <w:caps w:val="0"/>
          <w:color w:val="000000"/>
          <w:spacing w:val="0"/>
          <w:sz w:val="32"/>
          <w:szCs w:val="32"/>
          <w:shd w:val="clear" w:fill="FFFFFF"/>
          <w:lang w:val="en-US"/>
        </w:rPr>
        <w:t>64</w:t>
      </w:r>
      <w:r>
        <w:rPr>
          <w:rFonts w:hint="eastAsia" w:ascii="仿宋_GB2312" w:hAnsi="仿宋_GB2312" w:eastAsia="仿宋_GB2312" w:cs="仿宋_GB2312"/>
          <w:i w:val="0"/>
          <w:iCs w:val="0"/>
          <w:caps w:val="0"/>
          <w:color w:val="000000"/>
          <w:spacing w:val="0"/>
          <w:sz w:val="32"/>
          <w:szCs w:val="32"/>
          <w:bdr w:val="none" w:color="auto" w:sz="0" w:space="0"/>
          <w:shd w:val="clear" w:fill="FFFFFF"/>
        </w:rPr>
        <w:t>多篇次的报道，发布公众号</w:t>
      </w:r>
      <w:r>
        <w:rPr>
          <w:rFonts w:hint="eastAsia" w:ascii="Times New Roman" w:hAnsi="Times New Roman" w:eastAsia="仿宋_GB2312" w:cs="Times New Roman"/>
          <w:i w:val="0"/>
          <w:iCs w:val="0"/>
          <w:caps w:val="0"/>
          <w:color w:val="000000"/>
          <w:spacing w:val="0"/>
          <w:sz w:val="32"/>
          <w:szCs w:val="32"/>
          <w:shd w:val="clear" w:fill="FFFFFF"/>
          <w:lang w:val="en-US"/>
        </w:rPr>
        <w:t>334</w:t>
      </w:r>
      <w:r>
        <w:rPr>
          <w:rFonts w:hint="eastAsia" w:ascii="仿宋_GB2312" w:hAnsi="仿宋_GB2312" w:eastAsia="仿宋_GB2312" w:cs="仿宋_GB2312"/>
          <w:i w:val="0"/>
          <w:iCs w:val="0"/>
          <w:caps w:val="0"/>
          <w:color w:val="000000"/>
          <w:spacing w:val="0"/>
          <w:sz w:val="32"/>
          <w:szCs w:val="32"/>
          <w:bdr w:val="none" w:color="auto" w:sz="0" w:space="0"/>
          <w:shd w:val="clear" w:fill="FFFFFF"/>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楷体" w:hAnsi="楷体" w:eastAsia="楷体" w:cs="楷体"/>
          <w:b/>
          <w:bCs/>
          <w:i w:val="0"/>
          <w:iCs w:val="0"/>
          <w:caps w:val="0"/>
          <w:color w:val="000000"/>
          <w:spacing w:val="0"/>
          <w:sz w:val="32"/>
          <w:szCs w:val="32"/>
          <w:shd w:val="clear" w:fill="FFFFFF"/>
        </w:rPr>
      </w:pPr>
      <w:r>
        <w:rPr>
          <w:rFonts w:hint="eastAsia" w:ascii="楷体" w:hAnsi="楷体" w:eastAsia="楷体" w:cs="楷体"/>
          <w:b/>
          <w:bCs/>
          <w:i w:val="0"/>
          <w:iCs w:val="0"/>
          <w:caps w:val="0"/>
          <w:color w:val="000000"/>
          <w:spacing w:val="0"/>
          <w:sz w:val="32"/>
          <w:szCs w:val="32"/>
          <w:shd w:val="clear" w:fill="FFFFFF"/>
        </w:rPr>
        <w:t>（五）加强监督，保障政务公开安全开展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bdr w:val="none" w:color="auto" w:sz="0" w:space="0"/>
          <w:shd w:val="clear" w:fill="FFFFFF"/>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落实安全防范机制。目前网站属市统一平台，由市信息中心维护；同时我局制定了网站和新媒体管理相关应急预案，指定专人负责。今年未发现网站和新媒体安全方面的问题。</w:t>
      </w:r>
    </w:p>
    <w:p>
      <w:pPr>
        <w:numPr>
          <w:numId w:val="0"/>
        </w:numPr>
        <w:ind w:leftChars="0"/>
        <w:jc w:val="left"/>
        <w:rPr>
          <w:rFonts w:hint="eastAsia" w:ascii="Times New Roman" w:hAnsi="Times New Roman" w:eastAsia="仿宋_GB2312" w:cs="Times New Roman"/>
          <w:color w:val="000000"/>
          <w:kern w:val="0"/>
          <w:sz w:val="31"/>
          <w:szCs w:val="31"/>
          <w:lang w:val="en-US" w:eastAsia="zh-CN" w:bidi="ar"/>
        </w:rPr>
      </w:pPr>
      <w:r>
        <w:rPr>
          <w:rFonts w:hint="eastAsia" w:ascii="黑体" w:hAnsi="黑体" w:eastAsia="黑体" w:cs="黑体"/>
          <w:b w:val="0"/>
          <w:bCs w:val="0"/>
          <w:sz w:val="32"/>
          <w:szCs w:val="32"/>
          <w:lang w:val="en-US" w:eastAsia="zh-CN"/>
        </w:rPr>
        <w:t>二、主动公开政府信息情况</w:t>
      </w:r>
      <w:bookmarkStart w:id="0" w:name="_GoBack"/>
      <w:bookmarkEnd w:id="0"/>
    </w:p>
    <w:tbl>
      <w:tblPr>
        <w:tblStyle w:val="5"/>
        <w:tblW w:w="9165"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160"/>
        <w:gridCol w:w="2406"/>
        <w:gridCol w:w="213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7" w:hRule="atLeast"/>
        </w:trPr>
        <w:tc>
          <w:tcPr>
            <w:tcW w:w="9165" w:type="dxa"/>
            <w:gridSpan w:val="4"/>
            <w:shd w:val="clear" w:color="auto" w:fill="auto"/>
            <w:vAlign w:val="center"/>
          </w:tcPr>
          <w:p>
            <w:pPr>
              <w:numPr>
                <w:ilvl w:val="0"/>
                <w:numId w:val="0"/>
              </w:numPr>
              <w:jc w:val="center"/>
              <w:rPr>
                <w:rFonts w:hint="default" w:ascii="黑体" w:hAnsi="黑体" w:eastAsia="黑体" w:cs="黑体"/>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2" w:hRule="atLeast"/>
        </w:trPr>
        <w:tc>
          <w:tcPr>
            <w:tcW w:w="2160" w:type="dxa"/>
            <w:shd w:val="clear" w:color="auto" w:fill="auto"/>
            <w:vAlign w:val="top"/>
          </w:tcPr>
          <w:p>
            <w:pPr>
              <w:numPr>
                <w:ilvl w:val="0"/>
                <w:numId w:val="0"/>
              </w:numPr>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信息内容</w:t>
            </w:r>
          </w:p>
        </w:tc>
        <w:tc>
          <w:tcPr>
            <w:tcW w:w="2406" w:type="dxa"/>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本年制发件数</w:t>
            </w:r>
          </w:p>
        </w:tc>
        <w:tc>
          <w:tcPr>
            <w:tcW w:w="213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本年废止件数</w:t>
            </w:r>
          </w:p>
        </w:tc>
        <w:tc>
          <w:tcPr>
            <w:tcW w:w="2469"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规章</w:t>
            </w:r>
          </w:p>
        </w:tc>
        <w:tc>
          <w:tcPr>
            <w:tcW w:w="2406" w:type="dxa"/>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行政规范性文件</w:t>
            </w:r>
          </w:p>
        </w:tc>
        <w:tc>
          <w:tcPr>
            <w:tcW w:w="2406" w:type="dxa"/>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7"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行政许可</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7"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left"/>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行政处罚</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行政强制</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2" w:hRule="atLeast"/>
        </w:trPr>
        <w:tc>
          <w:tcPr>
            <w:tcW w:w="9165" w:type="dxa"/>
            <w:gridSpan w:val="4"/>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行政事业性收费</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default" w:ascii="Times New Roman" w:hAnsi="Times New Roman" w:eastAsia="宋体" w:cs="Times New Roman"/>
                <w:i w:val="0"/>
                <w:iCs w:val="0"/>
                <w:caps w:val="0"/>
                <w:color w:val="000000"/>
                <w:spacing w:val="0"/>
                <w:sz w:val="18"/>
                <w:szCs w:val="18"/>
                <w:shd w:val="clear" w:fill="FFFFFF"/>
              </w:rPr>
              <w:t>33.17953</w:t>
            </w:r>
          </w:p>
        </w:tc>
      </w:tr>
    </w:tbl>
    <w:p/>
    <w:p/>
    <w:p/>
    <w:p>
      <w:pPr>
        <w:numPr>
          <w:numId w:val="0"/>
        </w:numPr>
        <w:ind w:leftChars="0"/>
        <w:jc w:val="left"/>
      </w:pPr>
      <w:r>
        <w:rPr>
          <w:rFonts w:hint="eastAsia" w:ascii="黑体" w:hAnsi="黑体" w:eastAsia="黑体" w:cs="黑体"/>
          <w:b w:val="0"/>
          <w:bCs w:val="0"/>
          <w:sz w:val="32"/>
          <w:szCs w:val="32"/>
          <w:lang w:val="en-US" w:eastAsia="zh-CN"/>
        </w:rPr>
        <w:t>三、收到和处理政府信息公开申请情况</w:t>
      </w:r>
    </w:p>
    <w:p/>
    <w:tbl>
      <w:tblPr>
        <w:tblStyle w:val="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lang w:val="en-US" w:eastAsia="zh-CN"/>
              </w:rPr>
            </w:pPr>
            <w:r>
              <w:rPr>
                <w:rFonts w:hint="eastAsia"/>
                <w:sz w:val="18"/>
                <w:szCs w:val="18"/>
                <w:lang w:val="en-US" w:eastAsia="zh-CN"/>
              </w:rPr>
              <w:t>一、本年新收政府信息公开申请数量</w:t>
            </w:r>
          </w:p>
        </w:tc>
        <w:tc>
          <w:tcPr>
            <w:tcW w:w="82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default"/>
                <w:sz w:val="18"/>
                <w:szCs w:val="18"/>
                <w:lang w:val="en-US" w:eastAsia="zh-CN"/>
              </w:rPr>
            </w:pPr>
            <w:r>
              <w:rPr>
                <w:rFonts w:hint="eastAsia"/>
                <w:sz w:val="18"/>
                <w:szCs w:val="18"/>
                <w:lang w:val="en-US" w:eastAsia="zh-CN"/>
              </w:rPr>
              <w:t>0</w:t>
            </w:r>
          </w:p>
        </w:tc>
        <w:tc>
          <w:tcPr>
            <w:tcW w:w="705" w:type="dxa"/>
            <w:vAlign w:val="center"/>
          </w:tcPr>
          <w:p>
            <w:pPr>
              <w:jc w:val="center"/>
              <w:rPr>
                <w:rFonts w:hint="default"/>
                <w:sz w:val="18"/>
                <w:szCs w:val="18"/>
                <w:lang w:val="en-US" w:eastAsia="zh-CN"/>
              </w:rPr>
            </w:pPr>
            <w:r>
              <w:rPr>
                <w:rFonts w:hint="eastAsia"/>
                <w:sz w:val="18"/>
                <w:szCs w:val="18"/>
                <w:lang w:val="en-US" w:eastAsia="zh-CN"/>
              </w:rPr>
              <w:t>0</w:t>
            </w:r>
          </w:p>
        </w:tc>
        <w:tc>
          <w:tcPr>
            <w:tcW w:w="680" w:type="dxa"/>
            <w:vAlign w:val="center"/>
          </w:tcPr>
          <w:p>
            <w:pPr>
              <w:jc w:val="center"/>
              <w:rPr>
                <w:rFonts w:hint="default"/>
                <w:sz w:val="18"/>
                <w:szCs w:val="18"/>
                <w:lang w:val="en-US" w:eastAsia="zh-CN"/>
              </w:rPr>
            </w:pPr>
            <w:r>
              <w:rPr>
                <w:rFonts w:hint="eastAsia"/>
                <w:sz w:val="18"/>
                <w:szCs w:val="18"/>
                <w:lang w:val="en-US" w:eastAsia="zh-CN"/>
              </w:rPr>
              <w:t>0</w:t>
            </w:r>
          </w:p>
        </w:tc>
        <w:tc>
          <w:tcPr>
            <w:tcW w:w="711" w:type="dxa"/>
            <w:vAlign w:val="center"/>
          </w:tcPr>
          <w:p>
            <w:pPr>
              <w:jc w:val="center"/>
              <w:rPr>
                <w:rFonts w:hint="default"/>
                <w:sz w:val="18"/>
                <w:szCs w:val="18"/>
                <w:lang w:val="en-US" w:eastAsia="zh-CN"/>
              </w:rPr>
            </w:pPr>
            <w:r>
              <w:rPr>
                <w:rFonts w:hint="eastAsia"/>
                <w:sz w:val="18"/>
                <w:szCs w:val="18"/>
                <w:lang w:val="en-US" w:eastAsia="zh-CN"/>
              </w:rPr>
              <w:t>0</w:t>
            </w:r>
          </w:p>
        </w:tc>
        <w:tc>
          <w:tcPr>
            <w:tcW w:w="644" w:type="dxa"/>
            <w:vAlign w:val="center"/>
          </w:tcPr>
          <w:p>
            <w:pPr>
              <w:jc w:val="center"/>
              <w:rPr>
                <w:rFonts w:hint="default"/>
                <w:sz w:val="18"/>
                <w:szCs w:val="18"/>
                <w:lang w:val="en-US" w:eastAsia="zh-CN"/>
              </w:rPr>
            </w:pPr>
            <w:r>
              <w:rPr>
                <w:rFonts w:hint="eastAsia"/>
                <w:sz w:val="18"/>
                <w:szCs w:val="18"/>
                <w:lang w:val="en-US" w:eastAsia="zh-CN"/>
              </w:rPr>
              <w:t>0</w:t>
            </w:r>
          </w:p>
        </w:tc>
        <w:tc>
          <w:tcPr>
            <w:tcW w:w="749" w:type="dxa"/>
            <w:vAlign w:val="center"/>
          </w:tcPr>
          <w:p>
            <w:pPr>
              <w:jc w:val="center"/>
              <w:rPr>
                <w:rFonts w:hint="default"/>
                <w:sz w:val="18"/>
                <w:szCs w:val="18"/>
                <w:lang w:val="en-US" w:eastAsia="zh-CN"/>
              </w:rPr>
            </w:pPr>
            <w:r>
              <w:rPr>
                <w:rFonts w:hint="eastAsia"/>
                <w:sz w:val="18"/>
                <w:szCs w:val="18"/>
                <w:lang w:val="en-US" w:eastAsia="zh-CN"/>
              </w:rPr>
              <w:t>0</w:t>
            </w:r>
          </w:p>
        </w:tc>
        <w:tc>
          <w:tcPr>
            <w:tcW w:w="777" w:type="dxa"/>
            <w:vAlign w:val="center"/>
          </w:tcPr>
          <w:p>
            <w:pPr>
              <w:jc w:val="center"/>
              <w:rPr>
                <w:rFonts w:hint="default"/>
                <w:sz w:val="18"/>
                <w:szCs w:val="18"/>
                <w:lang w:val="en-US" w:eastAsia="zh-CN"/>
              </w:rPr>
            </w:pPr>
            <w:r>
              <w:rPr>
                <w:rFonts w:hint="eastAsia"/>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default"/>
                <w:sz w:val="18"/>
                <w:szCs w:val="18"/>
                <w:lang w:val="en-US" w:eastAsia="zh-CN"/>
              </w:rPr>
            </w:pPr>
            <w:r>
              <w:rPr>
                <w:rFonts w:hint="eastAsia"/>
                <w:sz w:val="18"/>
                <w:szCs w:val="18"/>
                <w:lang w:val="en-US" w:eastAsia="zh-CN"/>
              </w:rPr>
              <w:t>0</w:t>
            </w:r>
          </w:p>
        </w:tc>
        <w:tc>
          <w:tcPr>
            <w:tcW w:w="705" w:type="dxa"/>
            <w:vAlign w:val="center"/>
          </w:tcPr>
          <w:p>
            <w:pPr>
              <w:jc w:val="center"/>
              <w:rPr>
                <w:rFonts w:hint="default"/>
                <w:sz w:val="18"/>
                <w:szCs w:val="18"/>
                <w:lang w:val="en-US" w:eastAsia="zh-CN"/>
              </w:rPr>
            </w:pPr>
            <w:r>
              <w:rPr>
                <w:rFonts w:hint="eastAsia"/>
                <w:sz w:val="18"/>
                <w:szCs w:val="18"/>
                <w:lang w:val="en-US" w:eastAsia="zh-CN"/>
              </w:rPr>
              <w:t>0</w:t>
            </w:r>
          </w:p>
        </w:tc>
        <w:tc>
          <w:tcPr>
            <w:tcW w:w="680" w:type="dxa"/>
            <w:vAlign w:val="center"/>
          </w:tcPr>
          <w:p>
            <w:pPr>
              <w:jc w:val="center"/>
              <w:rPr>
                <w:rFonts w:hint="default"/>
                <w:sz w:val="18"/>
                <w:szCs w:val="18"/>
                <w:lang w:val="en-US" w:eastAsia="zh-CN"/>
              </w:rPr>
            </w:pPr>
            <w:r>
              <w:rPr>
                <w:rFonts w:hint="eastAsia"/>
                <w:sz w:val="18"/>
                <w:szCs w:val="18"/>
                <w:lang w:val="en-US" w:eastAsia="zh-CN"/>
              </w:rPr>
              <w:t>0</w:t>
            </w:r>
          </w:p>
        </w:tc>
        <w:tc>
          <w:tcPr>
            <w:tcW w:w="711" w:type="dxa"/>
            <w:vAlign w:val="center"/>
          </w:tcPr>
          <w:p>
            <w:pPr>
              <w:jc w:val="center"/>
              <w:rPr>
                <w:rFonts w:hint="default"/>
                <w:sz w:val="18"/>
                <w:szCs w:val="18"/>
                <w:lang w:val="en-US" w:eastAsia="zh-CN"/>
              </w:rPr>
            </w:pPr>
            <w:r>
              <w:rPr>
                <w:rFonts w:hint="eastAsia"/>
                <w:sz w:val="18"/>
                <w:szCs w:val="18"/>
                <w:lang w:val="en-US" w:eastAsia="zh-CN"/>
              </w:rPr>
              <w:t>0</w:t>
            </w:r>
          </w:p>
        </w:tc>
        <w:tc>
          <w:tcPr>
            <w:tcW w:w="644" w:type="dxa"/>
            <w:vAlign w:val="center"/>
          </w:tcPr>
          <w:p>
            <w:pPr>
              <w:jc w:val="center"/>
              <w:rPr>
                <w:rFonts w:hint="default"/>
                <w:sz w:val="18"/>
                <w:szCs w:val="18"/>
                <w:lang w:val="en-US" w:eastAsia="zh-CN"/>
              </w:rPr>
            </w:pPr>
            <w:r>
              <w:rPr>
                <w:rFonts w:hint="eastAsia"/>
                <w:sz w:val="18"/>
                <w:szCs w:val="18"/>
                <w:lang w:val="en-US" w:eastAsia="zh-CN"/>
              </w:rPr>
              <w:t>0</w:t>
            </w:r>
          </w:p>
        </w:tc>
        <w:tc>
          <w:tcPr>
            <w:tcW w:w="749" w:type="dxa"/>
            <w:vAlign w:val="center"/>
          </w:tcPr>
          <w:p>
            <w:pPr>
              <w:jc w:val="center"/>
              <w:rPr>
                <w:rFonts w:hint="default"/>
                <w:sz w:val="18"/>
                <w:szCs w:val="18"/>
                <w:lang w:val="en-US" w:eastAsia="zh-CN"/>
              </w:rPr>
            </w:pPr>
            <w:r>
              <w:rPr>
                <w:rFonts w:hint="eastAsia"/>
                <w:sz w:val="18"/>
                <w:szCs w:val="18"/>
                <w:lang w:val="en-US" w:eastAsia="zh-CN"/>
              </w:rPr>
              <w:t>0</w:t>
            </w:r>
          </w:p>
        </w:tc>
        <w:tc>
          <w:tcPr>
            <w:tcW w:w="777" w:type="dxa"/>
            <w:vAlign w:val="center"/>
          </w:tcPr>
          <w:p>
            <w:pPr>
              <w:jc w:val="center"/>
              <w:rPr>
                <w:rFonts w:hint="default"/>
                <w:sz w:val="18"/>
                <w:szCs w:val="18"/>
                <w:lang w:val="en-US" w:eastAsia="zh-CN"/>
              </w:rPr>
            </w:pPr>
            <w:r>
              <w:rPr>
                <w:rFonts w:hint="eastAsia"/>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0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680"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11"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644"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49"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777"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r>
    </w:tbl>
    <w:p>
      <w:pPr>
        <w:numPr>
          <w:numId w:val="0"/>
        </w:numPr>
        <w:ind w:leftChars="0"/>
        <w:jc w:val="left"/>
        <w:rPr>
          <w:rFonts w:hint="eastAsia" w:ascii="方正小标宋简体" w:hAnsi="方正小标宋简体" w:eastAsia="方正小标宋简体" w:cs="方正小标宋简体"/>
          <w:b w:val="0"/>
          <w:bCs w:val="0"/>
          <w:color w:val="auto"/>
          <w:kern w:val="0"/>
          <w:sz w:val="44"/>
          <w:szCs w:val="44"/>
          <w:u w:val="none"/>
          <w:lang w:val="en-US" w:eastAsia="zh-CN" w:bidi="ar"/>
        </w:rPr>
      </w:pPr>
      <w:r>
        <w:rPr>
          <w:rFonts w:hint="eastAsia" w:ascii="黑体" w:hAnsi="黑体" w:eastAsia="黑体" w:cs="黑体"/>
          <w:b w:val="0"/>
          <w:bCs w:val="0"/>
          <w:sz w:val="32"/>
          <w:szCs w:val="32"/>
          <w:lang w:val="en-US" w:eastAsia="zh-CN"/>
        </w:rPr>
        <w:t>四、政府信息公开行政复议、行政诉讼情况</w:t>
      </w:r>
    </w:p>
    <w:tbl>
      <w:tblPr>
        <w:tblStyle w:val="5"/>
        <w:tblpPr w:leftFromText="180" w:rightFromText="180" w:vertAnchor="text" w:horzAnchor="page" w:tblpX="1290" w:tblpY="300"/>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600"/>
        <w:gridCol w:w="645"/>
        <w:gridCol w:w="670"/>
        <w:gridCol w:w="605"/>
        <w:gridCol w:w="610"/>
        <w:gridCol w:w="585"/>
        <w:gridCol w:w="630"/>
        <w:gridCol w:w="645"/>
        <w:gridCol w:w="615"/>
        <w:gridCol w:w="578"/>
        <w:gridCol w:w="633"/>
        <w:gridCol w:w="633"/>
        <w:gridCol w:w="63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270"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行政复议</w:t>
            </w:r>
          </w:p>
        </w:tc>
        <w:tc>
          <w:tcPr>
            <w:tcW w:w="6250" w:type="dxa"/>
            <w:gridSpan w:val="10"/>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结果维持</w:t>
            </w:r>
          </w:p>
        </w:tc>
        <w:tc>
          <w:tcPr>
            <w:tcW w:w="60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结果纠正</w:t>
            </w:r>
          </w:p>
        </w:tc>
        <w:tc>
          <w:tcPr>
            <w:tcW w:w="64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其他结果</w:t>
            </w:r>
          </w:p>
        </w:tc>
        <w:tc>
          <w:tcPr>
            <w:tcW w:w="67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尚未审结</w:t>
            </w:r>
          </w:p>
        </w:tc>
        <w:tc>
          <w:tcPr>
            <w:tcW w:w="60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c>
          <w:tcPr>
            <w:tcW w:w="308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未经复议直接起诉</w:t>
            </w:r>
          </w:p>
        </w:tc>
        <w:tc>
          <w:tcPr>
            <w:tcW w:w="316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Merge w:val="continue"/>
            <w:vAlign w:val="center"/>
          </w:tcPr>
          <w:p>
            <w:pPr>
              <w:jc w:val="center"/>
            </w:pPr>
          </w:p>
        </w:tc>
        <w:tc>
          <w:tcPr>
            <w:tcW w:w="600" w:type="dxa"/>
            <w:vMerge w:val="continue"/>
            <w:vAlign w:val="center"/>
          </w:tcPr>
          <w:p>
            <w:pPr>
              <w:jc w:val="center"/>
            </w:pPr>
          </w:p>
        </w:tc>
        <w:tc>
          <w:tcPr>
            <w:tcW w:w="645" w:type="dxa"/>
            <w:vMerge w:val="continue"/>
            <w:vAlign w:val="center"/>
          </w:tcPr>
          <w:p>
            <w:pPr>
              <w:jc w:val="center"/>
            </w:pPr>
          </w:p>
        </w:tc>
        <w:tc>
          <w:tcPr>
            <w:tcW w:w="670" w:type="dxa"/>
            <w:vMerge w:val="continue"/>
            <w:vAlign w:val="center"/>
          </w:tcPr>
          <w:p>
            <w:pPr>
              <w:jc w:val="center"/>
            </w:pPr>
          </w:p>
        </w:tc>
        <w:tc>
          <w:tcPr>
            <w:tcW w:w="605" w:type="dxa"/>
            <w:vMerge w:val="continue"/>
            <w:vAlign w:val="center"/>
          </w:tcPr>
          <w:p>
            <w:pPr>
              <w:jc w:val="center"/>
            </w:pPr>
          </w:p>
        </w:tc>
        <w:tc>
          <w:tcPr>
            <w:tcW w:w="61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58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4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1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c>
          <w:tcPr>
            <w:tcW w:w="57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8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600"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64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670"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605" w:type="dxa"/>
            <w:vAlign w:val="center"/>
          </w:tcPr>
          <w:p>
            <w:pPr>
              <w:jc w:val="center"/>
              <w:rPr>
                <w:rFonts w:hint="default"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610"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58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630"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64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615"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578"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633"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633"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633" w:type="dxa"/>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sz w:val="18"/>
                <w:szCs w:val="18"/>
                <w:lang w:val="en-US" w:eastAsia="zh-CN"/>
              </w:rPr>
              <w:t>0</w:t>
            </w:r>
          </w:p>
        </w:tc>
        <w:tc>
          <w:tcPr>
            <w:tcW w:w="688" w:type="dxa"/>
            <w:vAlign w:val="center"/>
          </w:tcPr>
          <w:p>
            <w:pPr>
              <w:numPr>
                <w:ilvl w:val="0"/>
                <w:numId w:val="0"/>
              </w:numPr>
              <w:ind w:left="0" w:leftChars="0" w:firstLine="0" w:firstLineChars="0"/>
              <w:jc w:val="center"/>
              <w:rPr>
                <w:rFonts w:hint="default" w:asciiTheme="minorEastAsia" w:hAnsi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bdr w:val="none" w:color="auto" w:sz="0" w:space="0"/>
          <w:lang w:val="en-US"/>
        </w:rPr>
        <w:t>五、</w:t>
      </w:r>
      <w:r>
        <w:rPr>
          <w:rFonts w:hint="eastAsia" w:ascii="黑体" w:hAnsi="黑体" w:eastAsia="黑体" w:cs="黑体"/>
          <w:i w:val="0"/>
          <w:iCs w:val="0"/>
          <w:caps w:val="0"/>
          <w:color w:val="000000"/>
          <w:spacing w:val="0"/>
          <w:sz w:val="32"/>
          <w:szCs w:val="32"/>
          <w:bdr w:val="none" w:color="auto" w:sz="0" w:space="0"/>
        </w:rPr>
        <w:t>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bdr w:val="none" w:color="auto" w:sz="0" w:space="0"/>
          <w:lang w:val="en-US"/>
        </w:rPr>
        <w:t>2021</w:t>
      </w:r>
      <w:r>
        <w:rPr>
          <w:rFonts w:hint="eastAsia" w:ascii="仿宋_GB2312" w:hAnsi="仿宋_GB2312" w:eastAsia="仿宋_GB2312" w:cs="仿宋_GB2312"/>
          <w:i w:val="0"/>
          <w:iCs w:val="0"/>
          <w:caps w:val="0"/>
          <w:color w:val="000000"/>
          <w:spacing w:val="0"/>
          <w:sz w:val="32"/>
          <w:szCs w:val="32"/>
          <w:bdr w:val="none" w:color="auto" w:sz="0" w:space="0"/>
        </w:rPr>
        <w:t>年我局政府信息公开工作取得了一定成效，但仍存在一些不足，主要表现为：公开内容不够规范全面，公开范围需要扩大。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Times New Roman" w:hAnsi="Times New Roman" w:eastAsia="仿宋_GB2312" w:cs="Times New Roman"/>
          <w:i w:val="0"/>
          <w:iCs w:val="0"/>
          <w:caps w:val="0"/>
          <w:color w:val="000000"/>
          <w:spacing w:val="0"/>
          <w:sz w:val="32"/>
          <w:szCs w:val="32"/>
          <w:lang w:val="en-US"/>
        </w:rPr>
        <w:t>2022</w:t>
      </w:r>
      <w:r>
        <w:rPr>
          <w:rFonts w:hint="eastAsia" w:ascii="仿宋_GB2312" w:hAnsi="仿宋_GB2312" w:eastAsia="仿宋_GB2312" w:cs="仿宋_GB2312"/>
          <w:i w:val="0"/>
          <w:iCs w:val="0"/>
          <w:caps w:val="0"/>
          <w:color w:val="000000"/>
          <w:spacing w:val="0"/>
          <w:sz w:val="32"/>
          <w:szCs w:val="32"/>
          <w:bdr w:val="none" w:color="auto" w:sz="0" w:space="0"/>
        </w:rPr>
        <w:t>年，我局将认真检查不足，重点做到：一是强化组织学习，明确工作职责。认真学习《条例》、《办法》等政务信息法律法规，政务公开领导小组牵头、各科室配合，按照工作职责对应公开的政府信息，迅速部署，做到应公开尽公开，增强政府信息公开工作主动性，形成工作合力，深入推进政府信息公开工作，提高执法系统信息公开工作水平。二是明确报送范围，着力做好重点领域信息公开。完善网站栏目保障机制，稳妥推进行政许可、执法检查、财政资金、工程建设等重点领域信息公开，拓展公开内容，提高社会公众信息获取的有效性和便捷度。三是强化督促检查，确保工作实效。按照区管委会统一要求，不断完善信息公开目录，优化网站栏目设置，突出信息公开重点，加大督促检查力度，每季度对信息公开工作进行自行考核，确保政府信息公开深入全面，信息公开取得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bdr w:val="none" w:color="auto" w:sz="0" w:space="0"/>
          <w:lang w:val="en-US"/>
        </w:rPr>
        <w:t>六、</w:t>
      </w:r>
      <w:r>
        <w:rPr>
          <w:rFonts w:hint="eastAsia" w:ascii="黑体" w:hAnsi="黑体" w:eastAsia="黑体" w:cs="黑体"/>
          <w:i w:val="0"/>
          <w:iCs w:val="0"/>
          <w:caps w:val="0"/>
          <w:color w:val="000000"/>
          <w:spacing w:val="0"/>
          <w:sz w:val="32"/>
          <w:szCs w:val="32"/>
          <w:bdr w:val="none" w:color="auto" w:sz="0" w:space="0"/>
        </w:rPr>
        <w:t>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bdr w:val="none" w:color="auto" w:sz="0" w:space="0"/>
        </w:rPr>
        <w:t>无</w:t>
      </w:r>
      <w:r>
        <w:rPr>
          <w:rFonts w:hint="eastAsia" w:ascii="仿宋_GB2312" w:hAnsi="仿宋_GB2312" w:eastAsia="仿宋_GB2312" w:cs="仿宋_GB2312"/>
          <w:i w:val="0"/>
          <w:iCs w:val="0"/>
          <w:caps w:val="0"/>
          <w:color w:val="000000"/>
          <w:spacing w:val="0"/>
          <w:sz w:val="32"/>
          <w:szCs w:val="32"/>
          <w:bdr w:val="none" w:color="auto" w:sz="0" w:space="0"/>
          <w:lang w:eastAsia="zh-CN"/>
        </w:rPr>
        <w:t>。</w:t>
      </w:r>
    </w:p>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微软雅黑" w:hAnsi="微软雅黑" w:eastAsia="微软雅黑" w:cs="微软雅黑"/>
          <w:i w:val="0"/>
          <w:iCs w:val="0"/>
          <w:caps w:val="0"/>
          <w:color w:val="000000"/>
          <w:spacing w:val="0"/>
          <w:sz w:val="24"/>
          <w:szCs w:val="24"/>
          <w:bdr w:val="none" w:color="auto" w:sz="0" w:space="0"/>
          <w:shd w:val="clear" w:fill="FFFFFF"/>
        </w:rPr>
      </w:pPr>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1473F5"/>
    <w:rsid w:val="132F6EDE"/>
    <w:rsid w:val="717E0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2022-01-27T01:28:01Z</dcterms:created>
  <dc:creator>Lenovo009</dc:creator>
  <cp:lastModifiedBy>一依</cp:lastModifiedBy>
  <dcterms:modified xsi:type="dcterms:W3CDTF">2022-01-27T01:46:00Z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C794780D5F954B039ED0E32EC9D70D21</vt:lpwstr>
  </property>
</Properties>
</file>