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40" w:lineRule="atLeast"/>
        <w:jc w:val="center"/>
        <w:rPr>
          <w:rFonts w:hint="eastAsia" w:ascii="方正小标宋简体" w:hAnsi="微软雅黑" w:eastAsia="方正小标宋简体" w:cs="宋体"/>
          <w:color w:val="000000"/>
          <w:kern w:val="0"/>
          <w:sz w:val="44"/>
          <w:szCs w:val="44"/>
          <w:lang w:val="en-US" w:eastAsia="zh-CN"/>
        </w:rPr>
      </w:pPr>
      <w:r>
        <w:rPr>
          <w:rFonts w:hint="eastAsia" w:ascii="方正小标宋简体" w:hAnsi="微软雅黑" w:eastAsia="方正小标宋简体" w:cs="宋体"/>
          <w:color w:val="000000"/>
          <w:kern w:val="0"/>
          <w:sz w:val="44"/>
          <w:szCs w:val="44"/>
          <w:lang w:val="en-US" w:eastAsia="zh-CN"/>
        </w:rPr>
        <w:t>淄博市自然资源和规划局经济开发区分局</w:t>
      </w:r>
    </w:p>
    <w:p>
      <w:pPr>
        <w:widowControl/>
        <w:shd w:val="clear" w:color="auto" w:fill="FFFFFF"/>
        <w:spacing w:line="640" w:lineRule="atLeast"/>
        <w:jc w:val="center"/>
        <w:rPr>
          <w:rFonts w:ascii="微软雅黑" w:hAnsi="微软雅黑" w:eastAsia="微软雅黑" w:cs="宋体"/>
          <w:color w:val="000000"/>
          <w:kern w:val="0"/>
          <w:sz w:val="27"/>
          <w:szCs w:val="27"/>
        </w:rPr>
      </w:pPr>
      <w:r>
        <w:rPr>
          <w:rFonts w:hint="eastAsia" w:ascii="方正小标宋简体" w:hAnsi="微软雅黑" w:eastAsia="方正小标宋简体" w:cs="宋体"/>
          <w:color w:val="000000"/>
          <w:kern w:val="0"/>
          <w:sz w:val="44"/>
          <w:szCs w:val="44"/>
        </w:rPr>
        <w:t>2020年政府信息公开工作年度报告</w:t>
      </w:r>
    </w:p>
    <w:p>
      <w:pPr>
        <w:widowControl/>
        <w:shd w:val="clear" w:color="auto" w:fill="FFFFFF"/>
        <w:spacing w:line="640" w:lineRule="atLeas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报告是根据新修订的《中华人民共和国政府信息公开条例》、《国务院办公厅政府信息与政务公开办公室关于政府信息公开工作年度报告有关事项的通知》（国办公开办函〔2019〕60号）和省、市有关工作要求，编制并向社会公开。</w:t>
      </w:r>
      <w:r>
        <w:rPr>
          <w:rFonts w:hint="eastAsia" w:ascii="仿宋_GB2312" w:hAnsi="仿宋_GB2312" w:eastAsia="仿宋_GB2312" w:cs="仿宋_GB2312"/>
          <w:color w:val="000000"/>
          <w:kern w:val="0"/>
          <w:sz w:val="32"/>
          <w:szCs w:val="32"/>
        </w:rPr>
        <w:t>本报告所列数据的统计时限自2020年1月1日至2020年12月</w:t>
      </w:r>
      <w:r>
        <w:rPr>
          <w:rFonts w:hint="eastAsia" w:ascii="仿宋_GB2312" w:hAnsi="仿宋_GB2312" w:eastAsia="仿宋_GB2312" w:cs="仿宋_GB2312"/>
          <w:color w:val="000000"/>
          <w:kern w:val="0"/>
          <w:sz w:val="32"/>
          <w:szCs w:val="32"/>
          <w:highlight w:val="none"/>
        </w:rPr>
        <w:t>31日</w:t>
      </w:r>
      <w:r>
        <w:rPr>
          <w:rFonts w:ascii="仿宋" w:hAnsi="仿宋" w:eastAsia="仿宋" w:cs="仿宋"/>
          <w:i w:val="0"/>
          <w:iCs w:val="0"/>
          <w:caps w:val="0"/>
          <w:color w:val="000000"/>
          <w:spacing w:val="0"/>
          <w:sz w:val="32"/>
          <w:szCs w:val="32"/>
          <w:highlight w:val="none"/>
          <w:shd w:val="clear" w:fill="FFFFFF"/>
        </w:rPr>
        <w:t>。</w:t>
      </w:r>
      <w:r>
        <w:rPr>
          <w:rFonts w:ascii="仿宋_GB2312" w:hAnsi="宋体" w:eastAsia="仿宋_GB2312" w:cs="仿宋_GB2312"/>
          <w:i w:val="0"/>
          <w:iCs w:val="0"/>
          <w:caps w:val="0"/>
          <w:color w:val="000000"/>
          <w:spacing w:val="0"/>
          <w:sz w:val="32"/>
          <w:szCs w:val="32"/>
          <w:highlight w:val="none"/>
          <w:shd w:val="clear" w:fill="FFFFFF"/>
        </w:rPr>
        <w:t>本报告可在淄博经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济开发区门户网站(</w:t>
      </w:r>
      <w:r>
        <w:rPr>
          <w:rFonts w:hint="default" w:ascii="仿宋_GB2312" w:hAnsi="仿宋_GB2312" w:eastAsia="仿宋_GB2312" w:cs="仿宋_GB2312"/>
          <w:color w:val="000000" w:themeColor="text1"/>
          <w:kern w:val="0"/>
          <w:sz w:val="32"/>
          <w:szCs w:val="32"/>
          <w:highlight w:val="none"/>
          <w14:textFill>
            <w14:solidFill>
              <w14:schemeClr w14:val="tx1"/>
            </w14:solidFill>
          </w14:textFill>
        </w:rPr>
        <w:t>http://www.zbjkq.gov.cn)</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下载。如对</w:t>
      </w:r>
      <w:r>
        <w:rPr>
          <w:rFonts w:hint="eastAsia" w:ascii="仿宋_GB2312" w:hAnsi="仿宋_GB2312" w:eastAsia="仿宋_GB2312" w:cs="仿宋_GB2312"/>
          <w:color w:val="000000" w:themeColor="text1"/>
          <w:kern w:val="0"/>
          <w:sz w:val="32"/>
          <w:szCs w:val="32"/>
          <w14:textFill>
            <w14:solidFill>
              <w14:schemeClr w14:val="tx1"/>
            </w14:solidFill>
          </w14:textFill>
        </w:rPr>
        <w:t>本报告有任何疑问，请与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淄博市自然资源和规划局经济开发区分局</w:t>
      </w:r>
      <w:r>
        <w:rPr>
          <w:rFonts w:hint="eastAsia" w:ascii="仿宋_GB2312" w:hAnsi="仿宋_GB2312" w:eastAsia="仿宋_GB2312" w:cs="仿宋_GB2312"/>
          <w:color w:val="000000" w:themeColor="text1"/>
          <w:kern w:val="0"/>
          <w:sz w:val="32"/>
          <w:szCs w:val="32"/>
          <w14:textFill>
            <w14:solidFill>
              <w14:schemeClr w14:val="tx1"/>
            </w14:solidFill>
          </w14:textFill>
        </w:rPr>
        <w:t>联系（地址：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南京路与王舍路路口东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150米路北</w:t>
      </w:r>
      <w:r>
        <w:rPr>
          <w:rFonts w:hint="eastAsia" w:ascii="仿宋_GB2312" w:hAnsi="仿宋_GB2312" w:eastAsia="仿宋_GB2312" w:cs="仿宋_GB2312"/>
          <w:color w:val="000000" w:themeColor="text1"/>
          <w:kern w:val="0"/>
          <w:sz w:val="32"/>
          <w:szCs w:val="32"/>
          <w14:textFill>
            <w14:solidFill>
              <w14:schemeClr w14:val="tx1"/>
            </w14:solidFill>
          </w14:textFill>
        </w:rPr>
        <w:t>；邮编：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255000</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0533-7870190</w:t>
      </w:r>
      <w:r>
        <w:rPr>
          <w:rFonts w:hint="eastAsia" w:ascii="仿宋_GB2312" w:hAnsi="仿宋_GB2312" w:eastAsia="仿宋_GB2312" w:cs="仿宋_GB2312"/>
          <w:color w:val="000000" w:themeColor="text1"/>
          <w:kern w:val="0"/>
          <w:sz w:val="32"/>
          <w:szCs w:val="32"/>
          <w14:textFill>
            <w14:solidFill>
              <w14:schemeClr w14:val="tx1"/>
            </w14:solidFill>
          </w14:textFill>
        </w:rPr>
        <w:t>；传真：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0533-7870190</w:t>
      </w:r>
      <w:r>
        <w:rPr>
          <w:rFonts w:hint="eastAsia" w:ascii="仿宋_GB2312" w:hAnsi="仿宋_GB2312" w:eastAsia="仿宋_GB2312" w:cs="仿宋_GB2312"/>
          <w:color w:val="000000" w:themeColor="text1"/>
          <w:kern w:val="0"/>
          <w:sz w:val="32"/>
          <w:szCs w:val="32"/>
          <w14:textFill>
            <w14:solidFill>
              <w14:schemeClr w14:val="tx1"/>
            </w14:solidFill>
          </w14:textFill>
        </w:rPr>
        <w:t>；电子信箱：</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(zibojingkaiquguotufenju@zb.shandong.cn</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widowControl/>
        <w:shd w:val="clear" w:color="auto" w:fill="FFFFFF"/>
        <w:jc w:val="left"/>
        <w:rPr>
          <w:rFonts w:hint="eastAsia" w:ascii="宋体" w:hAnsi="宋体" w:eastAsia="宋体" w:cs="宋体"/>
          <w:color w:val="000000"/>
          <w:kern w:val="0"/>
          <w:sz w:val="32"/>
          <w:szCs w:val="32"/>
        </w:rPr>
      </w:pPr>
    </w:p>
    <w:p>
      <w:pPr>
        <w:widowControl/>
        <w:numPr>
          <w:ilvl w:val="0"/>
          <w:numId w:val="1"/>
        </w:numPr>
        <w:shd w:val="clear" w:color="auto" w:fill="FFFFFF"/>
        <w:ind w:firstLine="640" w:firstLineChars="20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总体情况</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主动公开情况。</w:t>
      </w:r>
    </w:p>
    <w:p>
      <w:pPr>
        <w:widowControl/>
        <w:ind w:firstLine="64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深入推进政府信息主动公开。根据我局机构改革情况，及时更新公布机关职能、机构设置、联系方式和相关负责人等信息。紧密围绕土地征收、城乡规划、林业工作等重点工作部署，及时根据工作开展情况公开信息，及时高效做好政务信息发布工作。</w:t>
      </w:r>
    </w:p>
    <w:p>
      <w:pPr>
        <w:widowControl/>
        <w:ind w:firstLine="640"/>
        <w:jc w:val="left"/>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2"/>
          <w:szCs w:val="32"/>
        </w:rPr>
        <w:t>2020年，分局通过微信公众号发布信息35条；通过新媒体发布信息3条；通过淄博经济开发区管理委员会网站发布信息7条；通过《经开区信息》发布信息  条。完善更新淄博市自然资源和规划局经济开发区分局政府信息公开目录，公开财政预决算、人事信息、工作动态、重要决策部署、政策文件等内容，每年定期发布政府信息公开年报和网站工作报表。同时，结合工作实际，围绕保护耕地、森林防火知识普及推进信息公开，运用广电媒体、报纸、网络新媒体等宣传平台做好多维度宣传工作，进一步推动提高公众风险防范意识。</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leftChars="0" w:right="0" w:rightChars="0"/>
        <w:rPr>
          <w:rFonts w:hint="eastAsia" w:ascii="楷体" w:hAnsi="楷体" w:eastAsia="楷体" w:cs="楷体"/>
          <w:i w:val="0"/>
          <w:iCs w:val="0"/>
          <w:caps w:val="0"/>
          <w:color w:val="000000"/>
          <w:spacing w:val="0"/>
          <w:sz w:val="32"/>
          <w:szCs w:val="32"/>
          <w:shd w:val="clear" w:fill="FFFFFF"/>
        </w:rPr>
      </w:pPr>
      <w:r>
        <w:rPr>
          <w:rFonts w:hint="eastAsia" w:ascii="微软雅黑" w:hAnsi="微软雅黑" w:eastAsia="微软雅黑" w:cs="宋体"/>
          <w:color w:val="000000"/>
          <w:kern w:val="0"/>
          <w:sz w:val="24"/>
          <w:szCs w:val="24"/>
        </w:rPr>
        <w:drawing>
          <wp:inline distT="0" distB="0" distL="0" distR="0">
            <wp:extent cx="5274310" cy="3076575"/>
            <wp:effectExtent l="5080" t="4445" r="1651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firstLine="640" w:firstLineChars="0"/>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依申请公开。</w:t>
      </w:r>
    </w:p>
    <w:p>
      <w:pPr>
        <w:widowControl/>
        <w:ind w:firstLine="640"/>
        <w:jc w:val="left"/>
        <w:rPr>
          <w:rFonts w:hint="eastAsia" w:ascii="楷体" w:hAnsi="楷体" w:eastAsia="楷体" w:cs="楷体"/>
          <w:i w:val="0"/>
          <w:iCs w:val="0"/>
          <w:caps w:val="0"/>
          <w:color w:val="000000"/>
          <w:spacing w:val="0"/>
          <w:sz w:val="32"/>
          <w:szCs w:val="32"/>
          <w:shd w:val="clear" w:fill="FFFFFF"/>
        </w:rPr>
      </w:pPr>
      <w:r>
        <w:rPr>
          <w:rFonts w:hint="eastAsia" w:ascii="仿宋_GB2312" w:hAnsi="微软雅黑" w:eastAsia="仿宋_GB2312" w:cs="宋体"/>
          <w:color w:val="000000"/>
          <w:kern w:val="0"/>
          <w:sz w:val="32"/>
          <w:szCs w:val="32"/>
        </w:rPr>
        <w:t>2020年新收政府信息公开申请6件，已办理6件，结转下年度继续办理0件。其中，自然人申请的信息公开数量为6件，法人或其他组织申请公开数量为0件。上述信息公开申请的内容主要涉及土地征收及补偿文件、用地规划信息、不动产登记信息等方面，均已在法定期限内答复申请人。</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firstLine="640" w:firstLineChars="0"/>
        <w:jc w:val="both"/>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政府信息管理。</w:t>
      </w:r>
    </w:p>
    <w:p>
      <w:pPr>
        <w:widowControl/>
        <w:ind w:firstLine="640"/>
        <w:jc w:val="left"/>
        <w:rPr>
          <w:rFonts w:hint="eastAsia" w:ascii="楷体" w:hAnsi="楷体" w:eastAsia="楷体" w:cs="楷体"/>
          <w:i w:val="0"/>
          <w:iCs w:val="0"/>
          <w:caps w:val="0"/>
          <w:color w:val="000000"/>
          <w:spacing w:val="0"/>
          <w:sz w:val="32"/>
          <w:szCs w:val="32"/>
          <w:shd w:val="clear" w:fill="FFFFFF"/>
        </w:rPr>
      </w:pPr>
      <w:r>
        <w:rPr>
          <w:rFonts w:hint="eastAsia" w:ascii="仿宋_GB2312" w:hAnsi="微软雅黑" w:eastAsia="仿宋_GB2312" w:cs="宋体"/>
          <w:color w:val="000000"/>
          <w:kern w:val="0"/>
          <w:sz w:val="32"/>
          <w:szCs w:val="32"/>
        </w:rPr>
        <w:t>继续落实《淄博市人民政府办公室关于印发淄博市2020年政务公开工作要点的通知》，将公文公开属性源头认定和发布审查嵌入发文流程。全年共发文126件，无涉密发文。</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firstLine="640" w:firstLineChars="0"/>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平台建设。</w:t>
      </w:r>
    </w:p>
    <w:p>
      <w:pPr>
        <w:widowControl/>
        <w:ind w:firstLine="640"/>
        <w:jc w:val="left"/>
        <w:rPr>
          <w:rFonts w:hint="eastAsia" w:ascii="楷体" w:hAnsi="楷体" w:eastAsia="楷体" w:cs="楷体"/>
          <w:i w:val="0"/>
          <w:iCs w:val="0"/>
          <w:caps w:val="0"/>
          <w:color w:val="000000"/>
          <w:spacing w:val="0"/>
          <w:sz w:val="32"/>
          <w:szCs w:val="32"/>
          <w:shd w:val="clear" w:fill="FFFFFF"/>
        </w:rPr>
      </w:pPr>
      <w:r>
        <w:rPr>
          <w:rFonts w:hint="eastAsia" w:ascii="仿宋_GB2312" w:hAnsi="微软雅黑" w:eastAsia="仿宋_GB2312" w:cs="宋体"/>
          <w:color w:val="000000"/>
          <w:kern w:val="0"/>
          <w:sz w:val="32"/>
          <w:szCs w:val="32"/>
        </w:rPr>
        <w:t>加强本单位网站组织机构、工作动态、通知公告、统计数据、统计法治等栏目的审核发布，严防安全、泄密、无效链接等问题。按要求做好各类栏目信息发布频率管理工作，确保网站信息发布内容准确、格式规范。年初申请设立“淄博经济开发区自然资源局”微信公众号，突出单位精神文明建设特色，及时发布单位重要工作情况。</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firstLine="640" w:firstLineChars="0"/>
        <w:jc w:val="both"/>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监督保障。</w:t>
      </w:r>
    </w:p>
    <w:p>
      <w:pPr>
        <w:widowControl/>
        <w:ind w:firstLine="64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围绕政务公开工作重点，做好信息公开指南、信息公开目录、信息公开制度、法定主动公开内容、依申请公开、行政处罚公开等内容的审核更新，做好各相关栏目信息公开发布频率自查，按照工作要求，做好分类对照，做到按时、规范公开。落实专人负责，积极主动做好政务公开相关工作的对接和任务落实，逐条对照正文公开工作要点，确保政务公开工作顺利推进。</w:t>
      </w:r>
    </w:p>
    <w:p>
      <w:pPr>
        <w:widowControl/>
        <w:ind w:firstLine="640"/>
        <w:jc w:val="left"/>
        <w:rPr>
          <w:rFonts w:hint="eastAsia" w:ascii="仿宋_GB2312" w:hAnsi="微软雅黑" w:eastAsia="仿宋_GB2312" w:cs="宋体"/>
          <w:color w:val="000000"/>
          <w:kern w:val="0"/>
          <w:sz w:val="32"/>
          <w:szCs w:val="32"/>
        </w:rPr>
      </w:pPr>
    </w:p>
    <w:p>
      <w:pPr>
        <w:widowControl/>
        <w:shd w:val="clear" w:color="auto" w:fill="FFFFFF"/>
        <w:ind w:firstLine="640" w:firstLineChars="200"/>
        <w:jc w:val="left"/>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二、主动公开政府信息情况</w:t>
      </w:r>
    </w:p>
    <w:p>
      <w:pPr>
        <w:widowControl/>
        <w:shd w:val="clear" w:color="auto" w:fill="FFFFFF"/>
        <w:jc w:val="left"/>
        <w:rPr>
          <w:rFonts w:ascii="微软雅黑" w:hAnsi="微软雅黑" w:eastAsia="微软雅黑" w:cs="宋体"/>
          <w:color w:val="000000"/>
          <w:kern w:val="0"/>
          <w:sz w:val="27"/>
          <w:szCs w:val="27"/>
        </w:rPr>
      </w:pPr>
    </w:p>
    <w:tbl>
      <w:tblPr>
        <w:tblStyle w:val="5"/>
        <w:tblW w:w="9957" w:type="dxa"/>
        <w:jc w:val="center"/>
        <w:tblLayout w:type="autofit"/>
        <w:tblCellMar>
          <w:top w:w="0" w:type="dxa"/>
          <w:left w:w="0" w:type="dxa"/>
          <w:bottom w:w="0" w:type="dxa"/>
          <w:right w:w="0" w:type="dxa"/>
        </w:tblCellMar>
      </w:tblPr>
      <w:tblGrid>
        <w:gridCol w:w="3207"/>
        <w:gridCol w:w="2649"/>
        <w:gridCol w:w="2709"/>
        <w:gridCol w:w="1392"/>
      </w:tblGrid>
      <w:tr>
        <w:tblPrEx>
          <w:tblCellMar>
            <w:top w:w="0" w:type="dxa"/>
            <w:left w:w="0" w:type="dxa"/>
            <w:bottom w:w="0" w:type="dxa"/>
            <w:right w:w="0" w:type="dxa"/>
          </w:tblCellMar>
        </w:tblPrEx>
        <w:trPr>
          <w:trHeight w:val="473" w:hRule="atLeast"/>
          <w:jc w:val="center"/>
        </w:trPr>
        <w:tc>
          <w:tcPr>
            <w:tcW w:w="995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第二十条第（一）项</w:t>
            </w:r>
          </w:p>
        </w:tc>
      </w:tr>
      <w:tr>
        <w:tblPrEx>
          <w:tblCellMar>
            <w:top w:w="0" w:type="dxa"/>
            <w:left w:w="0" w:type="dxa"/>
            <w:bottom w:w="0" w:type="dxa"/>
            <w:right w:w="0" w:type="dxa"/>
          </w:tblCellMar>
        </w:tblPrEx>
        <w:trPr>
          <w:trHeight w:val="550"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本年新制作数量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公开数量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对外公开</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总数量</w:t>
            </w:r>
          </w:p>
        </w:tc>
      </w:tr>
      <w:tr>
        <w:tblPrEx>
          <w:tblCellMar>
            <w:top w:w="0" w:type="dxa"/>
            <w:left w:w="0" w:type="dxa"/>
            <w:bottom w:w="0" w:type="dxa"/>
            <w:right w:w="0" w:type="dxa"/>
          </w:tblCellMar>
        </w:tblPrEx>
        <w:trPr>
          <w:trHeight w:val="55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规章</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5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规范性文件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39"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第二十条第（五）项</w:t>
            </w:r>
          </w:p>
        </w:tc>
      </w:tr>
      <w:tr>
        <w:tblPrEx>
          <w:tblCellMar>
            <w:top w:w="0" w:type="dxa"/>
            <w:left w:w="0" w:type="dxa"/>
            <w:bottom w:w="0" w:type="dxa"/>
            <w:right w:w="0" w:type="dxa"/>
          </w:tblCellMar>
        </w:tblPrEx>
        <w:trPr>
          <w:trHeight w:val="62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544"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行政许可</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36"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其他对外管理服务事项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08"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第二十条第（六）项</w:t>
            </w:r>
          </w:p>
        </w:tc>
      </w:tr>
      <w:tr>
        <w:tblPrEx>
          <w:tblCellMar>
            <w:top w:w="0" w:type="dxa"/>
            <w:left w:w="0" w:type="dxa"/>
            <w:bottom w:w="0" w:type="dxa"/>
            <w:right w:w="0" w:type="dxa"/>
          </w:tblCellMar>
        </w:tblPrEx>
        <w:trPr>
          <w:trHeight w:val="481"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行政处罚</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行政强制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71"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第二十条第（八）项</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行政事业性收费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87"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第二十条第（九）项</w:t>
            </w:r>
          </w:p>
        </w:tc>
      </w:tr>
      <w:tr>
        <w:tblPrEx>
          <w:tblCellMar>
            <w:top w:w="0" w:type="dxa"/>
            <w:left w:w="0" w:type="dxa"/>
            <w:bottom w:w="0" w:type="dxa"/>
            <w:right w:w="0" w:type="dxa"/>
          </w:tblCellMar>
        </w:tblPrEx>
        <w:trPr>
          <w:trHeight w:val="40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采购总金额</w:t>
            </w:r>
          </w:p>
        </w:tc>
      </w:tr>
      <w:tr>
        <w:tblPrEx>
          <w:tblCellMar>
            <w:top w:w="0" w:type="dxa"/>
            <w:left w:w="0" w:type="dxa"/>
            <w:bottom w:w="0" w:type="dxa"/>
            <w:right w:w="0" w:type="dxa"/>
          </w:tblCellMar>
        </w:tblPrEx>
        <w:trPr>
          <w:trHeight w:val="42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政府集中采购</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rPr>
              <w:t>万</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rPr>
          <w:rFonts w:hint="eastAsia" w:ascii="微软雅黑" w:hAnsi="微软雅黑" w:eastAsia="微软雅黑" w:cs="宋体"/>
          <w:color w:val="000000"/>
          <w:kern w:val="0"/>
          <w:sz w:val="27"/>
          <w:szCs w:val="27"/>
        </w:rPr>
      </w:pPr>
    </w:p>
    <w:p>
      <w:pPr>
        <w:widowControl/>
        <w:shd w:val="clear" w:color="auto" w:fill="FFFFFF"/>
        <w:rPr>
          <w:rFonts w:hint="eastAsia" w:ascii="微软雅黑" w:hAnsi="微软雅黑" w:eastAsia="微软雅黑" w:cs="宋体"/>
          <w:color w:val="000000"/>
          <w:kern w:val="0"/>
          <w:sz w:val="27"/>
          <w:szCs w:val="27"/>
        </w:rPr>
      </w:pPr>
    </w:p>
    <w:p>
      <w:pPr>
        <w:widowControl/>
        <w:shd w:val="clear" w:color="auto" w:fill="FFFFFF"/>
        <w:rPr>
          <w:rFonts w:hint="eastAsia" w:ascii="微软雅黑" w:hAnsi="微软雅黑" w:eastAsia="微软雅黑" w:cs="宋体"/>
          <w:color w:val="000000"/>
          <w:kern w:val="0"/>
          <w:sz w:val="27"/>
          <w:szCs w:val="27"/>
        </w:rPr>
      </w:pPr>
    </w:p>
    <w:p>
      <w:pPr>
        <w:widowControl/>
        <w:shd w:val="clear" w:color="auto" w:fill="FFFFFF"/>
        <w:ind w:firstLine="640" w:firstLineChars="200"/>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三、收到和处理政府信息公开申请情况</w:t>
      </w:r>
    </w:p>
    <w:tbl>
      <w:tblPr>
        <w:tblStyle w:val="6"/>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（本列数据的勾稽关系为：第一项加第二项之和，等于第三项加第四项之和）</w:t>
            </w:r>
          </w:p>
        </w:tc>
        <w:tc>
          <w:tcPr>
            <w:tcW w:w="4961" w:type="dxa"/>
            <w:gridSpan w:val="7"/>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restart"/>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20"/>
                <w:szCs w:val="21"/>
              </w:rPr>
              <w:t>自然人</w:t>
            </w:r>
          </w:p>
        </w:tc>
        <w:tc>
          <w:tcPr>
            <w:tcW w:w="3544"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法人或其他组织</w:t>
            </w:r>
          </w:p>
        </w:tc>
        <w:tc>
          <w:tcPr>
            <w:tcW w:w="850" w:type="dxa"/>
            <w:vMerge w:val="restart"/>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continue"/>
          </w:tcPr>
          <w:p>
            <w:pPr>
              <w:rPr>
                <w:rFonts w:ascii="Times New Roman" w:hAnsi="Times New Roman" w:eastAsia="宋体" w:cs="Times New Roman"/>
                <w:kern w:val="0"/>
                <w:sz w:val="18"/>
                <w:szCs w:val="18"/>
              </w:rPr>
            </w:pP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商业企业</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科研机构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社会公益组织</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法律服务机构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w:t>
            </w:r>
          </w:p>
        </w:tc>
        <w:tc>
          <w:tcPr>
            <w:tcW w:w="850" w:type="dxa"/>
            <w:vMerge w:val="continue"/>
            <w:vAlign w:val="center"/>
          </w:tcPr>
          <w:p>
            <w:pP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一、本年新收政府信息公开申请数量</w:t>
            </w:r>
          </w:p>
        </w:tc>
        <w:tc>
          <w:tcPr>
            <w:tcW w:w="567"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w:t>
            </w:r>
          </w:p>
        </w:tc>
        <w:tc>
          <w:tcPr>
            <w:tcW w:w="709" w:type="dxa"/>
            <w:vAlign w:val="center"/>
          </w:tcPr>
          <w:p>
            <w:pPr>
              <w:rPr>
                <w:rFonts w:ascii="Times New Roman" w:hAnsi="Times New Roman" w:eastAsia="宋体" w:cs="Times New Roman"/>
                <w:kern w:val="0"/>
                <w:sz w:val="20"/>
                <w:szCs w:val="21"/>
              </w:rPr>
            </w:pPr>
          </w:p>
        </w:tc>
        <w:tc>
          <w:tcPr>
            <w:tcW w:w="708"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850" w:type="dxa"/>
            <w:vAlign w:val="center"/>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二、上年结转政府信息公开申请数量</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三、本年度办理结果</w:t>
            </w: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（一）予以公开</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2</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（二）部分公开（区分处理的，只计这一情形，不计其他情形）</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（三）不予公开</w:t>
            </w: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1</w:t>
            </w:r>
            <w:r>
              <w:rPr>
                <w:rFonts w:hint="eastAsia" w:ascii="宋体" w:hAnsi="宋体" w:eastAsia="宋体" w:cs="Times New Roman"/>
                <w:kern w:val="0"/>
                <w:sz w:val="18"/>
                <w:szCs w:val="18"/>
              </w:rPr>
              <w:t>．属于国家秘密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宋体" w:hAnsi="宋体"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2．其他法律行政法规禁止公开</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3．危及“三安全一稳定”</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4．保护第三方合法权益</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5．属于三类内部事务信息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6．属于四类过程性信息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7．属于行政执法案卷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8．属于行政查询事项</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（四）无法提供</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1．本机关不掌握相关政府信息</w:t>
            </w:r>
          </w:p>
        </w:tc>
        <w:tc>
          <w:tcPr>
            <w:tcW w:w="567"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2．没有现成信息需要另行制作</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3．补正后申请内容仍不明确</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（五）</w:t>
            </w:r>
            <w:r>
              <w:rPr>
                <w:rFonts w:hint="eastAsia" w:ascii="宋体" w:hAnsi="宋体" w:eastAsia="宋体" w:cs="Times New Roman"/>
                <w:kern w:val="0"/>
                <w:sz w:val="18"/>
                <w:szCs w:val="18"/>
              </w:rPr>
              <w:t>不予处理</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1．信访举报投诉类申请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3</w:t>
            </w:r>
            <w:r>
              <w:rPr>
                <w:rFonts w:hint="eastAsia" w:ascii="宋体" w:hAnsi="宋体" w:eastAsia="宋体" w:cs="Times New Roman"/>
                <w:kern w:val="0"/>
                <w:sz w:val="18"/>
                <w:szCs w:val="18"/>
              </w:rPr>
              <w:t>．要求提供公开出版物</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4．无正当理由大量反复申请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ind w:left="180" w:hanging="180" w:hangingChars="100"/>
              <w:rPr>
                <w:rFonts w:ascii="宋体" w:hAnsi="宋体" w:eastAsia="宋体" w:cs="Times New Roman"/>
                <w:kern w:val="0"/>
                <w:sz w:val="18"/>
                <w:szCs w:val="18"/>
              </w:rPr>
            </w:pPr>
            <w:r>
              <w:rPr>
                <w:rFonts w:hint="eastAsia" w:ascii="宋体" w:hAnsi="宋体" w:eastAsia="宋体" w:cs="Times New Roman"/>
                <w:kern w:val="0"/>
                <w:sz w:val="18"/>
                <w:szCs w:val="18"/>
              </w:rPr>
              <w:t>5．要求行政机关确认或重新出具已获取信息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（六）其他处理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（七）总计</w:t>
            </w:r>
          </w:p>
        </w:tc>
        <w:tc>
          <w:tcPr>
            <w:tcW w:w="567"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四、结转下年度继续办理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bl>
    <w:p/>
    <w:p>
      <w:pPr>
        <w:widowControl/>
        <w:shd w:val="clear" w:color="auto" w:fill="FFFFFF"/>
        <w:jc w:val="center"/>
        <w:rPr>
          <w:rFonts w:hint="eastAsia" w:ascii="微软雅黑" w:hAnsi="微软雅黑" w:eastAsia="微软雅黑" w:cs="宋体"/>
          <w:color w:val="000000"/>
          <w:kern w:val="0"/>
          <w:sz w:val="27"/>
          <w:szCs w:val="27"/>
        </w:rPr>
      </w:pPr>
    </w:p>
    <w:p>
      <w:pPr>
        <w:widowControl/>
        <w:shd w:val="clear" w:color="auto" w:fill="FFFFFF"/>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四．政府信息公开行政复议、行政诉讼情况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680"/>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行政复议</w:t>
            </w:r>
          </w:p>
        </w:tc>
        <w:tc>
          <w:tcPr>
            <w:tcW w:w="6804" w:type="dxa"/>
            <w:gridSpan w:val="10"/>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8"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2"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94"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未经复议直接起诉</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ascii="Times New Roman" w:hAnsi="Times New Roman" w:eastAsia="宋体" w:cs="Times New Roman"/>
                <w:kern w:val="0"/>
                <w:sz w:val="18"/>
                <w:szCs w:val="18"/>
              </w:rPr>
            </w:pPr>
          </w:p>
        </w:tc>
        <w:tc>
          <w:tcPr>
            <w:tcW w:w="708" w:type="dxa"/>
            <w:vMerge w:val="continue"/>
            <w:vAlign w:val="center"/>
          </w:tcPr>
          <w:p>
            <w:pPr>
              <w:jc w:val="center"/>
              <w:rPr>
                <w:rFonts w:ascii="Times New Roman" w:hAnsi="Times New Roman" w:eastAsia="宋体" w:cs="Times New Roman"/>
                <w:kern w:val="0"/>
                <w:sz w:val="18"/>
                <w:szCs w:val="18"/>
              </w:rPr>
            </w:pPr>
          </w:p>
        </w:tc>
        <w:tc>
          <w:tcPr>
            <w:tcW w:w="709" w:type="dxa"/>
            <w:vMerge w:val="continue"/>
            <w:vAlign w:val="center"/>
          </w:tcPr>
          <w:p>
            <w:pPr>
              <w:jc w:val="center"/>
              <w:rPr>
                <w:rFonts w:ascii="Times New Roman" w:hAnsi="Times New Roman" w:eastAsia="宋体" w:cs="Times New Roman"/>
                <w:kern w:val="0"/>
                <w:sz w:val="18"/>
                <w:szCs w:val="18"/>
              </w:rPr>
            </w:pPr>
          </w:p>
        </w:tc>
        <w:tc>
          <w:tcPr>
            <w:tcW w:w="682" w:type="dxa"/>
            <w:vMerge w:val="continue"/>
            <w:vAlign w:val="center"/>
          </w:tcPr>
          <w:p>
            <w:pPr>
              <w:jc w:val="center"/>
              <w:rPr>
                <w:rFonts w:ascii="Times New Roman" w:hAnsi="Times New Roman" w:eastAsia="宋体" w:cs="Times New Roman"/>
                <w:kern w:val="0"/>
                <w:sz w:val="20"/>
                <w:szCs w:val="21"/>
              </w:rPr>
            </w:pPr>
          </w:p>
        </w:tc>
        <w:tc>
          <w:tcPr>
            <w:tcW w:w="594" w:type="dxa"/>
            <w:vMerge w:val="continue"/>
            <w:vAlign w:val="center"/>
          </w:tcPr>
          <w:p>
            <w:pPr>
              <w:jc w:val="center"/>
              <w:rPr>
                <w:rFonts w:ascii="Times New Roman" w:hAnsi="Times New Roman" w:eastAsia="宋体" w:cs="Times New Roman"/>
                <w:kern w:val="0"/>
                <w:sz w:val="20"/>
                <w:szCs w:val="21"/>
              </w:rPr>
            </w:pP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70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851"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65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454"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8"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682"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9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67"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851"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5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67"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8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45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r>
    </w:tbl>
    <w:p>
      <w:pPr>
        <w:widowControl/>
        <w:shd w:val="clear" w:color="auto" w:fill="FFFFFF"/>
        <w:jc w:val="center"/>
        <w:rPr>
          <w:rFonts w:ascii="微软雅黑" w:hAnsi="微软雅黑" w:eastAsia="微软雅黑" w:cs="宋体"/>
          <w:color w:val="000000"/>
          <w:kern w:val="0"/>
          <w:sz w:val="27"/>
          <w:szCs w:val="27"/>
        </w:rPr>
      </w:pPr>
    </w:p>
    <w:p>
      <w:pPr>
        <w:widowControl/>
        <w:numPr>
          <w:ilvl w:val="0"/>
          <w:numId w:val="3"/>
        </w:numPr>
        <w:shd w:val="clear" w:color="auto" w:fill="FFFFFF"/>
        <w:ind w:firstLine="640" w:firstLineChars="20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存在的主要问题及改进情况</w:t>
      </w:r>
    </w:p>
    <w:p>
      <w:pPr>
        <w:widowControl/>
        <w:ind w:firstLine="640"/>
        <w:jc w:val="left"/>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2"/>
          <w:szCs w:val="32"/>
        </w:rPr>
        <w:t>2020年，我局信息公开工作虽然取得了一定进展，但仍然存在一些问题和不足：一是政务公开的信息供给与市民群众的新期待新需求在一定程度上还不相匹配。二是全方位解读、回应、互动的格局还没有完全形成，政府信息公开率较低，政务公开标准化规范化建设有待加强。三是政务公开队伍专业化水平还需进一步提高。</w:t>
      </w:r>
    </w:p>
    <w:p>
      <w:pPr>
        <w:widowControl/>
        <w:ind w:firstLine="640"/>
        <w:jc w:val="left"/>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2"/>
          <w:szCs w:val="32"/>
        </w:rPr>
        <w:t>2021年，我局将按照国家、省、市的要求，继续积极推进政府信息公开工作，主要做好以下几个方面：</w:t>
      </w:r>
    </w:p>
    <w:p>
      <w:pPr>
        <w:widowControl/>
        <w:ind w:firstLine="640"/>
        <w:jc w:val="left"/>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2"/>
          <w:szCs w:val="32"/>
        </w:rPr>
        <w:t>一是完善政务公开制度体系。坚持以公开为常态、不公开为例外，加强政务信息管理，进一步完善政务公开的组织协调、保密审查、主动公开、依申请公开、政策解读、回应关切、政民互动、公众参与、平台建设等制度规范和工作流程体系。加大对社会各界关注度高、涉及群众切身利益、自然资源工作热点和亮点、创新与重大决定等信息的公开力度，切实丰富公开内容。</w:t>
      </w:r>
    </w:p>
    <w:p>
      <w:pPr>
        <w:widowControl/>
        <w:ind w:firstLine="640"/>
        <w:jc w:val="left"/>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2"/>
          <w:szCs w:val="32"/>
        </w:rPr>
        <w:t>二是加强政务公开标准化建设。对照城乡规划及农村集体土地征收领域基层政务公开标准目录，结合我局职能，将政务公开工作规则固化到现有业务流程中，做到政务公开操作与其他业务工作紧密结合、同步运作，通过线上线下全面准确公开目录事项，保障群众知情权、参与权及监督权。</w:t>
      </w:r>
    </w:p>
    <w:p>
      <w:pPr>
        <w:widowControl/>
        <w:ind w:firstLine="640"/>
        <w:jc w:val="left"/>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2"/>
          <w:szCs w:val="32"/>
        </w:rPr>
        <w:t>三是提升依申请公开工作质量和效率。严格执行《中华人民共和国政府信息公开条例》关于答复期限、答复类型、答复方式等各项规定，做到程序合法、处置合理、答复规范、措辞得当，最大限度为申请人提供相关政府信息，切实保障申请人权利，维护政府公信力。加强与申请人的沟通，指引申请人合理并按照程序申请信息公开，引导申请人依法依规行使权力。</w:t>
      </w:r>
    </w:p>
    <w:p>
      <w:pPr>
        <w:widowControl/>
        <w:ind w:firstLine="640"/>
        <w:jc w:val="left"/>
        <w:rPr>
          <w:rFonts w:hint="eastAsia" w:ascii="黑体" w:hAnsi="黑体" w:eastAsia="黑体" w:cs="宋体"/>
          <w:color w:val="000000"/>
          <w:kern w:val="0"/>
          <w:sz w:val="32"/>
          <w:szCs w:val="32"/>
        </w:rPr>
      </w:pPr>
      <w:r>
        <w:rPr>
          <w:rFonts w:hint="eastAsia" w:ascii="仿宋_GB2312" w:hAnsi="微软雅黑" w:eastAsia="仿宋_GB2312" w:cs="宋体"/>
          <w:color w:val="000000"/>
          <w:kern w:val="0"/>
          <w:sz w:val="32"/>
          <w:szCs w:val="32"/>
        </w:rPr>
        <w:t>四是加强政务信息公开队伍建设。加强与其他单位的交流，主动学习其他单位的先进经验做法，不断提高政务信息公开工作人员的业务水平和综合素质。制定培训计划，对我局内部工作人员开展政务公开知识培训，提升整体办理信息公开的素质能力，增强工作自觉性。</w:t>
      </w:r>
    </w:p>
    <w:p>
      <w:pPr>
        <w:widowControl/>
        <w:numPr>
          <w:ilvl w:val="0"/>
          <w:numId w:val="3"/>
        </w:numPr>
        <w:shd w:val="clear" w:color="auto" w:fill="FFFFFF"/>
        <w:spacing w:line="560" w:lineRule="atLeast"/>
        <w:ind w:left="0" w:leftChars="0" w:firstLine="640" w:firstLineChars="20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需要报告的其他事项</w:t>
      </w:r>
    </w:p>
    <w:p>
      <w:pPr>
        <w:widowControl/>
        <w:ind w:firstLine="640" w:firstLineChars="200"/>
        <w:jc w:val="left"/>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2"/>
          <w:szCs w:val="32"/>
        </w:rPr>
        <w:t>无其他需要报告的事项。</w:t>
      </w:r>
    </w:p>
    <w:p>
      <w:pPr>
        <w:widowControl/>
        <w:numPr>
          <w:ilvl w:val="0"/>
          <w:numId w:val="0"/>
        </w:numPr>
        <w:shd w:val="clear" w:color="auto" w:fill="FFFFFF"/>
        <w:spacing w:line="560" w:lineRule="atLeast"/>
        <w:ind w:leftChars="200"/>
        <w:jc w:val="left"/>
        <w:rPr>
          <w:rFonts w:hint="default" w:ascii="黑体" w:hAnsi="黑体" w:eastAsia="黑体" w:cs="宋体"/>
          <w:color w:val="000000"/>
          <w:kern w:val="0"/>
          <w:sz w:val="32"/>
          <w:szCs w:val="32"/>
          <w:lang w:val="en-US" w:eastAsia="zh-CN"/>
        </w:rPr>
      </w:pPr>
      <w:bookmarkStart w:id="0" w:name="_GoBack"/>
      <w:bookmarkEnd w:id="0"/>
    </w:p>
    <w:sectPr>
      <w:pgSz w:w="11906" w:h="16838"/>
      <w:pgMar w:top="2041"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C1EB9"/>
    <w:multiLevelType w:val="singleLevel"/>
    <w:tmpl w:val="07FC1EB9"/>
    <w:lvl w:ilvl="0" w:tentative="0">
      <w:start w:val="5"/>
      <w:numFmt w:val="chineseCounting"/>
      <w:suff w:val="nothing"/>
      <w:lvlText w:val="%1、"/>
      <w:lvlJc w:val="left"/>
      <w:rPr>
        <w:rFonts w:hint="eastAsia"/>
      </w:rPr>
    </w:lvl>
  </w:abstractNum>
  <w:abstractNum w:abstractNumId="1">
    <w:nsid w:val="1F7DBC69"/>
    <w:multiLevelType w:val="singleLevel"/>
    <w:tmpl w:val="1F7DBC69"/>
    <w:lvl w:ilvl="0" w:tentative="0">
      <w:start w:val="1"/>
      <w:numFmt w:val="chineseCounting"/>
      <w:suff w:val="nothing"/>
      <w:lvlText w:val="%1、"/>
      <w:lvlJc w:val="left"/>
      <w:rPr>
        <w:rFonts w:hint="eastAsia"/>
      </w:rPr>
    </w:lvl>
  </w:abstractNum>
  <w:abstractNum w:abstractNumId="2">
    <w:nsid w:val="7C3B6913"/>
    <w:multiLevelType w:val="singleLevel"/>
    <w:tmpl w:val="7C3B691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3E"/>
    <w:rsid w:val="000764B0"/>
    <w:rsid w:val="00316CC9"/>
    <w:rsid w:val="003C6013"/>
    <w:rsid w:val="004C253B"/>
    <w:rsid w:val="005D3B94"/>
    <w:rsid w:val="006255F1"/>
    <w:rsid w:val="009D2C05"/>
    <w:rsid w:val="009F4836"/>
    <w:rsid w:val="00AB573E"/>
    <w:rsid w:val="00BF6C0F"/>
    <w:rsid w:val="00F2364D"/>
    <w:rsid w:val="029348E0"/>
    <w:rsid w:val="037B7621"/>
    <w:rsid w:val="054152C9"/>
    <w:rsid w:val="061720A9"/>
    <w:rsid w:val="0E1E2818"/>
    <w:rsid w:val="0F115D9B"/>
    <w:rsid w:val="103E6F93"/>
    <w:rsid w:val="10BC0031"/>
    <w:rsid w:val="13F055E7"/>
    <w:rsid w:val="175B2884"/>
    <w:rsid w:val="1C033FE5"/>
    <w:rsid w:val="1CDB27FC"/>
    <w:rsid w:val="1D166084"/>
    <w:rsid w:val="358F2C3C"/>
    <w:rsid w:val="363B56B8"/>
    <w:rsid w:val="3B086F25"/>
    <w:rsid w:val="417034CD"/>
    <w:rsid w:val="46A17CA7"/>
    <w:rsid w:val="63940340"/>
    <w:rsid w:val="6C00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explosion val="0"/>
          <c:dPt>
            <c:idx val="0"/>
            <c:bubble3D val="0"/>
          </c:dPt>
          <c:dPt>
            <c:idx val="1"/>
            <c:bubble3D val="0"/>
          </c:dPt>
          <c:dPt>
            <c:idx val="2"/>
            <c:bubble3D val="0"/>
          </c:dPt>
          <c:dPt>
            <c:idx val="3"/>
            <c:bubble3D val="0"/>
          </c:dPt>
          <c:dPt>
            <c:idx val="4"/>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微信公众号</c:v>
                </c:pt>
                <c:pt idx="1">
                  <c:v>政府网站</c:v>
                </c:pt>
                <c:pt idx="2">
                  <c:v>《经开区信息》</c:v>
                </c:pt>
                <c:pt idx="3">
                  <c:v>新媒体</c:v>
                </c:pt>
                <c:pt idx="4">
                  <c:v>政府公开目录</c:v>
                </c:pt>
              </c:strCache>
            </c:strRef>
          </c:cat>
          <c:val>
            <c:numRef>
              <c:f>Sheet1!$B$2:$B$6</c:f>
              <c:numCache>
                <c:formatCode>General</c:formatCode>
                <c:ptCount val="5"/>
                <c:pt idx="0">
                  <c:v>35</c:v>
                </c:pt>
                <c:pt idx="1">
                  <c:v>7</c:v>
                </c:pt>
                <c:pt idx="2">
                  <c:v>16</c:v>
                </c:pt>
                <c:pt idx="3">
                  <c:v>3</c:v>
                </c:pt>
                <c:pt idx="4">
                  <c:v>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370</Words>
  <Characters>2113</Characters>
  <Lines>17</Lines>
  <Paragraphs>4</Paragraphs>
  <TotalTime>25</TotalTime>
  <ScaleCrop>false</ScaleCrop>
  <LinksUpToDate>false</LinksUpToDate>
  <CharactersWithSpaces>2479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2021-01-26T00:33:00Z</dcterms:created>
  <dc:creator>Lenovo0001</dc:creator>
  <cp:lastModifiedBy>Administrator</cp:lastModifiedBy>
  <cp:lastPrinted>2021-05-20T01:10:05Z</cp:lastPrinted>
  <dcterms:modified xsi:type="dcterms:W3CDTF">2021-05-20T01:14:16Z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C49F693F52BB4D78A96D160424444201</vt:lpwstr>
  </property>
</Properties>
</file>