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333333"/>
          <w:spacing w:val="0"/>
          <w:sz w:val="44"/>
          <w:szCs w:val="44"/>
        </w:rPr>
      </w:pPr>
      <w:r>
        <w:rPr>
          <w:rFonts w:hint="eastAsia" w:ascii="方正小标宋简体" w:hAnsi="方正小标宋简体" w:eastAsia="方正小标宋简体" w:cs="方正小标宋简体"/>
          <w:b/>
          <w:i w:val="0"/>
          <w:caps w:val="0"/>
          <w:color w:val="333333"/>
          <w:spacing w:val="0"/>
          <w:sz w:val="44"/>
          <w:szCs w:val="44"/>
          <w:lang w:eastAsia="zh-CN"/>
        </w:rPr>
        <w:t>淄博经济开发区</w:t>
      </w:r>
      <w:r>
        <w:rPr>
          <w:rFonts w:hint="eastAsia" w:ascii="方正小标宋简体" w:hAnsi="方正小标宋简体" w:eastAsia="方正小标宋简体" w:cs="方正小标宋简体"/>
          <w:b/>
          <w:i w:val="0"/>
          <w:caps w:val="0"/>
          <w:color w:val="333333"/>
          <w:spacing w:val="0"/>
          <w:sz w:val="44"/>
          <w:szCs w:val="44"/>
        </w:rPr>
        <w:t>行政审批服务局</w:t>
      </w:r>
      <w:r>
        <w:rPr>
          <w:rFonts w:hint="eastAsia" w:ascii="方正小标宋简体" w:hAnsi="方正小标宋简体" w:eastAsia="方正小标宋简体" w:cs="方正小标宋简体"/>
          <w:b/>
          <w:i w:val="0"/>
          <w:caps w:val="0"/>
          <w:color w:val="333333"/>
          <w:spacing w:val="0"/>
          <w:sz w:val="44"/>
          <w:szCs w:val="44"/>
          <w:lang w:val="en-US" w:eastAsia="zh-CN"/>
        </w:rPr>
        <w:t>202</w:t>
      </w:r>
      <w:r>
        <w:rPr>
          <w:rFonts w:hint="eastAsia" w:ascii="方正小标宋简体" w:hAnsi="方正小标宋简体" w:eastAsia="方正小标宋简体" w:cs="方正小标宋简体"/>
          <w:b w:val="0"/>
          <w:bCs/>
          <w:i w:val="0"/>
          <w:caps w:val="0"/>
          <w:color w:val="333333"/>
          <w:spacing w:val="0"/>
          <w:sz w:val="44"/>
          <w:szCs w:val="44"/>
          <w:lang w:val="en-US" w:eastAsia="zh-CN"/>
        </w:rPr>
        <w:t>1</w:t>
      </w:r>
      <w:r>
        <w:rPr>
          <w:rFonts w:hint="eastAsia" w:ascii="方正小标宋简体" w:hAnsi="方正小标宋简体" w:eastAsia="方正小标宋简体" w:cs="方正小标宋简体"/>
          <w:b/>
          <w:i w:val="0"/>
          <w:caps w:val="0"/>
          <w:color w:val="333333"/>
          <w:spacing w:val="0"/>
          <w:sz w:val="44"/>
          <w:szCs w:val="44"/>
        </w:rPr>
        <w:t>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333333"/>
          <w:spacing w:val="0"/>
          <w:sz w:val="44"/>
          <w:szCs w:val="44"/>
        </w:rPr>
      </w:pPr>
      <w:r>
        <w:rPr>
          <w:rFonts w:hint="eastAsia" w:ascii="方正小标宋简体" w:hAnsi="方正小标宋简体" w:eastAsia="方正小标宋简体" w:cs="方正小标宋简体"/>
          <w:b/>
          <w:i w:val="0"/>
          <w:caps w:val="0"/>
          <w:color w:val="333333"/>
          <w:spacing w:val="0"/>
          <w:sz w:val="44"/>
          <w:szCs w:val="44"/>
        </w:rPr>
        <w:t>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微软雅黑" w:hAnsi="微软雅黑" w:eastAsia="微软雅黑" w:cs="宋体"/>
          <w:color w:val="3D3D3D"/>
          <w:kern w:val="0"/>
          <w:sz w:val="23"/>
          <w:szCs w:val="23"/>
        </w:rPr>
      </w:pP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仿宋_GB2312" w:hAnsi="仿宋_GB2312" w:eastAsia="仿宋_GB2312" w:cs="仿宋_GB2312"/>
          <w:color w:val="3D3D3D"/>
          <w:kern w:val="0"/>
          <w:sz w:val="32"/>
          <w:szCs w:val="32"/>
          <w:lang w:val="en-US" w:eastAsia="zh-CN"/>
        </w:rPr>
      </w:pPr>
      <w:r>
        <w:rPr>
          <w:rFonts w:hint="eastAsia" w:ascii="仿宋_GB2312" w:hAnsi="仿宋_GB2312" w:eastAsia="仿宋_GB2312" w:cs="仿宋_GB2312"/>
          <w:color w:val="3D3D3D"/>
          <w:kern w:val="0"/>
          <w:sz w:val="32"/>
          <w:szCs w:val="32"/>
          <w:lang w:eastAsia="zh-CN"/>
        </w:rPr>
        <w:t>本年度报告是根据《中华人民共和国政府信息公开条例》（以下简称《条例》）要求，由淄博经济开发区行政审批服务局编制。全文包括总体情况、主动公开政府信息情况、收到和处理政府信息公开申请情况、因政府信息公开工作被申请行政复议和提起行政诉讼情况、政府信息公开工作存在的主要问题及改进情况和其他需要报告的事项。本年度报告中所列数据的统计期限自</w:t>
      </w:r>
      <w:r>
        <w:rPr>
          <w:rFonts w:hint="default" w:ascii="Times New Roman" w:hAnsi="Times New Roman" w:eastAsia="仿宋_GB2312" w:cs="Times New Roman"/>
          <w:color w:val="3D3D3D"/>
          <w:kern w:val="0"/>
          <w:sz w:val="32"/>
          <w:szCs w:val="32"/>
          <w:lang w:val="en-US" w:eastAsia="zh-CN"/>
        </w:rPr>
        <w:t>2021</w:t>
      </w:r>
      <w:r>
        <w:rPr>
          <w:rFonts w:hint="eastAsia" w:ascii="仿宋_GB2312" w:hAnsi="仿宋_GB2312" w:eastAsia="仿宋_GB2312" w:cs="仿宋_GB2312"/>
          <w:color w:val="3D3D3D"/>
          <w:kern w:val="0"/>
          <w:sz w:val="32"/>
          <w:szCs w:val="32"/>
          <w:lang w:val="en-US" w:eastAsia="zh-CN"/>
        </w:rPr>
        <w:t>年</w:t>
      </w:r>
      <w:r>
        <w:rPr>
          <w:rFonts w:hint="eastAsia" w:ascii="Times New Roman" w:hAnsi="Times New Roman" w:eastAsia="仿宋_GB2312" w:cs="Times New Roman"/>
          <w:color w:val="3D3D3D"/>
          <w:kern w:val="0"/>
          <w:sz w:val="32"/>
          <w:szCs w:val="32"/>
          <w:lang w:val="en-US" w:eastAsia="zh-CN"/>
        </w:rPr>
        <w:t>1</w:t>
      </w:r>
      <w:r>
        <w:rPr>
          <w:rFonts w:hint="eastAsia" w:ascii="仿宋_GB2312" w:hAnsi="仿宋_GB2312" w:eastAsia="仿宋_GB2312" w:cs="仿宋_GB2312"/>
          <w:color w:val="3D3D3D"/>
          <w:kern w:val="0"/>
          <w:sz w:val="32"/>
          <w:szCs w:val="32"/>
          <w:lang w:val="en-US" w:eastAsia="zh-CN"/>
        </w:rPr>
        <w:t>月</w:t>
      </w:r>
      <w:r>
        <w:rPr>
          <w:rFonts w:hint="eastAsia" w:ascii="Times New Roman" w:hAnsi="Times New Roman" w:eastAsia="仿宋_GB2312" w:cs="Times New Roman"/>
          <w:color w:val="3D3D3D"/>
          <w:kern w:val="0"/>
          <w:sz w:val="32"/>
          <w:szCs w:val="32"/>
          <w:lang w:val="en-US" w:eastAsia="zh-CN"/>
        </w:rPr>
        <w:t>1</w:t>
      </w:r>
      <w:r>
        <w:rPr>
          <w:rFonts w:hint="eastAsia" w:ascii="仿宋_GB2312" w:hAnsi="仿宋_GB2312" w:eastAsia="仿宋_GB2312" w:cs="仿宋_GB2312"/>
          <w:color w:val="3D3D3D"/>
          <w:kern w:val="0"/>
          <w:sz w:val="32"/>
          <w:szCs w:val="32"/>
          <w:lang w:val="en-US" w:eastAsia="zh-CN"/>
        </w:rPr>
        <w:t>日起至</w:t>
      </w:r>
      <w:r>
        <w:rPr>
          <w:rFonts w:hint="eastAsia" w:ascii="Times New Roman" w:hAnsi="Times New Roman" w:eastAsia="仿宋_GB2312" w:cs="Times New Roman"/>
          <w:color w:val="3D3D3D"/>
          <w:kern w:val="0"/>
          <w:sz w:val="32"/>
          <w:szCs w:val="32"/>
          <w:lang w:val="en-US" w:eastAsia="zh-CN"/>
        </w:rPr>
        <w:t>2021</w:t>
      </w:r>
      <w:r>
        <w:rPr>
          <w:rFonts w:hint="eastAsia" w:ascii="仿宋_GB2312" w:hAnsi="仿宋_GB2312" w:eastAsia="仿宋_GB2312" w:cs="仿宋_GB2312"/>
          <w:color w:val="3D3D3D"/>
          <w:kern w:val="0"/>
          <w:sz w:val="32"/>
          <w:szCs w:val="32"/>
          <w:lang w:val="en-US" w:eastAsia="zh-CN"/>
        </w:rPr>
        <w:t>年</w:t>
      </w:r>
      <w:r>
        <w:rPr>
          <w:rFonts w:hint="eastAsia" w:ascii="Times New Roman" w:hAnsi="Times New Roman" w:eastAsia="仿宋_GB2312" w:cs="Times New Roman"/>
          <w:color w:val="3D3D3D"/>
          <w:kern w:val="0"/>
          <w:sz w:val="32"/>
          <w:szCs w:val="32"/>
          <w:lang w:val="en-US" w:eastAsia="zh-CN"/>
        </w:rPr>
        <w:t>12</w:t>
      </w:r>
      <w:r>
        <w:rPr>
          <w:rFonts w:hint="eastAsia" w:ascii="仿宋_GB2312" w:hAnsi="仿宋_GB2312" w:eastAsia="仿宋_GB2312" w:cs="仿宋_GB2312"/>
          <w:color w:val="3D3D3D"/>
          <w:kern w:val="0"/>
          <w:sz w:val="32"/>
          <w:szCs w:val="32"/>
          <w:lang w:val="en-US" w:eastAsia="zh-CN"/>
        </w:rPr>
        <w:t>月</w:t>
      </w:r>
      <w:r>
        <w:rPr>
          <w:rFonts w:hint="eastAsia" w:ascii="Times New Roman" w:hAnsi="Times New Roman" w:eastAsia="仿宋_GB2312" w:cs="Times New Roman"/>
          <w:color w:val="3D3D3D"/>
          <w:kern w:val="0"/>
          <w:sz w:val="32"/>
          <w:szCs w:val="32"/>
          <w:lang w:val="en-US" w:eastAsia="zh-CN"/>
        </w:rPr>
        <w:t>31</w:t>
      </w:r>
      <w:r>
        <w:rPr>
          <w:rFonts w:hint="eastAsia" w:ascii="仿宋_GB2312" w:hAnsi="仿宋_GB2312" w:eastAsia="仿宋_GB2312" w:cs="仿宋_GB2312"/>
          <w:color w:val="3D3D3D"/>
          <w:kern w:val="0"/>
          <w:sz w:val="32"/>
          <w:szCs w:val="32"/>
          <w:lang w:val="en-US" w:eastAsia="zh-CN"/>
        </w:rPr>
        <w:t>日止。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D3D3D"/>
          <w:kern w:val="0"/>
          <w:sz w:val="32"/>
          <w:szCs w:val="32"/>
        </w:rPr>
      </w:pPr>
      <w:bookmarkStart w:id="0" w:name="_GoBack"/>
      <w:bookmarkEnd w:id="0"/>
      <w:r>
        <w:rPr>
          <w:rFonts w:hint="eastAsia" w:ascii="黑体" w:hAnsi="黑体" w:eastAsia="黑体" w:cs="黑体"/>
          <w:color w:val="3D3D3D"/>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D3D3D"/>
          <w:kern w:val="0"/>
          <w:sz w:val="32"/>
          <w:szCs w:val="32"/>
          <w:lang w:eastAsia="zh-CN"/>
        </w:rPr>
      </w:pPr>
      <w:r>
        <w:rPr>
          <w:rFonts w:hint="eastAsia" w:ascii="黑体" w:hAnsi="黑体" w:eastAsia="黑体" w:cs="黑体"/>
          <w:color w:val="3D3D3D"/>
          <w:kern w:val="0"/>
          <w:sz w:val="32"/>
          <w:szCs w:val="32"/>
          <w:lang w:eastAsia="zh-CN"/>
        </w:rPr>
        <w:t>（一）主动公开情况</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仿宋_GB2312" w:hAnsi="仿宋_GB2312" w:eastAsia="仿宋_GB2312" w:cs="仿宋_GB2312"/>
          <w:color w:val="3D3D3D"/>
          <w:kern w:val="0"/>
          <w:sz w:val="32"/>
          <w:szCs w:val="32"/>
          <w:lang w:val="en-US" w:eastAsia="zh-CN"/>
        </w:rPr>
      </w:pPr>
      <w:r>
        <w:rPr>
          <w:rFonts w:hint="eastAsia" w:ascii="Times New Roman" w:hAnsi="Times New Roman" w:eastAsia="仿宋_GB2312" w:cs="Times New Roman"/>
          <w:color w:val="3D3D3D"/>
          <w:kern w:val="0"/>
          <w:sz w:val="32"/>
          <w:szCs w:val="32"/>
          <w:lang w:val="en-US" w:eastAsia="zh-CN"/>
        </w:rPr>
        <w:t>2021</w:t>
      </w:r>
      <w:r>
        <w:rPr>
          <w:rFonts w:hint="eastAsia" w:ascii="仿宋_GB2312" w:hAnsi="仿宋_GB2312" w:eastAsia="仿宋_GB2312" w:cs="仿宋_GB2312"/>
          <w:color w:val="3D3D3D"/>
          <w:kern w:val="0"/>
          <w:sz w:val="32"/>
          <w:szCs w:val="32"/>
          <w:lang w:val="en-US" w:eastAsia="zh-CN"/>
        </w:rPr>
        <w:t>年度，淄博经济开发区行政审批服务局严格按照《条例》要求做好政府信息公开工作，</w:t>
      </w:r>
      <w:r>
        <w:rPr>
          <w:rFonts w:hint="eastAsia" w:ascii="仿宋_GB2312" w:hAnsi="仿宋_GB2312" w:eastAsia="仿宋_GB2312" w:cs="仿宋_GB2312"/>
          <w:color w:val="3D3D3D"/>
          <w:kern w:val="0"/>
          <w:sz w:val="32"/>
          <w:szCs w:val="32"/>
          <w:lang w:eastAsia="zh-CN"/>
        </w:rPr>
        <w:t>坚持以公开为常态、不公开为例外</w:t>
      </w:r>
      <w:r>
        <w:rPr>
          <w:rFonts w:hint="eastAsia" w:ascii="仿宋_GB2312" w:hAnsi="仿宋_GB2312" w:eastAsia="仿宋_GB2312" w:cs="仿宋_GB2312"/>
          <w:color w:val="3D3D3D"/>
          <w:kern w:val="0"/>
          <w:sz w:val="32"/>
          <w:szCs w:val="32"/>
        </w:rPr>
        <w:t>，积极、有序、稳妥推进政府信息公开工作</w:t>
      </w:r>
      <w:r>
        <w:rPr>
          <w:rFonts w:hint="eastAsia" w:ascii="仿宋_GB2312" w:hAnsi="仿宋_GB2312" w:eastAsia="仿宋_GB2312" w:cs="仿宋_GB2312"/>
          <w:color w:val="3D3D3D"/>
          <w:kern w:val="0"/>
          <w:sz w:val="32"/>
          <w:szCs w:val="32"/>
          <w:lang w:eastAsia="zh-CN"/>
        </w:rPr>
        <w:t>，公开内容和时效均符合《条例》规定。全年主动公开条目</w:t>
      </w:r>
      <w:r>
        <w:rPr>
          <w:rFonts w:hint="eastAsia" w:ascii="Times New Roman" w:hAnsi="Times New Roman" w:eastAsia="仿宋_GB2312" w:cs="Times New Roman"/>
          <w:color w:val="3D3D3D"/>
          <w:kern w:val="0"/>
          <w:sz w:val="32"/>
          <w:szCs w:val="32"/>
          <w:lang w:val="en-US" w:eastAsia="zh-CN"/>
        </w:rPr>
        <w:t>93</w:t>
      </w:r>
      <w:r>
        <w:rPr>
          <w:rFonts w:hint="eastAsia" w:ascii="仿宋_GB2312" w:hAnsi="仿宋_GB2312" w:eastAsia="仿宋_GB2312" w:cs="仿宋_GB2312"/>
          <w:color w:val="3D3D3D"/>
          <w:kern w:val="0"/>
          <w:sz w:val="32"/>
          <w:szCs w:val="32"/>
          <w:lang w:val="en-US" w:eastAsia="zh-CN"/>
        </w:rPr>
        <w:t>条，做到应公开尽公开。</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color w:val="3D3D3D"/>
          <w:kern w:val="0"/>
          <w:sz w:val="32"/>
          <w:szCs w:val="32"/>
          <w:lang w:eastAsia="zh-CN"/>
        </w:rPr>
      </w:pPr>
      <w:r>
        <w:rPr>
          <w:rFonts w:hint="eastAsia" w:ascii="黑体" w:hAnsi="黑体" w:eastAsia="黑体" w:cs="黑体"/>
          <w:color w:val="3D3D3D"/>
          <w:kern w:val="0"/>
          <w:sz w:val="32"/>
          <w:szCs w:val="32"/>
          <w:lang w:eastAsia="zh-CN"/>
        </w:rPr>
        <w:t>（二）依申请公开情况</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仿宋_GB2312" w:hAnsi="仿宋_GB2312" w:eastAsia="仿宋_GB2312" w:cs="仿宋_GB2312"/>
          <w:color w:val="3D3D3D"/>
          <w:kern w:val="0"/>
          <w:sz w:val="32"/>
          <w:szCs w:val="32"/>
          <w:lang w:val="en-US" w:eastAsia="zh-CN"/>
        </w:rPr>
      </w:pPr>
      <w:r>
        <w:rPr>
          <w:rFonts w:hint="eastAsia" w:ascii="Times New Roman" w:hAnsi="Times New Roman" w:eastAsia="仿宋_GB2312" w:cs="Times New Roman"/>
          <w:color w:val="3D3D3D"/>
          <w:kern w:val="0"/>
          <w:sz w:val="32"/>
          <w:szCs w:val="32"/>
          <w:lang w:val="en-US" w:eastAsia="zh-CN"/>
        </w:rPr>
        <w:t>2021</w:t>
      </w:r>
      <w:r>
        <w:rPr>
          <w:rFonts w:hint="eastAsia" w:ascii="仿宋_GB2312" w:hAnsi="仿宋_GB2312" w:eastAsia="仿宋_GB2312" w:cs="仿宋_GB2312"/>
          <w:color w:val="3D3D3D"/>
          <w:kern w:val="0"/>
          <w:sz w:val="32"/>
          <w:szCs w:val="32"/>
          <w:lang w:val="en-US" w:eastAsia="zh-CN"/>
        </w:rPr>
        <w:t>年度，我局全年未受理依申请公开。</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color w:val="3D3D3D"/>
          <w:kern w:val="0"/>
          <w:sz w:val="32"/>
          <w:szCs w:val="32"/>
          <w:lang w:eastAsia="zh-CN"/>
        </w:rPr>
      </w:pPr>
      <w:r>
        <w:rPr>
          <w:rFonts w:hint="eastAsia" w:ascii="黑体" w:hAnsi="黑体" w:eastAsia="黑体" w:cs="黑体"/>
          <w:color w:val="3D3D3D"/>
          <w:kern w:val="0"/>
          <w:sz w:val="32"/>
          <w:szCs w:val="32"/>
          <w:lang w:eastAsia="zh-CN"/>
        </w:rPr>
        <w:t>（三）政府信息管理方面</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D3D3D"/>
          <w:kern w:val="0"/>
          <w:sz w:val="32"/>
          <w:szCs w:val="32"/>
          <w:lang w:eastAsia="zh-CN"/>
        </w:rPr>
      </w:pPr>
      <w:r>
        <w:rPr>
          <w:rFonts w:hint="eastAsia" w:ascii="仿宋_GB2312" w:hAnsi="仿宋_GB2312" w:eastAsia="仿宋_GB2312" w:cs="仿宋_GB2312"/>
          <w:color w:val="3D3D3D"/>
          <w:kern w:val="0"/>
          <w:sz w:val="32"/>
          <w:szCs w:val="32"/>
          <w:lang w:eastAsia="zh-CN"/>
        </w:rPr>
        <w:t>建立健全政府信息审查发布机制，对拟在“淄博经济开发区”管委会网站公开的政府信息进行审核，确保公开信息依法、及时、全面、准确和合理。提高信息管理质量，完善政府信息公开动态管理机制，对于我局制发的部门文件等重要政府信息，集中统一对外公开并动态调整更新，同时，做好各类政策文件解读。</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color w:val="3D3D3D"/>
          <w:kern w:val="0"/>
          <w:sz w:val="32"/>
          <w:szCs w:val="32"/>
          <w:lang w:eastAsia="zh-CN"/>
        </w:rPr>
      </w:pPr>
      <w:r>
        <w:rPr>
          <w:rFonts w:hint="eastAsia" w:ascii="黑体" w:hAnsi="黑体" w:eastAsia="黑体" w:cs="黑体"/>
          <w:color w:val="3D3D3D"/>
          <w:kern w:val="0"/>
          <w:sz w:val="32"/>
          <w:szCs w:val="32"/>
          <w:lang w:eastAsia="zh-CN"/>
        </w:rPr>
        <w:t>（四）政府信息公开平台建设方面</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D3D3D"/>
          <w:kern w:val="0"/>
          <w:sz w:val="32"/>
          <w:szCs w:val="32"/>
          <w:lang w:eastAsia="zh-CN"/>
        </w:rPr>
      </w:pPr>
      <w:r>
        <w:rPr>
          <w:rFonts w:hint="eastAsia" w:ascii="仿宋_GB2312" w:hAnsi="仿宋_GB2312" w:eastAsia="仿宋_GB2312" w:cs="仿宋_GB2312"/>
          <w:color w:val="3D3D3D"/>
          <w:kern w:val="0"/>
          <w:sz w:val="32"/>
          <w:szCs w:val="32"/>
          <w:lang w:eastAsia="zh-CN"/>
        </w:rPr>
        <w:t>线上通过政府网站、微信公众号等做好政务公开工作。线下在区政务服务中心主动公开各项行政审批事项办事指南。结合工作实际及区管委办公室制定的信息公开目录，及时完成政府网站有关我局内容的维护工作，并及时发布信息。</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color w:val="3D3D3D"/>
          <w:kern w:val="0"/>
          <w:sz w:val="32"/>
          <w:szCs w:val="32"/>
          <w:lang w:eastAsia="zh-CN"/>
        </w:rPr>
      </w:pPr>
      <w:r>
        <w:rPr>
          <w:rFonts w:hint="eastAsia" w:ascii="黑体" w:hAnsi="黑体" w:eastAsia="黑体" w:cs="黑体"/>
          <w:color w:val="3D3D3D"/>
          <w:kern w:val="0"/>
          <w:sz w:val="32"/>
          <w:szCs w:val="32"/>
          <w:lang w:eastAsia="zh-CN"/>
        </w:rPr>
        <w:t>（五）监督保障方面</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D3D3D"/>
          <w:kern w:val="0"/>
          <w:sz w:val="32"/>
          <w:szCs w:val="32"/>
          <w:lang w:eastAsia="zh-CN"/>
        </w:rPr>
      </w:pPr>
      <w:r>
        <w:rPr>
          <w:rFonts w:hint="eastAsia" w:ascii="仿宋_GB2312" w:hAnsi="仿宋_GB2312" w:eastAsia="仿宋_GB2312" w:cs="仿宋_GB2312"/>
          <w:color w:val="3D3D3D"/>
          <w:kern w:val="0"/>
          <w:sz w:val="32"/>
          <w:szCs w:val="32"/>
          <w:lang w:eastAsia="zh-CN"/>
        </w:rPr>
        <w:t>我局安排专人负责政府信息公开工作，对照《条例》要求，完善信息公开制度，明确政府信息公开工作规程，积极参加区管委办公室组织的政府信息公开工作培训会议，切实落实政府信息公开相关任务。</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D3D3D"/>
          <w:kern w:val="0"/>
          <w:sz w:val="32"/>
          <w:szCs w:val="32"/>
        </w:rPr>
      </w:pPr>
      <w:r>
        <w:rPr>
          <w:rFonts w:hint="eastAsia" w:ascii="黑体" w:hAnsi="黑体" w:eastAsia="黑体" w:cs="黑体"/>
          <w:color w:val="3D3D3D"/>
          <w:kern w:val="0"/>
          <w:sz w:val="32"/>
          <w:szCs w:val="32"/>
        </w:rPr>
        <w:t>二、主动公开政府信息情况</w:t>
      </w:r>
    </w:p>
    <w:tbl>
      <w:tblPr>
        <w:tblStyle w:val="4"/>
        <w:tblW w:w="8925" w:type="dxa"/>
        <w:jc w:val="center"/>
        <w:tblLayout w:type="autofit"/>
        <w:tblCellMar>
          <w:top w:w="15" w:type="dxa"/>
          <w:left w:w="15" w:type="dxa"/>
          <w:bottom w:w="15" w:type="dxa"/>
          <w:right w:w="15" w:type="dxa"/>
        </w:tblCellMar>
      </w:tblPr>
      <w:tblGrid>
        <w:gridCol w:w="2341"/>
        <w:gridCol w:w="2175"/>
        <w:gridCol w:w="2175"/>
        <w:gridCol w:w="2234"/>
      </w:tblGrid>
      <w:tr>
        <w:tblPrEx>
          <w:tblCellMar>
            <w:top w:w="15" w:type="dxa"/>
            <w:left w:w="15" w:type="dxa"/>
            <w:bottom w:w="15" w:type="dxa"/>
            <w:right w:w="15" w:type="dxa"/>
          </w:tblCellMar>
        </w:tblPrEx>
        <w:trPr>
          <w:trHeight w:val="480" w:hRule="atLeast"/>
          <w:jc w:val="center"/>
        </w:trPr>
        <w:tc>
          <w:tcPr>
            <w:tcW w:w="8925" w:type="dxa"/>
            <w:gridSpan w:val="4"/>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第二十条第（一）项</w:t>
            </w:r>
          </w:p>
        </w:tc>
      </w:tr>
      <w:tr>
        <w:tblPrEx>
          <w:tblCellMar>
            <w:top w:w="15" w:type="dxa"/>
            <w:left w:w="15" w:type="dxa"/>
            <w:bottom w:w="15" w:type="dxa"/>
            <w:right w:w="15" w:type="dxa"/>
          </w:tblCellMar>
        </w:tblPrEx>
        <w:trPr>
          <w:trHeight w:val="555" w:hRule="atLeast"/>
          <w:jc w:val="center"/>
        </w:trPr>
        <w:tc>
          <w:tcPr>
            <w:tcW w:w="234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信息内容</w:t>
            </w:r>
          </w:p>
        </w:tc>
        <w:tc>
          <w:tcPr>
            <w:tcW w:w="217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lang w:eastAsia="zh-CN"/>
              </w:rPr>
            </w:pPr>
            <w:r>
              <w:rPr>
                <w:rFonts w:hint="eastAsia" w:ascii="宋体" w:hAnsi="宋体" w:eastAsia="宋体" w:cs="宋体"/>
                <w:color w:val="3D3D3D"/>
                <w:kern w:val="0"/>
                <w:sz w:val="28"/>
                <w:szCs w:val="28"/>
              </w:rPr>
              <w:t>本年</w:t>
            </w:r>
            <w:r>
              <w:rPr>
                <w:rFonts w:hint="eastAsia" w:ascii="宋体" w:hAnsi="宋体" w:cs="宋体"/>
                <w:color w:val="3D3D3D"/>
                <w:kern w:val="0"/>
                <w:sz w:val="28"/>
                <w:szCs w:val="28"/>
                <w:lang w:eastAsia="zh-CN"/>
              </w:rPr>
              <w:t>制发件数</w:t>
            </w:r>
          </w:p>
        </w:tc>
        <w:tc>
          <w:tcPr>
            <w:tcW w:w="217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lang w:eastAsia="zh-CN"/>
              </w:rPr>
            </w:pPr>
            <w:r>
              <w:rPr>
                <w:rFonts w:hint="eastAsia" w:ascii="宋体" w:hAnsi="宋体" w:eastAsia="宋体" w:cs="宋体"/>
                <w:color w:val="3D3D3D"/>
                <w:kern w:val="0"/>
                <w:sz w:val="28"/>
                <w:szCs w:val="28"/>
              </w:rPr>
              <w:t>本年</w:t>
            </w:r>
            <w:r>
              <w:rPr>
                <w:rFonts w:hint="eastAsia" w:ascii="宋体" w:hAnsi="宋体" w:cs="宋体"/>
                <w:color w:val="3D3D3D"/>
                <w:kern w:val="0"/>
                <w:sz w:val="28"/>
                <w:szCs w:val="28"/>
                <w:lang w:eastAsia="zh-CN"/>
              </w:rPr>
              <w:t>废止件数</w:t>
            </w:r>
          </w:p>
        </w:tc>
        <w:tc>
          <w:tcPr>
            <w:tcW w:w="22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lang w:eastAsia="zh-CN"/>
              </w:rPr>
            </w:pPr>
            <w:r>
              <w:rPr>
                <w:rFonts w:hint="eastAsia" w:ascii="宋体" w:hAnsi="宋体" w:cs="宋体"/>
                <w:color w:val="3D3D3D"/>
                <w:kern w:val="0"/>
                <w:sz w:val="28"/>
                <w:szCs w:val="28"/>
                <w:lang w:eastAsia="zh-CN"/>
              </w:rPr>
              <w:t>现行有效件数</w:t>
            </w:r>
          </w:p>
        </w:tc>
      </w:tr>
      <w:tr>
        <w:tblPrEx>
          <w:tblCellMar>
            <w:top w:w="15" w:type="dxa"/>
            <w:left w:w="15" w:type="dxa"/>
            <w:bottom w:w="15" w:type="dxa"/>
            <w:right w:w="15" w:type="dxa"/>
          </w:tblCellMar>
        </w:tblPrEx>
        <w:trPr>
          <w:trHeight w:val="555" w:hRule="atLeast"/>
          <w:jc w:val="center"/>
        </w:trPr>
        <w:tc>
          <w:tcPr>
            <w:tcW w:w="234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规章</w:t>
            </w:r>
          </w:p>
        </w:tc>
        <w:tc>
          <w:tcPr>
            <w:tcW w:w="217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Times New Roman" w:hAnsi="Times New Roman" w:eastAsia="仿宋_GB2312" w:cs="Times New Roman"/>
                <w:color w:val="3D3D3D"/>
                <w:kern w:val="0"/>
                <w:sz w:val="32"/>
                <w:szCs w:val="32"/>
                <w:lang w:val="en-US" w:eastAsia="zh-CN"/>
              </w:rPr>
              <w:t>0</w:t>
            </w:r>
          </w:p>
        </w:tc>
        <w:tc>
          <w:tcPr>
            <w:tcW w:w="217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Times New Roman" w:hAnsi="Times New Roman" w:eastAsia="仿宋_GB2312" w:cs="Times New Roman"/>
                <w:color w:val="3D3D3D"/>
                <w:kern w:val="0"/>
                <w:sz w:val="32"/>
                <w:szCs w:val="32"/>
                <w:lang w:val="en-US" w:eastAsia="zh-CN"/>
              </w:rPr>
              <w:t>0</w:t>
            </w:r>
          </w:p>
        </w:tc>
        <w:tc>
          <w:tcPr>
            <w:tcW w:w="22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Times New Roman" w:hAnsi="Times New Roman" w:eastAsia="仿宋_GB2312" w:cs="Times New Roman"/>
                <w:color w:val="3D3D3D"/>
                <w:kern w:val="0"/>
                <w:sz w:val="32"/>
                <w:szCs w:val="32"/>
                <w:lang w:val="en-US" w:eastAsia="zh-CN"/>
              </w:rPr>
              <w:t>0</w:t>
            </w:r>
          </w:p>
        </w:tc>
      </w:tr>
      <w:tr>
        <w:tblPrEx>
          <w:tblCellMar>
            <w:top w:w="15" w:type="dxa"/>
            <w:left w:w="15" w:type="dxa"/>
            <w:bottom w:w="15" w:type="dxa"/>
            <w:right w:w="15" w:type="dxa"/>
          </w:tblCellMar>
        </w:tblPrEx>
        <w:trPr>
          <w:trHeight w:val="555" w:hRule="atLeast"/>
          <w:jc w:val="center"/>
        </w:trPr>
        <w:tc>
          <w:tcPr>
            <w:tcW w:w="234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规范性文件</w:t>
            </w:r>
          </w:p>
        </w:tc>
        <w:tc>
          <w:tcPr>
            <w:tcW w:w="217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Times New Roman" w:hAnsi="Times New Roman" w:eastAsia="仿宋_GB2312" w:cs="Times New Roman"/>
                <w:color w:val="3D3D3D"/>
                <w:kern w:val="0"/>
                <w:sz w:val="32"/>
                <w:szCs w:val="32"/>
                <w:lang w:val="en-US" w:eastAsia="zh-CN"/>
              </w:rPr>
              <w:t>0</w:t>
            </w:r>
          </w:p>
        </w:tc>
        <w:tc>
          <w:tcPr>
            <w:tcW w:w="217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Times New Roman" w:hAnsi="Times New Roman" w:eastAsia="仿宋_GB2312" w:cs="Times New Roman"/>
                <w:color w:val="3D3D3D"/>
                <w:kern w:val="0"/>
                <w:sz w:val="32"/>
                <w:szCs w:val="32"/>
                <w:lang w:val="en-US" w:eastAsia="zh-CN"/>
              </w:rPr>
              <w:t>0</w:t>
            </w:r>
          </w:p>
        </w:tc>
        <w:tc>
          <w:tcPr>
            <w:tcW w:w="22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lang w:val="en-US" w:eastAsia="zh-CN"/>
              </w:rPr>
            </w:pPr>
            <w:r>
              <w:rPr>
                <w:rFonts w:hint="eastAsia" w:ascii="Times New Roman" w:hAnsi="Times New Roman" w:eastAsia="仿宋_GB2312" w:cs="Times New Roman"/>
                <w:color w:val="3D3D3D"/>
                <w:kern w:val="0"/>
                <w:sz w:val="32"/>
                <w:szCs w:val="32"/>
                <w:lang w:val="en-US" w:eastAsia="zh-CN"/>
              </w:rPr>
              <w:t>0</w:t>
            </w:r>
          </w:p>
        </w:tc>
      </w:tr>
      <w:tr>
        <w:tblPrEx>
          <w:tblCellMar>
            <w:top w:w="15" w:type="dxa"/>
            <w:left w:w="15" w:type="dxa"/>
            <w:bottom w:w="15" w:type="dxa"/>
            <w:right w:w="15" w:type="dxa"/>
          </w:tblCellMar>
        </w:tblPrEx>
        <w:trPr>
          <w:trHeight w:val="540" w:hRule="atLeast"/>
          <w:jc w:val="center"/>
        </w:trPr>
        <w:tc>
          <w:tcPr>
            <w:tcW w:w="8925" w:type="dxa"/>
            <w:gridSpan w:val="4"/>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第二十条第（五）项</w:t>
            </w:r>
          </w:p>
        </w:tc>
      </w:tr>
      <w:tr>
        <w:tblPrEx>
          <w:tblCellMar>
            <w:top w:w="15" w:type="dxa"/>
            <w:left w:w="15" w:type="dxa"/>
            <w:bottom w:w="15" w:type="dxa"/>
            <w:right w:w="15" w:type="dxa"/>
          </w:tblCellMar>
        </w:tblPrEx>
        <w:trPr>
          <w:trHeight w:val="630" w:hRule="atLeast"/>
          <w:jc w:val="center"/>
        </w:trPr>
        <w:tc>
          <w:tcPr>
            <w:tcW w:w="234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信息内容</w:t>
            </w:r>
          </w:p>
        </w:tc>
        <w:tc>
          <w:tcPr>
            <w:tcW w:w="6584"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eastAsia="zh-CN"/>
              </w:rPr>
            </w:pPr>
            <w:r>
              <w:rPr>
                <w:rFonts w:hint="eastAsia" w:ascii="宋体" w:hAnsi="宋体" w:cs="宋体"/>
                <w:color w:val="3D3D3D"/>
                <w:kern w:val="0"/>
                <w:sz w:val="28"/>
                <w:szCs w:val="28"/>
                <w:lang w:eastAsia="zh-CN"/>
              </w:rPr>
              <w:t>本年处理决定数量</w:t>
            </w:r>
          </w:p>
        </w:tc>
      </w:tr>
      <w:tr>
        <w:tblPrEx>
          <w:tblCellMar>
            <w:top w:w="15" w:type="dxa"/>
            <w:left w:w="15" w:type="dxa"/>
            <w:bottom w:w="15" w:type="dxa"/>
            <w:right w:w="15" w:type="dxa"/>
          </w:tblCellMar>
        </w:tblPrEx>
        <w:trPr>
          <w:trHeight w:val="485" w:hRule="atLeast"/>
          <w:jc w:val="center"/>
        </w:trPr>
        <w:tc>
          <w:tcPr>
            <w:tcW w:w="234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行政许可</w:t>
            </w:r>
          </w:p>
        </w:tc>
        <w:tc>
          <w:tcPr>
            <w:tcW w:w="6584"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3D3D3D"/>
                <w:kern w:val="0"/>
                <w:sz w:val="28"/>
                <w:szCs w:val="28"/>
                <w:lang w:val="en-US" w:eastAsia="zh-CN"/>
              </w:rPr>
            </w:pPr>
            <w:r>
              <w:rPr>
                <w:rFonts w:hint="eastAsia" w:ascii="Times New Roman" w:hAnsi="Times New Roman" w:eastAsia="仿宋_GB2312" w:cs="Times New Roman"/>
                <w:color w:val="3D3D3D"/>
                <w:kern w:val="0"/>
                <w:sz w:val="32"/>
                <w:szCs w:val="32"/>
                <w:lang w:val="en-US" w:eastAsia="zh-CN"/>
              </w:rPr>
              <w:t>1985</w:t>
            </w:r>
          </w:p>
        </w:tc>
      </w:tr>
      <w:tr>
        <w:tblPrEx>
          <w:tblCellMar>
            <w:top w:w="15" w:type="dxa"/>
            <w:left w:w="15" w:type="dxa"/>
            <w:bottom w:w="15" w:type="dxa"/>
            <w:right w:w="15" w:type="dxa"/>
          </w:tblCellMar>
        </w:tblPrEx>
        <w:trPr>
          <w:trHeight w:val="405" w:hRule="atLeast"/>
          <w:jc w:val="center"/>
        </w:trPr>
        <w:tc>
          <w:tcPr>
            <w:tcW w:w="8925" w:type="dxa"/>
            <w:gridSpan w:val="4"/>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第二十条第（六）项</w:t>
            </w:r>
          </w:p>
        </w:tc>
      </w:tr>
      <w:tr>
        <w:tblPrEx>
          <w:tblCellMar>
            <w:top w:w="15" w:type="dxa"/>
            <w:left w:w="15" w:type="dxa"/>
            <w:bottom w:w="15" w:type="dxa"/>
            <w:right w:w="15" w:type="dxa"/>
          </w:tblCellMar>
        </w:tblPrEx>
        <w:trPr>
          <w:trHeight w:val="480" w:hRule="atLeast"/>
          <w:jc w:val="center"/>
        </w:trPr>
        <w:tc>
          <w:tcPr>
            <w:tcW w:w="234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信息内容</w:t>
            </w:r>
          </w:p>
        </w:tc>
        <w:tc>
          <w:tcPr>
            <w:tcW w:w="6584"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cs="宋体"/>
                <w:color w:val="3D3D3D"/>
                <w:kern w:val="0"/>
                <w:sz w:val="28"/>
                <w:szCs w:val="28"/>
                <w:lang w:eastAsia="zh-CN"/>
              </w:rPr>
              <w:t>本年</w:t>
            </w:r>
            <w:r>
              <w:rPr>
                <w:rFonts w:hint="eastAsia" w:ascii="宋体" w:hAnsi="宋体" w:eastAsia="宋体" w:cs="宋体"/>
                <w:color w:val="3D3D3D"/>
                <w:kern w:val="0"/>
                <w:sz w:val="28"/>
                <w:szCs w:val="28"/>
              </w:rPr>
              <w:t>处理决定数量</w:t>
            </w:r>
          </w:p>
        </w:tc>
      </w:tr>
      <w:tr>
        <w:tblPrEx>
          <w:tblCellMar>
            <w:top w:w="15" w:type="dxa"/>
            <w:left w:w="15" w:type="dxa"/>
            <w:bottom w:w="15" w:type="dxa"/>
            <w:right w:w="15" w:type="dxa"/>
          </w:tblCellMar>
        </w:tblPrEx>
        <w:trPr>
          <w:trHeight w:val="435" w:hRule="atLeast"/>
          <w:jc w:val="center"/>
        </w:trPr>
        <w:tc>
          <w:tcPr>
            <w:tcW w:w="234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行政处罚</w:t>
            </w:r>
          </w:p>
        </w:tc>
        <w:tc>
          <w:tcPr>
            <w:tcW w:w="6584"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Times New Roman" w:hAnsi="Times New Roman" w:eastAsia="仿宋_GB2312" w:cs="Times New Roman"/>
                <w:color w:val="3D3D3D"/>
                <w:kern w:val="0"/>
                <w:sz w:val="32"/>
                <w:szCs w:val="32"/>
                <w:lang w:val="en-US" w:eastAsia="zh-CN"/>
              </w:rPr>
              <w:t>0</w:t>
            </w:r>
          </w:p>
        </w:tc>
      </w:tr>
      <w:tr>
        <w:tblPrEx>
          <w:tblCellMar>
            <w:top w:w="15" w:type="dxa"/>
            <w:left w:w="15" w:type="dxa"/>
            <w:bottom w:w="15" w:type="dxa"/>
            <w:right w:w="15" w:type="dxa"/>
          </w:tblCellMar>
        </w:tblPrEx>
        <w:trPr>
          <w:trHeight w:val="435" w:hRule="atLeast"/>
          <w:jc w:val="center"/>
        </w:trPr>
        <w:tc>
          <w:tcPr>
            <w:tcW w:w="234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行政强制</w:t>
            </w:r>
          </w:p>
        </w:tc>
        <w:tc>
          <w:tcPr>
            <w:tcW w:w="6584"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Times New Roman" w:hAnsi="Times New Roman" w:eastAsia="仿宋_GB2312" w:cs="Times New Roman"/>
                <w:color w:val="3D3D3D"/>
                <w:kern w:val="0"/>
                <w:sz w:val="32"/>
                <w:szCs w:val="32"/>
                <w:lang w:val="en-US" w:eastAsia="zh-CN"/>
              </w:rPr>
              <w:t>0</w:t>
            </w:r>
          </w:p>
        </w:tc>
      </w:tr>
      <w:tr>
        <w:tblPrEx>
          <w:tblCellMar>
            <w:top w:w="15" w:type="dxa"/>
            <w:left w:w="15" w:type="dxa"/>
            <w:bottom w:w="15" w:type="dxa"/>
            <w:right w:w="15" w:type="dxa"/>
          </w:tblCellMar>
        </w:tblPrEx>
        <w:trPr>
          <w:trHeight w:val="465" w:hRule="atLeast"/>
          <w:jc w:val="center"/>
        </w:trPr>
        <w:tc>
          <w:tcPr>
            <w:tcW w:w="8925" w:type="dxa"/>
            <w:gridSpan w:val="4"/>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第二十条第（八）项</w:t>
            </w:r>
          </w:p>
        </w:tc>
      </w:tr>
      <w:tr>
        <w:tblPrEx>
          <w:tblCellMar>
            <w:top w:w="15" w:type="dxa"/>
            <w:left w:w="15" w:type="dxa"/>
            <w:bottom w:w="15" w:type="dxa"/>
            <w:right w:w="15" w:type="dxa"/>
          </w:tblCellMar>
        </w:tblPrEx>
        <w:trPr>
          <w:trHeight w:val="495" w:hRule="atLeast"/>
          <w:jc w:val="center"/>
        </w:trPr>
        <w:tc>
          <w:tcPr>
            <w:tcW w:w="234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信息内容</w:t>
            </w:r>
          </w:p>
        </w:tc>
        <w:tc>
          <w:tcPr>
            <w:tcW w:w="6584"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eastAsia="zh-CN"/>
              </w:rPr>
            </w:pPr>
            <w:r>
              <w:rPr>
                <w:rFonts w:hint="eastAsia" w:ascii="宋体" w:hAnsi="宋体" w:cs="宋体"/>
                <w:color w:val="3D3D3D"/>
                <w:kern w:val="0"/>
                <w:sz w:val="28"/>
                <w:szCs w:val="28"/>
                <w:lang w:eastAsia="zh-CN"/>
              </w:rPr>
              <w:t>本年收费金额（单位：万元）</w:t>
            </w:r>
          </w:p>
        </w:tc>
      </w:tr>
      <w:tr>
        <w:tblPrEx>
          <w:tblCellMar>
            <w:top w:w="15" w:type="dxa"/>
            <w:left w:w="15" w:type="dxa"/>
            <w:bottom w:w="15" w:type="dxa"/>
            <w:right w:w="15" w:type="dxa"/>
          </w:tblCellMar>
        </w:tblPrEx>
        <w:trPr>
          <w:trHeight w:val="495" w:hRule="atLeast"/>
          <w:jc w:val="center"/>
        </w:trPr>
        <w:tc>
          <w:tcPr>
            <w:tcW w:w="234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行政事业性收费</w:t>
            </w:r>
          </w:p>
        </w:tc>
        <w:tc>
          <w:tcPr>
            <w:tcW w:w="6584"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eastAsia="zh-CN"/>
              </w:rPr>
            </w:pPr>
            <w:r>
              <w:rPr>
                <w:rFonts w:hint="eastAsia" w:ascii="Times New Roman" w:hAnsi="Times New Roman" w:eastAsia="仿宋_GB2312" w:cs="Times New Roman"/>
                <w:color w:val="3D3D3D"/>
                <w:kern w:val="0"/>
                <w:sz w:val="32"/>
                <w:szCs w:val="32"/>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3D3D3D"/>
          <w:kern w:val="0"/>
          <w:sz w:val="32"/>
          <w:szCs w:val="32"/>
        </w:rPr>
      </w:pPr>
      <w:r>
        <w:rPr>
          <w:rFonts w:hint="eastAsia" w:ascii="黑体" w:hAnsi="黑体" w:eastAsia="黑体" w:cs="黑体"/>
          <w:color w:val="3D3D3D"/>
          <w:kern w:val="0"/>
          <w:sz w:val="32"/>
          <w:szCs w:val="32"/>
        </w:rPr>
        <w:t>三、收到和处理政府信息公开申请情况</w:t>
      </w:r>
    </w:p>
    <w:tbl>
      <w:tblPr>
        <w:tblStyle w:val="4"/>
        <w:tblW w:w="9180" w:type="dxa"/>
        <w:jc w:val="center"/>
        <w:tblLayout w:type="autofit"/>
        <w:tblCellMar>
          <w:top w:w="15" w:type="dxa"/>
          <w:left w:w="15" w:type="dxa"/>
          <w:bottom w:w="15" w:type="dxa"/>
          <w:right w:w="15" w:type="dxa"/>
        </w:tblCellMar>
      </w:tblPr>
      <w:tblGrid>
        <w:gridCol w:w="590"/>
        <w:gridCol w:w="1555"/>
        <w:gridCol w:w="2682"/>
        <w:gridCol w:w="569"/>
        <w:gridCol w:w="538"/>
        <w:gridCol w:w="568"/>
        <w:gridCol w:w="703"/>
        <w:gridCol w:w="703"/>
        <w:gridCol w:w="569"/>
        <w:gridCol w:w="703"/>
      </w:tblGrid>
      <w:tr>
        <w:tblPrEx>
          <w:tblCellMar>
            <w:top w:w="15" w:type="dxa"/>
            <w:left w:w="15" w:type="dxa"/>
            <w:bottom w:w="15" w:type="dxa"/>
            <w:right w:w="15" w:type="dxa"/>
          </w:tblCellMar>
        </w:tblPrEx>
        <w:trPr>
          <w:trHeight w:val="450" w:hRule="atLeast"/>
          <w:jc w:val="center"/>
        </w:trPr>
        <w:tc>
          <w:tcPr>
            <w:tcW w:w="4827" w:type="dxa"/>
            <w:gridSpan w:val="3"/>
            <w:vMerge w:val="restart"/>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本列数据的勾稽关系为：第一项加第二项之和，等于第三项加第四项之和）</w:t>
            </w:r>
          </w:p>
        </w:tc>
        <w:tc>
          <w:tcPr>
            <w:tcW w:w="4353" w:type="dxa"/>
            <w:gridSpan w:val="7"/>
            <w:tcBorders>
              <w:top w:val="single" w:color="auto"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申请人情况</w:t>
            </w:r>
          </w:p>
        </w:tc>
      </w:tr>
      <w:tr>
        <w:tblPrEx>
          <w:tblCellMar>
            <w:top w:w="15" w:type="dxa"/>
            <w:left w:w="15" w:type="dxa"/>
            <w:bottom w:w="15" w:type="dxa"/>
            <w:right w:w="15" w:type="dxa"/>
          </w:tblCellMar>
        </w:tblPrEx>
        <w:trPr>
          <w:trHeight w:val="525" w:hRule="atLeast"/>
          <w:jc w:val="center"/>
        </w:trPr>
        <w:tc>
          <w:tcPr>
            <w:tcW w:w="0" w:type="auto"/>
            <w:gridSpan w:val="3"/>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569" w:type="dxa"/>
            <w:vMerge w:val="restart"/>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自然人</w:t>
            </w:r>
          </w:p>
        </w:tc>
        <w:tc>
          <w:tcPr>
            <w:tcW w:w="3081" w:type="dxa"/>
            <w:gridSpan w:val="5"/>
            <w:tcBorders>
              <w:top w:val="single" w:color="auto"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法人或其他组织</w:t>
            </w:r>
          </w:p>
        </w:tc>
        <w:tc>
          <w:tcPr>
            <w:tcW w:w="703" w:type="dxa"/>
            <w:vMerge w:val="restart"/>
            <w:tcBorders>
              <w:top w:val="single" w:color="auto"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总计</w:t>
            </w:r>
          </w:p>
        </w:tc>
      </w:tr>
      <w:tr>
        <w:tblPrEx>
          <w:tblCellMar>
            <w:top w:w="15" w:type="dxa"/>
            <w:left w:w="15" w:type="dxa"/>
            <w:bottom w:w="15" w:type="dxa"/>
            <w:right w:w="15" w:type="dxa"/>
          </w:tblCellMar>
        </w:tblPrEx>
        <w:trPr>
          <w:trHeight w:val="1125" w:hRule="atLeast"/>
          <w:jc w:val="center"/>
        </w:trPr>
        <w:tc>
          <w:tcPr>
            <w:tcW w:w="0" w:type="auto"/>
            <w:gridSpan w:val="3"/>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538" w:type="dxa"/>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商业企业</w:t>
            </w:r>
          </w:p>
        </w:tc>
        <w:tc>
          <w:tcPr>
            <w:tcW w:w="568"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科研机构</w:t>
            </w:r>
          </w:p>
        </w:tc>
        <w:tc>
          <w:tcPr>
            <w:tcW w:w="703" w:type="dxa"/>
            <w:tcBorders>
              <w:top w:val="single" w:color="auto"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社会公益组织</w:t>
            </w:r>
          </w:p>
        </w:tc>
        <w:tc>
          <w:tcPr>
            <w:tcW w:w="703" w:type="dxa"/>
            <w:tcBorders>
              <w:top w:val="single" w:color="auto"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法律服务机构</w:t>
            </w:r>
          </w:p>
        </w:tc>
        <w:tc>
          <w:tcPr>
            <w:tcW w:w="569" w:type="dxa"/>
            <w:tcBorders>
              <w:top w:val="single" w:color="auto"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其他</w:t>
            </w:r>
          </w:p>
        </w:tc>
        <w:tc>
          <w:tcPr>
            <w:tcW w:w="0" w:type="auto"/>
            <w:vMerge w:val="continue"/>
            <w:tcBorders>
              <w:top w:val="single" w:color="auto"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r>
      <w:tr>
        <w:tblPrEx>
          <w:tblCellMar>
            <w:top w:w="15" w:type="dxa"/>
            <w:left w:w="15" w:type="dxa"/>
            <w:bottom w:w="15" w:type="dxa"/>
            <w:right w:w="15" w:type="dxa"/>
          </w:tblCellMar>
        </w:tblPrEx>
        <w:trPr>
          <w:trHeight w:val="390" w:hRule="atLeast"/>
          <w:jc w:val="center"/>
        </w:trPr>
        <w:tc>
          <w:tcPr>
            <w:tcW w:w="4827" w:type="dxa"/>
            <w:gridSpan w:val="3"/>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一、本年新收政府信息公开申请数量</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4827" w:type="dxa"/>
            <w:gridSpan w:val="3"/>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二、上年结转政府信息公开申请数量</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590" w:type="dxa"/>
            <w:vMerge w:val="restart"/>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三、本年度办理结果</w:t>
            </w:r>
          </w:p>
        </w:tc>
        <w:tc>
          <w:tcPr>
            <w:tcW w:w="4237" w:type="dxa"/>
            <w:gridSpan w:val="2"/>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（一）予以公开</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auto"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4237" w:type="dxa"/>
            <w:gridSpan w:val="2"/>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（二）部分公开（区分处理的，只计这一情形，不计其他情形）</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1555" w:type="dxa"/>
            <w:vMerge w:val="restart"/>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（三）不予公开</w:t>
            </w:r>
          </w:p>
        </w:tc>
        <w:tc>
          <w:tcPr>
            <w:tcW w:w="2682"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1．属于国家秘密</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auto"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2．其他法律行政法规禁止公开</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3．危及“三安全一稳定”</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4．保护第三方合法权益</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5．属于三类内部事务信息</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6．属于四类过程性信息</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7．属于行政执法案卷</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8．属于行政查询事项</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1555" w:type="dxa"/>
            <w:vMerge w:val="restart"/>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（四）无法提供</w:t>
            </w:r>
          </w:p>
        </w:tc>
        <w:tc>
          <w:tcPr>
            <w:tcW w:w="2682"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1．本机关不掌握相关政府信息</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2．没有现成信息需要另行制作</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3．补正后申请内容仍不明确</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1555" w:type="dxa"/>
            <w:vMerge w:val="restart"/>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（五）不予处理</w:t>
            </w:r>
          </w:p>
        </w:tc>
        <w:tc>
          <w:tcPr>
            <w:tcW w:w="2682"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1．信访举报投诉类申请</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2．重复申请</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3．要求提供公开出版物</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4．无正当理由大量反复申请</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5．要求行政机关确认或重新出具已获取信息</w:t>
            </w:r>
          </w:p>
        </w:tc>
        <w:tc>
          <w:tcPr>
            <w:tcW w:w="569" w:type="dxa"/>
            <w:tcBorders>
              <w:top w:val="single" w:color="000000" w:sz="6" w:space="0"/>
              <w:left w:val="single" w:color="000000" w:sz="6" w:space="0"/>
              <w:bottom w:val="single" w:color="000000"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000000"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000000"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000000"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191" w:hRule="atLeast"/>
          <w:jc w:val="center"/>
        </w:trPr>
        <w:tc>
          <w:tcPr>
            <w:tcW w:w="590" w:type="dxa"/>
            <w:vMerge w:val="restart"/>
            <w:tcBorders>
              <w:top w:val="single" w:color="000000"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1555" w:type="dxa"/>
            <w:vMerge w:val="restart"/>
            <w:tcBorders>
              <w:top w:val="single" w:color="000000" w:sz="6" w:space="0"/>
              <w:left w:val="single" w:color="000000"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（六）其他处理</w:t>
            </w:r>
          </w:p>
        </w:tc>
        <w:tc>
          <w:tcPr>
            <w:tcW w:w="2682" w:type="dxa"/>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1.申请人无正当理由逾期不补正、行政机关不再处理其政府信息公开申请</w:t>
            </w:r>
          </w:p>
        </w:tc>
        <w:tc>
          <w:tcPr>
            <w:tcW w:w="569"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191" w:hRule="atLeast"/>
          <w:jc w:val="center"/>
        </w:trPr>
        <w:tc>
          <w:tcPr>
            <w:tcW w:w="590"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p>
        </w:tc>
        <w:tc>
          <w:tcPr>
            <w:tcW w:w="1555" w:type="dxa"/>
            <w:vMerge w:val="continue"/>
            <w:tcBorders>
              <w:left w:val="single" w:color="000000"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p>
        </w:tc>
        <w:tc>
          <w:tcPr>
            <w:tcW w:w="2682" w:type="dxa"/>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2.申请人逾期未按收费通知要求缴纳费用、行政机关不再处理其政府信息公开申请</w:t>
            </w:r>
          </w:p>
        </w:tc>
        <w:tc>
          <w:tcPr>
            <w:tcW w:w="569"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r>
      <w:tr>
        <w:tblPrEx>
          <w:tblCellMar>
            <w:top w:w="15" w:type="dxa"/>
            <w:left w:w="15" w:type="dxa"/>
            <w:bottom w:w="15" w:type="dxa"/>
            <w:right w:w="15" w:type="dxa"/>
          </w:tblCellMar>
        </w:tblPrEx>
        <w:trPr>
          <w:trHeight w:val="191" w:hRule="atLeast"/>
          <w:jc w:val="center"/>
        </w:trPr>
        <w:tc>
          <w:tcPr>
            <w:tcW w:w="590"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1555" w:type="dxa"/>
            <w:vMerge w:val="continue"/>
            <w:tcBorders>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2682" w:type="dxa"/>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3.其他</w:t>
            </w:r>
          </w:p>
        </w:tc>
        <w:tc>
          <w:tcPr>
            <w:tcW w:w="569"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000000"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r>
      <w:tr>
        <w:tblPrEx>
          <w:tblCellMar>
            <w:top w:w="15" w:type="dxa"/>
            <w:left w:w="15" w:type="dxa"/>
            <w:bottom w:w="15" w:type="dxa"/>
            <w:right w:w="15" w:type="dxa"/>
          </w:tblCellMar>
        </w:tblPrEx>
        <w:trPr>
          <w:trHeight w:val="390" w:hRule="atLeast"/>
          <w:jc w:val="center"/>
        </w:trPr>
        <w:tc>
          <w:tcPr>
            <w:tcW w:w="590" w:type="dxa"/>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4237" w:type="dxa"/>
            <w:gridSpan w:val="2"/>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（七）总计</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r>
        <w:tblPrEx>
          <w:tblCellMar>
            <w:top w:w="15" w:type="dxa"/>
            <w:left w:w="15" w:type="dxa"/>
            <w:bottom w:w="15" w:type="dxa"/>
            <w:right w:w="15" w:type="dxa"/>
          </w:tblCellMar>
        </w:tblPrEx>
        <w:trPr>
          <w:trHeight w:val="390" w:hRule="atLeast"/>
          <w:jc w:val="center"/>
        </w:trPr>
        <w:tc>
          <w:tcPr>
            <w:tcW w:w="4827" w:type="dxa"/>
            <w:gridSpan w:val="3"/>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四、结转下年度继续办理</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38"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8"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69"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703"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r>
    </w:tbl>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color w:val="3D3D3D"/>
          <w:kern w:val="0"/>
          <w:sz w:val="32"/>
          <w:szCs w:val="32"/>
        </w:rPr>
      </w:pPr>
      <w:r>
        <w:rPr>
          <w:rFonts w:hint="eastAsia" w:ascii="黑体" w:hAnsi="黑体" w:eastAsia="黑体" w:cs="黑体"/>
          <w:color w:val="3D3D3D"/>
          <w:kern w:val="0"/>
          <w:sz w:val="32"/>
          <w:szCs w:val="32"/>
        </w:rPr>
        <w:t>四、</w:t>
      </w:r>
      <w:r>
        <w:rPr>
          <w:rFonts w:hint="eastAsia" w:ascii="黑体" w:hAnsi="黑体" w:eastAsia="黑体" w:cs="黑体"/>
          <w:color w:val="3D3D3D"/>
          <w:kern w:val="0"/>
          <w:sz w:val="32"/>
          <w:szCs w:val="32"/>
          <w:lang w:eastAsia="zh-CN"/>
        </w:rPr>
        <w:t>因</w:t>
      </w:r>
      <w:r>
        <w:rPr>
          <w:rFonts w:hint="eastAsia" w:ascii="黑体" w:hAnsi="黑体" w:eastAsia="黑体" w:cs="黑体"/>
          <w:color w:val="3D3D3D"/>
          <w:kern w:val="0"/>
          <w:sz w:val="32"/>
          <w:szCs w:val="32"/>
        </w:rPr>
        <w:t>政府信息公开</w:t>
      </w:r>
      <w:r>
        <w:rPr>
          <w:rFonts w:hint="eastAsia" w:ascii="黑体" w:hAnsi="黑体" w:eastAsia="黑体" w:cs="黑体"/>
          <w:color w:val="3D3D3D"/>
          <w:kern w:val="0"/>
          <w:sz w:val="32"/>
          <w:szCs w:val="32"/>
          <w:lang w:eastAsia="zh-CN"/>
        </w:rPr>
        <w:t>工作被申请</w:t>
      </w:r>
      <w:r>
        <w:rPr>
          <w:rFonts w:hint="eastAsia" w:ascii="黑体" w:hAnsi="黑体" w:eastAsia="黑体" w:cs="黑体"/>
          <w:color w:val="3D3D3D"/>
          <w:kern w:val="0"/>
          <w:sz w:val="32"/>
          <w:szCs w:val="32"/>
        </w:rPr>
        <w:t>行政复议、</w:t>
      </w:r>
      <w:r>
        <w:rPr>
          <w:rFonts w:hint="eastAsia" w:ascii="黑体" w:hAnsi="黑体" w:eastAsia="黑体" w:cs="黑体"/>
          <w:color w:val="3D3D3D"/>
          <w:kern w:val="0"/>
          <w:sz w:val="32"/>
          <w:szCs w:val="32"/>
          <w:lang w:eastAsia="zh-CN"/>
        </w:rPr>
        <w:t>提起</w:t>
      </w:r>
      <w:r>
        <w:rPr>
          <w:rFonts w:hint="eastAsia" w:ascii="黑体" w:hAnsi="黑体" w:eastAsia="黑体" w:cs="黑体"/>
          <w:color w:val="3D3D3D"/>
          <w:kern w:val="0"/>
          <w:sz w:val="32"/>
          <w:szCs w:val="32"/>
        </w:rPr>
        <w:t>行政诉讼情况</w:t>
      </w:r>
    </w:p>
    <w:tbl>
      <w:tblPr>
        <w:tblStyle w:val="4"/>
        <w:tblW w:w="8475" w:type="dxa"/>
        <w:jc w:val="center"/>
        <w:tblLayout w:type="autofit"/>
        <w:tblCellMar>
          <w:top w:w="15" w:type="dxa"/>
          <w:left w:w="15" w:type="dxa"/>
          <w:bottom w:w="15" w:type="dxa"/>
          <w:right w:w="15" w:type="dxa"/>
        </w:tblCellMar>
      </w:tblPr>
      <w:tblGrid>
        <w:gridCol w:w="538"/>
        <w:gridCol w:w="568"/>
        <w:gridCol w:w="568"/>
        <w:gridCol w:w="569"/>
        <w:gridCol w:w="569"/>
        <w:gridCol w:w="569"/>
        <w:gridCol w:w="566"/>
        <w:gridCol w:w="566"/>
        <w:gridCol w:w="566"/>
        <w:gridCol w:w="566"/>
        <w:gridCol w:w="566"/>
        <w:gridCol w:w="566"/>
        <w:gridCol w:w="566"/>
        <w:gridCol w:w="566"/>
        <w:gridCol w:w="566"/>
      </w:tblGrid>
      <w:tr>
        <w:tblPrEx>
          <w:tblCellMar>
            <w:top w:w="15" w:type="dxa"/>
            <w:left w:w="15" w:type="dxa"/>
            <w:bottom w:w="15" w:type="dxa"/>
            <w:right w:w="15" w:type="dxa"/>
          </w:tblCellMar>
        </w:tblPrEx>
        <w:trPr>
          <w:trHeight w:val="570" w:hRule="atLeast"/>
          <w:jc w:val="center"/>
        </w:trPr>
        <w:tc>
          <w:tcPr>
            <w:tcW w:w="2805" w:type="dxa"/>
            <w:gridSpan w:val="5"/>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行政复议</w:t>
            </w:r>
          </w:p>
        </w:tc>
        <w:tc>
          <w:tcPr>
            <w:tcW w:w="5670" w:type="dxa"/>
            <w:gridSpan w:val="10"/>
            <w:tcBorders>
              <w:top w:val="single" w:color="auto"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行政诉讼</w:t>
            </w:r>
          </w:p>
        </w:tc>
      </w:tr>
      <w:tr>
        <w:tblPrEx>
          <w:tblCellMar>
            <w:top w:w="15" w:type="dxa"/>
            <w:left w:w="15" w:type="dxa"/>
            <w:bottom w:w="15" w:type="dxa"/>
            <w:right w:w="15" w:type="dxa"/>
          </w:tblCellMar>
        </w:tblPrEx>
        <w:trPr>
          <w:trHeight w:val="570" w:hRule="atLeast"/>
          <w:jc w:val="center"/>
        </w:trPr>
        <w:tc>
          <w:tcPr>
            <w:tcW w:w="540" w:type="dxa"/>
            <w:vMerge w:val="restart"/>
            <w:tcBorders>
              <w:top w:val="single" w:color="000000"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结果维持</w:t>
            </w:r>
          </w:p>
        </w:tc>
        <w:tc>
          <w:tcPr>
            <w:tcW w:w="570" w:type="dxa"/>
            <w:vMerge w:val="restart"/>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结果纠正</w:t>
            </w:r>
          </w:p>
        </w:tc>
        <w:tc>
          <w:tcPr>
            <w:tcW w:w="570" w:type="dxa"/>
            <w:vMerge w:val="restart"/>
            <w:tcBorders>
              <w:top w:val="single" w:color="auto"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其他结果</w:t>
            </w:r>
          </w:p>
        </w:tc>
        <w:tc>
          <w:tcPr>
            <w:tcW w:w="570" w:type="dxa"/>
            <w:vMerge w:val="restart"/>
            <w:tcBorders>
              <w:top w:val="single" w:color="auto"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尚未审结</w:t>
            </w:r>
          </w:p>
        </w:tc>
        <w:tc>
          <w:tcPr>
            <w:tcW w:w="570" w:type="dxa"/>
            <w:vMerge w:val="restart"/>
            <w:tcBorders>
              <w:top w:val="single" w:color="auto"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总计</w:t>
            </w:r>
          </w:p>
        </w:tc>
        <w:tc>
          <w:tcPr>
            <w:tcW w:w="2835" w:type="dxa"/>
            <w:gridSpan w:val="5"/>
            <w:tcBorders>
              <w:top w:val="single" w:color="auto"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未经复议直接起诉</w:t>
            </w:r>
          </w:p>
        </w:tc>
        <w:tc>
          <w:tcPr>
            <w:tcW w:w="2835" w:type="dxa"/>
            <w:gridSpan w:val="5"/>
            <w:tcBorders>
              <w:top w:val="single" w:color="auto"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复议后起诉</w:t>
            </w:r>
          </w:p>
        </w:tc>
      </w:tr>
      <w:tr>
        <w:tblPrEx>
          <w:tblCellMar>
            <w:top w:w="15" w:type="dxa"/>
            <w:left w:w="15" w:type="dxa"/>
            <w:bottom w:w="15" w:type="dxa"/>
            <w:right w:w="15" w:type="dxa"/>
          </w:tblCellMar>
        </w:tblPrEx>
        <w:trPr>
          <w:trHeight w:val="1470" w:hRule="atLeast"/>
          <w:jc w:val="center"/>
        </w:trPr>
        <w:tc>
          <w:tcPr>
            <w:tcW w:w="0" w:type="auto"/>
            <w:vMerge w:val="continue"/>
            <w:tcBorders>
              <w:top w:val="single" w:color="000000"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000000"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auto"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auto"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0" w:type="auto"/>
            <w:vMerge w:val="continue"/>
            <w:tcBorders>
              <w:top w:val="single" w:color="auto" w:sz="6" w:space="0"/>
              <w:left w:val="single" w:color="000000"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p>
        </w:tc>
        <w:tc>
          <w:tcPr>
            <w:tcW w:w="570" w:type="dxa"/>
            <w:tcBorders>
              <w:top w:val="single" w:color="000000" w:sz="6" w:space="0"/>
              <w:left w:val="single" w:color="000000"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结果维持</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结果纠正</w:t>
            </w:r>
          </w:p>
        </w:tc>
        <w:tc>
          <w:tcPr>
            <w:tcW w:w="570" w:type="dxa"/>
            <w:tcBorders>
              <w:top w:val="single" w:color="auto"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其他结果</w:t>
            </w:r>
          </w:p>
        </w:tc>
        <w:tc>
          <w:tcPr>
            <w:tcW w:w="570" w:type="dxa"/>
            <w:tcBorders>
              <w:top w:val="single" w:color="auto"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尚未审结</w:t>
            </w:r>
          </w:p>
        </w:tc>
        <w:tc>
          <w:tcPr>
            <w:tcW w:w="570" w:type="dxa"/>
            <w:tcBorders>
              <w:top w:val="single" w:color="auto"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总计</w:t>
            </w:r>
          </w:p>
        </w:tc>
        <w:tc>
          <w:tcPr>
            <w:tcW w:w="570" w:type="dxa"/>
            <w:tcBorders>
              <w:top w:val="single" w:color="auto"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结果维持</w:t>
            </w:r>
          </w:p>
        </w:tc>
        <w:tc>
          <w:tcPr>
            <w:tcW w:w="570" w:type="dxa"/>
            <w:tcBorders>
              <w:top w:val="single" w:color="auto"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结果纠正</w:t>
            </w:r>
          </w:p>
        </w:tc>
        <w:tc>
          <w:tcPr>
            <w:tcW w:w="570" w:type="dxa"/>
            <w:tcBorders>
              <w:top w:val="single" w:color="auto"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其他结果</w:t>
            </w:r>
          </w:p>
        </w:tc>
        <w:tc>
          <w:tcPr>
            <w:tcW w:w="570" w:type="dxa"/>
            <w:tcBorders>
              <w:top w:val="single" w:color="auto"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尚未审结</w:t>
            </w:r>
          </w:p>
        </w:tc>
        <w:tc>
          <w:tcPr>
            <w:tcW w:w="570" w:type="dxa"/>
            <w:tcBorders>
              <w:top w:val="single" w:color="auto" w:sz="6" w:space="0"/>
              <w:left w:val="single" w:color="000000"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总计</w:t>
            </w:r>
          </w:p>
        </w:tc>
      </w:tr>
      <w:tr>
        <w:tblPrEx>
          <w:tblCellMar>
            <w:top w:w="15" w:type="dxa"/>
            <w:left w:w="15" w:type="dxa"/>
            <w:bottom w:w="15" w:type="dxa"/>
            <w:right w:w="15" w:type="dxa"/>
          </w:tblCellMar>
        </w:tblPrEx>
        <w:trPr>
          <w:trHeight w:val="570" w:hRule="atLeast"/>
          <w:jc w:val="center"/>
        </w:trPr>
        <w:tc>
          <w:tcPr>
            <w:tcW w:w="540" w:type="dxa"/>
            <w:tcBorders>
              <w:top w:val="single" w:color="000000"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eastAsia="zh-CN"/>
              </w:rPr>
            </w:pPr>
            <w:r>
              <w:rPr>
                <w:rFonts w:hint="eastAsia" w:ascii="宋体" w:hAnsi="宋体" w:cs="宋体"/>
                <w:color w:val="3D3D3D"/>
                <w:kern w:val="0"/>
                <w:sz w:val="28"/>
                <w:szCs w:val="28"/>
                <w:lang w:val="en-US" w:eastAsia="zh-CN"/>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eastAsia="zh-CN"/>
              </w:rPr>
            </w:pPr>
            <w:r>
              <w:rPr>
                <w:rFonts w:hint="eastAsia" w:ascii="宋体" w:hAnsi="宋体" w:cs="宋体"/>
                <w:color w:val="3D3D3D"/>
                <w:kern w:val="0"/>
                <w:sz w:val="28"/>
                <w:szCs w:val="28"/>
                <w:lang w:val="en-US" w:eastAsia="zh-CN"/>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3D3D3D"/>
                <w:kern w:val="0"/>
                <w:sz w:val="28"/>
                <w:szCs w:val="28"/>
                <w:lang w:val="en-US" w:eastAsia="zh-CN"/>
              </w:rPr>
            </w:pPr>
            <w:r>
              <w:rPr>
                <w:rFonts w:hint="eastAsia" w:ascii="宋体" w:hAnsi="宋体" w:cs="宋体"/>
                <w:color w:val="3D3D3D"/>
                <w:kern w:val="0"/>
                <w:sz w:val="28"/>
                <w:szCs w:val="28"/>
                <w:lang w:val="en-US" w:eastAsia="zh-CN"/>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rPr>
            </w:pPr>
            <w:r>
              <w:rPr>
                <w:rFonts w:hint="eastAsia" w:ascii="宋体" w:hAnsi="宋体" w:eastAsia="宋体" w:cs="宋体"/>
                <w:color w:val="3D3D3D"/>
                <w:kern w:val="0"/>
                <w:sz w:val="28"/>
                <w:szCs w:val="28"/>
              </w:rPr>
              <w:t>0</w:t>
            </w:r>
          </w:p>
        </w:tc>
        <w:tc>
          <w:tcPr>
            <w:tcW w:w="570" w:type="dxa"/>
            <w:tcBorders>
              <w:top w:val="single" w:color="000000" w:sz="6" w:space="0"/>
              <w:left w:val="single" w:color="000000"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D3D3D"/>
                <w:kern w:val="0"/>
                <w:sz w:val="28"/>
                <w:szCs w:val="28"/>
                <w:lang w:eastAsia="zh-CN"/>
              </w:rPr>
            </w:pPr>
            <w:r>
              <w:rPr>
                <w:rFonts w:hint="eastAsia" w:ascii="宋体" w:hAnsi="宋体" w:cs="宋体"/>
                <w:color w:val="3D3D3D"/>
                <w:kern w:val="0"/>
                <w:sz w:val="28"/>
                <w:szCs w:val="28"/>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color w:val="3D3D3D"/>
          <w:kern w:val="0"/>
          <w:sz w:val="32"/>
          <w:szCs w:val="32"/>
        </w:rPr>
      </w:pPr>
      <w:r>
        <w:rPr>
          <w:rFonts w:hint="eastAsia" w:ascii="黑体" w:hAnsi="黑体" w:eastAsia="黑体" w:cs="黑体"/>
          <w:color w:val="3D3D3D"/>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D3D3D"/>
          <w:kern w:val="0"/>
          <w:sz w:val="32"/>
          <w:szCs w:val="32"/>
          <w:lang w:eastAsia="zh-CN"/>
        </w:rPr>
      </w:pPr>
      <w:r>
        <w:rPr>
          <w:rFonts w:hint="default" w:ascii="Times New Roman" w:hAnsi="Times New Roman" w:eastAsia="仿宋_GB2312" w:cs="Times New Roman"/>
          <w:color w:val="3D3D3D"/>
          <w:kern w:val="0"/>
          <w:sz w:val="32"/>
          <w:szCs w:val="32"/>
        </w:rPr>
        <w:t>20</w:t>
      </w:r>
      <w:r>
        <w:rPr>
          <w:rFonts w:hint="default" w:ascii="Times New Roman" w:hAnsi="Times New Roman" w:eastAsia="仿宋_GB2312" w:cs="Times New Roman"/>
          <w:color w:val="3D3D3D"/>
          <w:kern w:val="0"/>
          <w:sz w:val="32"/>
          <w:szCs w:val="32"/>
          <w:lang w:val="en-US" w:eastAsia="zh-CN"/>
        </w:rPr>
        <w:t>21</w:t>
      </w:r>
      <w:r>
        <w:rPr>
          <w:rFonts w:hint="eastAsia" w:ascii="仿宋_GB2312" w:hAnsi="仿宋_GB2312" w:eastAsia="仿宋_GB2312" w:cs="仿宋_GB2312"/>
          <w:color w:val="3D3D3D"/>
          <w:kern w:val="0"/>
          <w:sz w:val="32"/>
          <w:szCs w:val="32"/>
        </w:rPr>
        <w:t>年我局政府信息公开工作虽然取得了一定的成绩，但也存在</w:t>
      </w:r>
      <w:r>
        <w:rPr>
          <w:rFonts w:hint="eastAsia" w:ascii="仿宋_GB2312" w:hAnsi="仿宋_GB2312" w:eastAsia="仿宋_GB2312" w:cs="仿宋_GB2312"/>
          <w:color w:val="3D3D3D"/>
          <w:kern w:val="0"/>
          <w:sz w:val="32"/>
          <w:szCs w:val="32"/>
          <w:lang w:eastAsia="zh-CN"/>
        </w:rPr>
        <w:t>一些</w:t>
      </w:r>
      <w:r>
        <w:rPr>
          <w:rFonts w:hint="eastAsia" w:ascii="仿宋_GB2312" w:hAnsi="仿宋_GB2312" w:eastAsia="仿宋_GB2312" w:cs="仿宋_GB2312"/>
          <w:color w:val="3D3D3D"/>
          <w:kern w:val="0"/>
          <w:sz w:val="32"/>
          <w:szCs w:val="32"/>
        </w:rPr>
        <w:t>不足。</w:t>
      </w:r>
      <w:r>
        <w:rPr>
          <w:rFonts w:hint="eastAsia" w:ascii="仿宋_GB2312" w:hAnsi="仿宋_GB2312" w:eastAsia="仿宋_GB2312" w:cs="仿宋_GB2312"/>
          <w:color w:val="3D3D3D"/>
          <w:kern w:val="0"/>
          <w:sz w:val="32"/>
          <w:szCs w:val="32"/>
          <w:lang w:eastAsia="zh-CN"/>
        </w:rPr>
        <w:t>主要表现在公开的政府信息和市民群众的需求还有一定差距，解读形式过于单一，政府信息公开质量有待提高。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D3D3D"/>
          <w:kern w:val="0"/>
          <w:sz w:val="32"/>
          <w:szCs w:val="32"/>
          <w:lang w:eastAsia="zh-CN"/>
        </w:rPr>
      </w:pPr>
      <w:r>
        <w:rPr>
          <w:rFonts w:hint="default" w:ascii="Times New Roman" w:hAnsi="Times New Roman" w:eastAsia="仿宋_GB2312" w:cs="Times New Roman"/>
          <w:color w:val="3D3D3D"/>
          <w:kern w:val="0"/>
          <w:sz w:val="32"/>
          <w:szCs w:val="32"/>
        </w:rPr>
        <w:t>202</w:t>
      </w:r>
      <w:r>
        <w:rPr>
          <w:rFonts w:hint="default" w:ascii="Times New Roman" w:hAnsi="Times New Roman" w:eastAsia="仿宋_GB2312" w:cs="Times New Roman"/>
          <w:color w:val="3D3D3D"/>
          <w:kern w:val="0"/>
          <w:sz w:val="32"/>
          <w:szCs w:val="32"/>
          <w:lang w:val="en-US" w:eastAsia="zh-CN"/>
        </w:rPr>
        <w:t>2</w:t>
      </w:r>
      <w:r>
        <w:rPr>
          <w:rFonts w:hint="eastAsia" w:ascii="仿宋_GB2312" w:hAnsi="仿宋_GB2312" w:eastAsia="仿宋_GB2312" w:cs="仿宋_GB2312"/>
          <w:color w:val="3D3D3D"/>
          <w:kern w:val="0"/>
          <w:sz w:val="32"/>
          <w:szCs w:val="32"/>
        </w:rPr>
        <w:t>年</w:t>
      </w:r>
      <w:r>
        <w:rPr>
          <w:rFonts w:hint="eastAsia" w:ascii="仿宋_GB2312" w:hAnsi="仿宋_GB2312" w:eastAsia="仿宋_GB2312" w:cs="仿宋_GB2312"/>
          <w:color w:val="3D3D3D"/>
          <w:kern w:val="0"/>
          <w:sz w:val="32"/>
          <w:szCs w:val="32"/>
          <w:lang w:eastAsia="zh-CN"/>
        </w:rPr>
        <w:t>，我局将按照国家、省、市、区的要求，进一步推进我局政府信息公开工作：一是进一步深化政府信息公开内容，以群众关切的政府信息为切入口，完善政府信息公开机制，规范政府信息公开行为。二是进一步丰富政府信息公开形式，积极发挥新媒体传播优势，通俗易懂地解读好政府政策，回应好群众关切。三是进一步强化政务公开的责任意识，</w:t>
      </w:r>
      <w:r>
        <w:rPr>
          <w:rFonts w:hint="eastAsia" w:ascii="仿宋_GB2312" w:hAnsi="仿宋_GB2312" w:eastAsia="仿宋_GB2312" w:cs="仿宋_GB2312"/>
          <w:color w:val="3D3D3D"/>
          <w:kern w:val="0"/>
          <w:sz w:val="32"/>
          <w:szCs w:val="32"/>
        </w:rPr>
        <w:t>提高依法办理政府信息公开工作的能力</w:t>
      </w:r>
      <w:r>
        <w:rPr>
          <w:rFonts w:hint="eastAsia" w:ascii="仿宋_GB2312" w:hAnsi="仿宋_GB2312" w:eastAsia="仿宋_GB2312" w:cs="仿宋_GB2312"/>
          <w:color w:val="3D3D3D"/>
          <w:kern w:val="0"/>
          <w:sz w:val="32"/>
          <w:szCs w:val="32"/>
          <w:lang w:eastAsia="zh-CN"/>
        </w:rPr>
        <w:t>，稳步提高信息公开质量。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80" w:leftChars="0"/>
        <w:jc w:val="left"/>
        <w:textAlignment w:val="auto"/>
        <w:rPr>
          <w:rFonts w:hint="eastAsia" w:ascii="黑体" w:hAnsi="黑体" w:eastAsia="黑体" w:cs="黑体"/>
          <w:color w:val="3D3D3D"/>
          <w:kern w:val="0"/>
          <w:sz w:val="32"/>
          <w:szCs w:val="32"/>
          <w:lang w:eastAsia="zh-CN"/>
        </w:rPr>
      </w:pPr>
      <w:r>
        <w:rPr>
          <w:rFonts w:hint="eastAsia" w:ascii="黑体" w:hAnsi="黑体" w:eastAsia="黑体" w:cs="黑体"/>
          <w:color w:val="3D3D3D"/>
          <w:kern w:val="0"/>
          <w:sz w:val="32"/>
          <w:szCs w:val="32"/>
          <w:lang w:eastAsia="zh-CN"/>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楷体" w:hAnsi="楷体" w:eastAsia="楷体" w:cs="楷体"/>
          <w:b/>
          <w:bCs/>
          <w:color w:val="3D3D3D"/>
          <w:kern w:val="0"/>
          <w:sz w:val="32"/>
          <w:szCs w:val="32"/>
          <w:lang w:val="en-US" w:eastAsia="zh-CN"/>
        </w:rPr>
      </w:pPr>
      <w:r>
        <w:rPr>
          <w:rFonts w:hint="eastAsia" w:ascii="楷体" w:hAnsi="楷体" w:eastAsia="楷体" w:cs="楷体"/>
          <w:b/>
          <w:bCs/>
          <w:color w:val="3D3D3D"/>
          <w:kern w:val="0"/>
          <w:sz w:val="32"/>
          <w:szCs w:val="32"/>
          <w:lang w:val="en-US" w:eastAsia="zh-CN"/>
        </w:rPr>
        <w:t>（一）落实上级年度政务公开工作要点情况</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D3D3D"/>
          <w:kern w:val="0"/>
          <w:sz w:val="32"/>
          <w:szCs w:val="32"/>
          <w:lang w:val="en-US" w:eastAsia="zh-CN"/>
        </w:rPr>
      </w:pPr>
      <w:r>
        <w:rPr>
          <w:rFonts w:hint="default" w:ascii="Times New Roman" w:hAnsi="Times New Roman" w:eastAsia="仿宋_GB2312" w:cs="Times New Roman"/>
          <w:color w:val="3D3D3D"/>
          <w:kern w:val="0"/>
          <w:sz w:val="32"/>
          <w:szCs w:val="32"/>
          <w:lang w:val="en-US" w:eastAsia="zh-CN"/>
        </w:rPr>
        <w:t>2021</w:t>
      </w:r>
      <w:r>
        <w:rPr>
          <w:rFonts w:hint="eastAsia" w:ascii="仿宋_GB2312" w:hAnsi="仿宋_GB2312" w:eastAsia="仿宋_GB2312" w:cs="仿宋_GB2312"/>
          <w:color w:val="3D3D3D"/>
          <w:kern w:val="0"/>
          <w:sz w:val="32"/>
          <w:szCs w:val="32"/>
          <w:lang w:val="en-US" w:eastAsia="zh-CN"/>
        </w:rPr>
        <w:t>年，我局严格按照上级关于年度政务公开工作的各项要求，积极落实市政务公开工作评估考核的各项工作，确保政务公开各项工作落实到位。</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楷体" w:hAnsi="楷体" w:eastAsia="楷体" w:cs="楷体"/>
          <w:b/>
          <w:bCs/>
          <w:color w:val="3D3D3D"/>
          <w:kern w:val="0"/>
          <w:sz w:val="32"/>
          <w:szCs w:val="32"/>
          <w:lang w:val="en-US" w:eastAsia="zh-CN"/>
        </w:rPr>
      </w:pPr>
      <w:r>
        <w:rPr>
          <w:rFonts w:hint="eastAsia" w:ascii="楷体" w:hAnsi="楷体" w:eastAsia="楷体" w:cs="楷体"/>
          <w:b/>
          <w:bCs/>
          <w:color w:val="3D3D3D"/>
          <w:kern w:val="0"/>
          <w:sz w:val="32"/>
          <w:szCs w:val="32"/>
          <w:lang w:val="en-US" w:eastAsia="zh-CN"/>
        </w:rPr>
        <w:t>（二）年度政务公开工作创新情况</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仿宋_GB2312" w:hAnsi="仿宋_GB2312" w:eastAsia="仿宋_GB2312" w:cs="仿宋_GB2312"/>
          <w:color w:val="3D3D3D"/>
          <w:kern w:val="0"/>
          <w:sz w:val="32"/>
          <w:szCs w:val="32"/>
          <w:lang w:val="en-US" w:eastAsia="zh-CN"/>
        </w:rPr>
      </w:pPr>
      <w:r>
        <w:rPr>
          <w:rFonts w:hint="default" w:ascii="Times New Roman" w:hAnsi="Times New Roman" w:eastAsia="仿宋_GB2312" w:cs="Times New Roman"/>
          <w:color w:val="3D3D3D"/>
          <w:kern w:val="0"/>
          <w:sz w:val="32"/>
          <w:szCs w:val="32"/>
          <w:lang w:val="en-US" w:eastAsia="zh-CN"/>
        </w:rPr>
        <w:t>2021</w:t>
      </w:r>
      <w:r>
        <w:rPr>
          <w:rFonts w:hint="eastAsia" w:ascii="仿宋_GB2312" w:hAnsi="仿宋_GB2312" w:eastAsia="仿宋_GB2312" w:cs="仿宋_GB2312"/>
          <w:color w:val="3D3D3D"/>
          <w:kern w:val="0"/>
          <w:sz w:val="32"/>
          <w:szCs w:val="32"/>
          <w:lang w:val="en-US" w:eastAsia="zh-CN"/>
        </w:rPr>
        <w:t>年，我局通过政府门户网站、管委公众号及市局公众号等途径，积极宣传推广我局在政务服务改革方面的相关工作，及时做好政策公开和政策解读，实现政务公开、政务服务、政民互动的有机融合。</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D3D3D"/>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D3D3D"/>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D8"/>
    <w:rsid w:val="001D7A2C"/>
    <w:rsid w:val="003D1DFF"/>
    <w:rsid w:val="004C02F6"/>
    <w:rsid w:val="005A1DD0"/>
    <w:rsid w:val="0082702E"/>
    <w:rsid w:val="00877DD8"/>
    <w:rsid w:val="008F7641"/>
    <w:rsid w:val="00B65D25"/>
    <w:rsid w:val="00B931CA"/>
    <w:rsid w:val="00BD6FC8"/>
    <w:rsid w:val="00C83F88"/>
    <w:rsid w:val="00CA5B77"/>
    <w:rsid w:val="00CB36BD"/>
    <w:rsid w:val="00CB77C4"/>
    <w:rsid w:val="00CC4E51"/>
    <w:rsid w:val="00CC6703"/>
    <w:rsid w:val="00D97039"/>
    <w:rsid w:val="00EC65D4"/>
    <w:rsid w:val="051513A7"/>
    <w:rsid w:val="0FAA427D"/>
    <w:rsid w:val="10783AC2"/>
    <w:rsid w:val="109C5700"/>
    <w:rsid w:val="17675210"/>
    <w:rsid w:val="1C010930"/>
    <w:rsid w:val="331A7F9A"/>
    <w:rsid w:val="3B6F1778"/>
    <w:rsid w:val="3CF90D6B"/>
    <w:rsid w:val="45261842"/>
    <w:rsid w:val="45A143E7"/>
    <w:rsid w:val="4C5F295B"/>
    <w:rsid w:val="5A8B4DA3"/>
    <w:rsid w:val="6D4D3B7F"/>
    <w:rsid w:val="7CED2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278</Words>
  <Characters>1588</Characters>
  <Lines>13</Lines>
  <Paragraphs>3</Paragraphs>
  <TotalTime>150</TotalTime>
  <ScaleCrop>false</ScaleCrop>
  <LinksUpToDate>false</LinksUpToDate>
  <CharactersWithSpaces>1863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2020-07-01T07:59:00Z</dcterms:created>
  <dc:creator>hh</dc:creator>
  <cp:lastModifiedBy>一依</cp:lastModifiedBy>
  <dcterms:modified xsi:type="dcterms:W3CDTF">2022-01-26T07:35:24Z</dcterms:modified>
  <dc:title>一、总体情况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48E1E2675A644F31926E723B6B1FF707</vt:lpwstr>
  </property>
</Properties>
</file>