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rPr>
        <w:t>本报告是根据修订的《中华人民共和国政府信息公开条例》、《国务院办公厅政府信息与政务公开办公室关于政府信息公开工作年度报告有关事项的通知》</w:t>
      </w:r>
      <w:r>
        <w:rPr>
          <w:rFonts w:hint="eastAsia" w:ascii="仿宋_GB2312" w:hAnsi="微软雅黑" w:eastAsia="仿宋_GB2312" w:cs="仿宋_GB2312"/>
          <w:i w:val="0"/>
          <w:iCs w:val="0"/>
          <w:caps w:val="0"/>
          <w:color w:val="000000"/>
          <w:spacing w:val="0"/>
          <w:sz w:val="32"/>
          <w:szCs w:val="32"/>
          <w:shd w:val="clear" w:fill="FFFFFF"/>
        </w:rPr>
        <w:t>(国办公开办函〔2021〕30号)和《中华人民共和国政府信息公开条例》</w:t>
      </w:r>
      <w:r>
        <w:rPr>
          <w:rFonts w:hint="eastAsia" w:ascii="仿宋_GB2312" w:hAnsi="微软雅黑" w:eastAsia="仿宋_GB2312" w:cs="仿宋_GB2312"/>
          <w:i w:val="0"/>
          <w:iCs w:val="0"/>
          <w:caps w:val="0"/>
          <w:color w:val="000000"/>
          <w:spacing w:val="0"/>
          <w:sz w:val="32"/>
          <w:szCs w:val="32"/>
          <w:shd w:val="clear" w:fill="FFFFFF"/>
          <w:lang w:eastAsia="zh-CN"/>
        </w:rPr>
        <w:t>第五十条的</w:t>
      </w:r>
      <w:r>
        <w:rPr>
          <w:rFonts w:hint="eastAsia" w:ascii="仿宋_GB2312" w:hAnsi="微软雅黑" w:eastAsia="仿宋_GB2312" w:cs="仿宋_GB2312"/>
          <w:i w:val="0"/>
          <w:iCs w:val="0"/>
          <w:caps w:val="0"/>
          <w:color w:val="000000"/>
          <w:spacing w:val="0"/>
          <w:sz w:val="32"/>
          <w:szCs w:val="32"/>
          <w:shd w:val="clear" w:fill="FFFFFF"/>
        </w:rPr>
        <w:t>要求编制，</w:t>
      </w:r>
      <w:r>
        <w:rPr>
          <w:rFonts w:hint="eastAsia" w:ascii="仿宋_GB2312" w:hAnsi="微软雅黑" w:eastAsia="仿宋_GB2312" w:cs="仿宋_GB2312"/>
          <w:i w:val="0"/>
          <w:iCs w:val="0"/>
          <w:caps w:val="0"/>
          <w:color w:val="000000"/>
          <w:spacing w:val="0"/>
          <w:sz w:val="32"/>
          <w:szCs w:val="32"/>
        </w:rPr>
        <w:t>并向社会公开。本报告中所列数据的统计期限自202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年1月1日起至202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12月31日止。本报告可在淄博经济开发区门户网站(http://www.zbjkq.gov.cn)下载。如对本报告有任何疑问，请联系淄博经济开发区南定镇人民政府党政办公室，地址：经开区南定镇政府三楼党政办公室，邮编：255000，联系电话：0533-2980477，电子邮箱：zdqndzdzb@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一、</w:t>
      </w:r>
      <w:r>
        <w:rPr>
          <w:rFonts w:hint="eastAsia" w:ascii="黑体" w:hAnsi="宋体" w:eastAsia="黑体" w:cs="黑体"/>
          <w:i w:val="0"/>
          <w:iCs w:val="0"/>
          <w:caps w:val="0"/>
          <w:color w:val="000000"/>
          <w:spacing w:val="0"/>
          <w:sz w:val="32"/>
          <w:szCs w:val="32"/>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我镇严格按照《中华人民共和国政府信息公开条例》开展政府信息公开工作，进一步梳理了政府信息公开工作思路，主动公开政府信息，规范信息发布审核等工作流程，积极履行政府信息公开工作主管部门职责，提升政府工作透明度，切实满足社会公众获取和利用政府信息的需求，进一步转变政府的行政职能，提升群众的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ascii="楷体_GB2312" w:hAnsi="微软雅黑" w:eastAsia="楷体_GB2312" w:cs="楷体_GB2312"/>
          <w:i w:val="0"/>
          <w:iCs w:val="0"/>
          <w:caps w:val="0"/>
          <w:color w:val="000000"/>
          <w:spacing w:val="0"/>
          <w:sz w:val="32"/>
          <w:szCs w:val="32"/>
          <w:shd w:val="clear" w:fill="FFFFFF"/>
        </w:rPr>
        <w:t> </w:t>
      </w:r>
      <w:r>
        <w:rPr>
          <w:rStyle w:val="5"/>
          <w:rFonts w:ascii="楷体" w:hAnsi="楷体" w:eastAsia="楷体" w:cs="楷体"/>
          <w:b/>
          <w:bCs/>
          <w:i w:val="0"/>
          <w:iCs w:val="0"/>
          <w:caps w:val="0"/>
          <w:color w:val="000000"/>
          <w:spacing w:val="0"/>
          <w:sz w:val="32"/>
          <w:szCs w:val="32"/>
          <w:shd w:val="clear" w:fill="FFFFFF"/>
        </w:rPr>
        <w:t>（一）主动公开政府信息情况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南定镇人民政府202</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年度累计主动公开政府信息</w:t>
      </w:r>
      <w:r>
        <w:rPr>
          <w:rFonts w:hint="eastAsia" w:ascii="仿宋_GB2312" w:hAnsi="微软雅黑" w:eastAsia="仿宋_GB2312" w:cs="仿宋_GB2312"/>
          <w:i w:val="0"/>
          <w:iCs w:val="0"/>
          <w:caps w:val="0"/>
          <w:color w:val="000000"/>
          <w:spacing w:val="0"/>
          <w:sz w:val="32"/>
          <w:szCs w:val="32"/>
          <w:shd w:val="clear" w:fill="FFFFFF"/>
          <w:lang w:val="en-US" w:eastAsia="zh-CN"/>
        </w:rPr>
        <w:t>366</w:t>
      </w:r>
      <w:r>
        <w:rPr>
          <w:rFonts w:hint="eastAsia" w:ascii="仿宋_GB2312" w:hAnsi="微软雅黑" w:eastAsia="仿宋_GB2312" w:cs="仿宋_GB2312"/>
          <w:i w:val="0"/>
          <w:iCs w:val="0"/>
          <w:caps w:val="0"/>
          <w:color w:val="000000"/>
          <w:spacing w:val="0"/>
          <w:sz w:val="32"/>
          <w:szCs w:val="32"/>
          <w:shd w:val="clear" w:fill="FFFFFF"/>
        </w:rPr>
        <w:t>条，（其中包含政府网站公开</w:t>
      </w:r>
      <w:r>
        <w:rPr>
          <w:rFonts w:hint="eastAsia" w:ascii="仿宋_GB2312" w:hAnsi="微软雅黑" w:eastAsia="仿宋_GB2312" w:cs="仿宋_GB2312"/>
          <w:i w:val="0"/>
          <w:iCs w:val="0"/>
          <w:caps w:val="0"/>
          <w:color w:val="000000"/>
          <w:spacing w:val="0"/>
          <w:sz w:val="32"/>
          <w:szCs w:val="32"/>
          <w:shd w:val="clear" w:fill="FFFFFF"/>
          <w:lang w:val="en-US" w:eastAsia="zh-CN"/>
        </w:rPr>
        <w:t>42</w:t>
      </w:r>
      <w:r>
        <w:rPr>
          <w:rFonts w:hint="eastAsia" w:ascii="仿宋_GB2312" w:hAnsi="微软雅黑" w:eastAsia="仿宋_GB2312" w:cs="仿宋_GB2312"/>
          <w:i w:val="0"/>
          <w:iCs w:val="0"/>
          <w:caps w:val="0"/>
          <w:color w:val="000000"/>
          <w:spacing w:val="0"/>
          <w:sz w:val="32"/>
          <w:szCs w:val="32"/>
          <w:shd w:val="clear" w:fill="FFFFFF"/>
        </w:rPr>
        <w:t>条，政务微信公开</w:t>
      </w:r>
      <w:r>
        <w:rPr>
          <w:rFonts w:hint="eastAsia" w:ascii="仿宋_GB2312" w:hAnsi="微软雅黑" w:eastAsia="仿宋_GB2312" w:cs="仿宋_GB2312"/>
          <w:i w:val="0"/>
          <w:iCs w:val="0"/>
          <w:caps w:val="0"/>
          <w:color w:val="000000"/>
          <w:spacing w:val="0"/>
          <w:sz w:val="32"/>
          <w:szCs w:val="32"/>
          <w:shd w:val="clear" w:fill="FFFFFF"/>
          <w:lang w:val="en-US" w:eastAsia="zh-CN"/>
        </w:rPr>
        <w:t>250</w:t>
      </w:r>
      <w:r>
        <w:rPr>
          <w:rFonts w:hint="eastAsia" w:ascii="仿宋_GB2312" w:hAnsi="微软雅黑" w:eastAsia="仿宋_GB2312" w:cs="仿宋_GB2312"/>
          <w:i w:val="0"/>
          <w:iCs w:val="0"/>
          <w:caps w:val="0"/>
          <w:color w:val="000000"/>
          <w:spacing w:val="0"/>
          <w:sz w:val="32"/>
          <w:szCs w:val="32"/>
          <w:shd w:val="clear" w:fill="FFFFFF"/>
        </w:rPr>
        <w:t>条，镇政府和各村居社区政务公开栏公开</w:t>
      </w:r>
      <w:r>
        <w:rPr>
          <w:rFonts w:hint="eastAsia" w:ascii="仿宋_GB2312" w:hAnsi="微软雅黑" w:eastAsia="仿宋_GB2312" w:cs="仿宋_GB2312"/>
          <w:i w:val="0"/>
          <w:iCs w:val="0"/>
          <w:caps w:val="0"/>
          <w:color w:val="000000"/>
          <w:spacing w:val="0"/>
          <w:sz w:val="32"/>
          <w:szCs w:val="32"/>
          <w:shd w:val="clear" w:fill="FFFFFF"/>
          <w:lang w:val="en-US" w:eastAsia="zh-CN"/>
        </w:rPr>
        <w:t>74</w:t>
      </w:r>
      <w:r>
        <w:rPr>
          <w:rFonts w:hint="eastAsia" w:ascii="仿宋_GB2312" w:hAnsi="微软雅黑" w:eastAsia="仿宋_GB2312" w:cs="仿宋_GB2312"/>
          <w:i w:val="0"/>
          <w:iCs w:val="0"/>
          <w:caps w:val="0"/>
          <w:color w:val="000000"/>
          <w:spacing w:val="0"/>
          <w:sz w:val="32"/>
          <w:szCs w:val="32"/>
          <w:shd w:val="clear" w:fill="FFFFFF"/>
        </w:rPr>
        <w:t>条（重复不计），公开内容涵括单位财政预决算、工作分工、政务动态、建议提案办理情况等）。微信公众平台“幸福南定”202</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年已发送包括南定镇信息、生活贴士等</w:t>
      </w:r>
      <w:r>
        <w:rPr>
          <w:rFonts w:hint="eastAsia" w:ascii="仿宋_GB2312" w:hAnsi="微软雅黑" w:eastAsia="仿宋_GB2312" w:cs="仿宋_GB2312"/>
          <w:i w:val="0"/>
          <w:iCs w:val="0"/>
          <w:caps w:val="0"/>
          <w:color w:val="000000"/>
          <w:spacing w:val="0"/>
          <w:sz w:val="32"/>
          <w:szCs w:val="32"/>
          <w:shd w:val="clear" w:fill="FFFFFF"/>
          <w:lang w:val="en-US" w:eastAsia="zh-CN"/>
        </w:rPr>
        <w:t>25</w:t>
      </w:r>
      <w:r>
        <w:rPr>
          <w:rFonts w:hint="eastAsia" w:ascii="仿宋_GB2312" w:hAnsi="微软雅黑" w:eastAsia="仿宋_GB2312" w:cs="仿宋_GB2312"/>
          <w:i w:val="0"/>
          <w:iCs w:val="0"/>
          <w:caps w:val="0"/>
          <w:color w:val="000000"/>
          <w:spacing w:val="0"/>
          <w:sz w:val="32"/>
          <w:szCs w:val="32"/>
          <w:shd w:val="clear" w:fill="FFFFFF"/>
        </w:rPr>
        <w:t>0条讯息。南定镇定期向平面媒体投送南定镇信息，并积极联系制作南定镇专版报道，真正做到积极主动、公开透明。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Style w:val="5"/>
          <w:rFonts w:hint="eastAsia" w:ascii="楷体" w:hAnsi="楷体" w:eastAsia="楷体" w:cs="楷体"/>
          <w:b/>
          <w:bCs/>
          <w:i w:val="0"/>
          <w:iCs w:val="0"/>
          <w:caps w:val="0"/>
          <w:color w:val="000000"/>
          <w:spacing w:val="0"/>
          <w:sz w:val="32"/>
          <w:szCs w:val="32"/>
          <w:shd w:val="clear" w:fill="FFFFFF"/>
        </w:rPr>
        <w:t>（二）依申请公开政府信息和不予公开政府信息的情况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我镇已明确依申请公开的受理地点（党政办），公布了办公时间、地址、受理程序等。</w:t>
      </w:r>
      <w:r>
        <w:rPr>
          <w:rFonts w:hint="eastAsia" w:ascii="仿宋_GB2312" w:hAnsi="微软雅黑" w:eastAsia="仿宋_GB2312" w:cs="仿宋_GB2312"/>
          <w:i w:val="0"/>
          <w:iCs w:val="0"/>
          <w:caps w:val="0"/>
          <w:color w:val="000000"/>
          <w:spacing w:val="0"/>
          <w:sz w:val="32"/>
          <w:szCs w:val="32"/>
          <w:shd w:val="clear" w:fill="FFFFFF"/>
          <w:lang w:eastAsia="zh-CN"/>
        </w:rPr>
        <w:t>截至</w:t>
      </w:r>
      <w:r>
        <w:rPr>
          <w:rFonts w:hint="eastAsia" w:ascii="仿宋_GB2312" w:hAnsi="微软雅黑" w:eastAsia="仿宋_GB2312" w:cs="仿宋_GB2312"/>
          <w:i w:val="0"/>
          <w:iCs w:val="0"/>
          <w:caps w:val="0"/>
          <w:color w:val="000000"/>
          <w:spacing w:val="0"/>
          <w:sz w:val="32"/>
          <w:szCs w:val="32"/>
          <w:shd w:val="clear" w:fill="FFFFFF"/>
        </w:rPr>
        <w:t>目前，</w:t>
      </w:r>
      <w:r>
        <w:rPr>
          <w:rFonts w:hint="eastAsia" w:ascii="仿宋_GB2312" w:hAnsi="微软雅黑" w:eastAsia="仿宋_GB2312" w:cs="仿宋_GB2312"/>
          <w:i w:val="0"/>
          <w:iCs w:val="0"/>
          <w:caps w:val="0"/>
          <w:color w:val="000000"/>
          <w:spacing w:val="0"/>
          <w:sz w:val="32"/>
          <w:szCs w:val="32"/>
          <w:shd w:val="clear" w:fill="FFFFFF"/>
          <w:lang w:val="en-US" w:eastAsia="zh-CN"/>
        </w:rPr>
        <w:t>南定</w:t>
      </w:r>
      <w:r>
        <w:rPr>
          <w:rFonts w:hint="eastAsia" w:ascii="仿宋_GB2312" w:hAnsi="微软雅黑" w:eastAsia="仿宋_GB2312" w:cs="仿宋_GB2312"/>
          <w:i w:val="0"/>
          <w:iCs w:val="0"/>
          <w:caps w:val="0"/>
          <w:color w:val="000000"/>
          <w:spacing w:val="0"/>
          <w:sz w:val="32"/>
          <w:szCs w:val="32"/>
          <w:shd w:val="clear" w:fill="FFFFFF"/>
        </w:rPr>
        <w:t>镇依申请公开政府信息和不予公开政府信息的条数为0。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Style w:val="5"/>
          <w:rFonts w:hint="eastAsia" w:ascii="楷体" w:hAnsi="楷体" w:eastAsia="楷体" w:cs="楷体"/>
          <w:b/>
          <w:bCs/>
          <w:i w:val="0"/>
          <w:iCs w:val="0"/>
          <w:caps w:val="0"/>
          <w:color w:val="000000"/>
          <w:spacing w:val="0"/>
          <w:sz w:val="32"/>
          <w:szCs w:val="32"/>
          <w:shd w:val="clear" w:fill="FFFFFF"/>
        </w:rPr>
        <w:t>（三）政府信息管理情况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镇政府认真落实新修订的《中华人民共和国政府信息公开条例》，在确保保密安全前提下，不断加强主动公开管理，细化办理流程，确保“应公开、尽公开”。严格信息类型，明确禁止公开类信息、可不予公开类信息、主动公开类信息与依申请公开类信息分类。严格发布程序，按照整理草拟、审核审查、录入发布、页面检查，确保发布信息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Style w:val="5"/>
          <w:rFonts w:hint="eastAsia" w:ascii="楷体" w:hAnsi="楷体" w:eastAsia="楷体" w:cs="楷体"/>
          <w:b/>
          <w:bCs/>
          <w:i w:val="0"/>
          <w:iCs w:val="0"/>
          <w:caps w:val="0"/>
          <w:color w:val="000000"/>
          <w:spacing w:val="0"/>
          <w:sz w:val="32"/>
          <w:szCs w:val="32"/>
          <w:shd w:val="clear" w:fill="FFFFFF"/>
        </w:rPr>
        <w:t>（四）政府信息公开平台建设情况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我镇积极加强政务公开平台建设，在页面布局和</w:t>
      </w:r>
      <w:bookmarkStart w:id="0" w:name="_GoBack"/>
      <w:r>
        <w:rPr>
          <w:rFonts w:hint="eastAsia" w:ascii="仿宋_GB2312" w:hAnsi="微软雅黑" w:eastAsia="仿宋_GB2312" w:cs="仿宋_GB2312"/>
          <w:i w:val="0"/>
          <w:iCs w:val="0"/>
          <w:caps w:val="0"/>
          <w:color w:val="000000"/>
          <w:spacing w:val="0"/>
          <w:sz w:val="32"/>
          <w:szCs w:val="32"/>
          <w:shd w:val="clear" w:fill="FFFFFF"/>
        </w:rPr>
        <w:t>文件</w:t>
      </w:r>
      <w:bookmarkEnd w:id="0"/>
      <w:r>
        <w:rPr>
          <w:rFonts w:hint="eastAsia" w:ascii="仿宋_GB2312" w:hAnsi="微软雅黑" w:eastAsia="仿宋_GB2312" w:cs="仿宋_GB2312"/>
          <w:i w:val="0"/>
          <w:iCs w:val="0"/>
          <w:caps w:val="0"/>
          <w:color w:val="000000"/>
          <w:spacing w:val="0"/>
          <w:sz w:val="32"/>
          <w:szCs w:val="32"/>
          <w:shd w:val="clear" w:fill="FFFFFF"/>
        </w:rPr>
        <w:t>质量上双重发力，确保门户网站简洁高效，内容实时更新；同时加强新媒体宣传力度，充分运用“幸福南定”微信公众号打造接地气的宣传平台。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Style w:val="5"/>
          <w:rFonts w:hint="eastAsia" w:ascii="楷体" w:hAnsi="楷体" w:eastAsia="楷体" w:cs="楷体"/>
          <w:b/>
          <w:bCs/>
          <w:i w:val="0"/>
          <w:iCs w:val="0"/>
          <w:caps w:val="0"/>
          <w:color w:val="000000"/>
          <w:spacing w:val="0"/>
          <w:sz w:val="32"/>
          <w:szCs w:val="32"/>
          <w:shd w:val="clear" w:fill="FFFFFF"/>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为保障信息公开工作规范有序开展，我镇及时调整了政府信息公开工作领导小组成员，建立了具体到相关</w:t>
      </w:r>
      <w:r>
        <w:rPr>
          <w:rFonts w:hint="eastAsia" w:ascii="仿宋_GB2312" w:hAnsi="微软雅黑" w:eastAsia="仿宋_GB2312" w:cs="仿宋_GB2312"/>
          <w:i w:val="0"/>
          <w:iCs w:val="0"/>
          <w:caps w:val="0"/>
          <w:color w:val="000000"/>
          <w:spacing w:val="0"/>
          <w:sz w:val="32"/>
          <w:szCs w:val="32"/>
          <w:shd w:val="clear" w:fill="FFFFFF"/>
          <w:lang w:eastAsia="zh-CN"/>
        </w:rPr>
        <w:t>委办</w:t>
      </w:r>
      <w:r>
        <w:rPr>
          <w:rFonts w:hint="eastAsia" w:ascii="仿宋_GB2312" w:hAnsi="微软雅黑" w:eastAsia="仿宋_GB2312" w:cs="仿宋_GB2312"/>
          <w:i w:val="0"/>
          <w:iCs w:val="0"/>
          <w:caps w:val="0"/>
          <w:color w:val="000000"/>
          <w:spacing w:val="0"/>
          <w:sz w:val="32"/>
          <w:szCs w:val="32"/>
          <w:shd w:val="clear" w:fill="FFFFFF"/>
        </w:rPr>
        <w:t>、相关责任人、分管领导、主要领导的分级责任制，做到了分管领导亲自抓，负责人负主责，逐级落实责任，确保信息公开工作落实到位。同时，进一步明晰政府信息公开流程，加强各</w:t>
      </w:r>
      <w:r>
        <w:rPr>
          <w:rFonts w:hint="eastAsia" w:ascii="仿宋_GB2312" w:hAnsi="微软雅黑" w:eastAsia="仿宋_GB2312" w:cs="仿宋_GB2312"/>
          <w:i w:val="0"/>
          <w:iCs w:val="0"/>
          <w:caps w:val="0"/>
          <w:color w:val="000000"/>
          <w:spacing w:val="0"/>
          <w:sz w:val="32"/>
          <w:szCs w:val="32"/>
          <w:shd w:val="clear" w:fill="FFFFFF"/>
          <w:lang w:eastAsia="zh-CN"/>
        </w:rPr>
        <w:t>委办</w:t>
      </w:r>
      <w:r>
        <w:rPr>
          <w:rFonts w:hint="eastAsia" w:ascii="仿宋_GB2312" w:hAnsi="微软雅黑" w:eastAsia="仿宋_GB2312" w:cs="仿宋_GB2312"/>
          <w:i w:val="0"/>
          <w:iCs w:val="0"/>
          <w:caps w:val="0"/>
          <w:color w:val="000000"/>
          <w:spacing w:val="0"/>
          <w:sz w:val="32"/>
          <w:szCs w:val="32"/>
          <w:shd w:val="clear" w:fill="FFFFFF"/>
        </w:rPr>
        <w:t>间日常交流、沟通协调，从而提高信息公开的规范性、准确性和及时性。严格遵守信息保密审查制度，确保涉密信息不公开，公开信息不涉密。同时，强化监督检查工作，实行定期检查与不定期检查相结合，鼓励广大干部、群众积极参与监督，积极反映公开过程中存在的突出问题，使公开工作更加扎实、有序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二、主动公开政府信息情况</w:t>
      </w:r>
    </w:p>
    <w:tbl>
      <w:tblPr>
        <w:tblStyle w:val="3"/>
        <w:tblW w:w="91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60"/>
        <w:gridCol w:w="2406"/>
        <w:gridCol w:w="2130"/>
        <w:gridCol w:w="24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7" w:hRule="atLeast"/>
        </w:trPr>
        <w:tc>
          <w:tcPr>
            <w:tcW w:w="9165"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4"/>
                <w:szCs w:val="24"/>
              </w:rPr>
              <w:t>第二十条 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000000"/>
                <w:spacing w:val="0"/>
                <w:sz w:val="18"/>
                <w:szCs w:val="18"/>
              </w:rPr>
              <w:t>信息内容</w:t>
            </w:r>
          </w:p>
        </w:tc>
        <w:tc>
          <w:tcPr>
            <w:tcW w:w="24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本年制发件数</w:t>
            </w:r>
          </w:p>
        </w:tc>
        <w:tc>
          <w:tcPr>
            <w:tcW w:w="21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本年废止件数</w:t>
            </w:r>
          </w:p>
        </w:tc>
        <w:tc>
          <w:tcPr>
            <w:tcW w:w="24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2"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000000"/>
                <w:spacing w:val="0"/>
                <w:sz w:val="18"/>
                <w:szCs w:val="18"/>
              </w:rPr>
              <w:t>规章</w:t>
            </w:r>
          </w:p>
        </w:tc>
        <w:tc>
          <w:tcPr>
            <w:tcW w:w="24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0</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0</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000000"/>
                <w:spacing w:val="0"/>
                <w:sz w:val="18"/>
                <w:szCs w:val="18"/>
              </w:rPr>
              <w:t>行政规范性文件</w:t>
            </w:r>
          </w:p>
        </w:tc>
        <w:tc>
          <w:tcPr>
            <w:tcW w:w="24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0</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0</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2" w:hRule="atLeast"/>
        </w:trPr>
        <w:tc>
          <w:tcPr>
            <w:tcW w:w="9165"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4"/>
                <w:szCs w:val="24"/>
              </w:rPr>
              <w:t>第二十条 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7"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信息内容</w:t>
            </w:r>
          </w:p>
        </w:tc>
        <w:tc>
          <w:tcPr>
            <w:tcW w:w="700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7"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18"/>
                <w:szCs w:val="18"/>
              </w:rPr>
              <w:t>行政许可</w:t>
            </w:r>
          </w:p>
        </w:tc>
        <w:tc>
          <w:tcPr>
            <w:tcW w:w="700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宋体" w:hAnsi="宋体" w:eastAsia="宋体" w:cs="宋体"/>
                <w:i w:val="0"/>
                <w:iCs w:val="0"/>
                <w:caps w:val="0"/>
                <w:color w:val="000000"/>
                <w:spacing w:val="0"/>
                <w:sz w:val="18"/>
                <w:szCs w:val="1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7" w:hRule="atLeast"/>
        </w:trPr>
        <w:tc>
          <w:tcPr>
            <w:tcW w:w="9165"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4"/>
                <w:szCs w:val="24"/>
              </w:rPr>
              <w:t>第二十条 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7"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信息内容</w:t>
            </w:r>
          </w:p>
        </w:tc>
        <w:tc>
          <w:tcPr>
            <w:tcW w:w="700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2"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18"/>
                <w:szCs w:val="18"/>
              </w:rPr>
              <w:t>行政处罚</w:t>
            </w:r>
          </w:p>
        </w:tc>
        <w:tc>
          <w:tcPr>
            <w:tcW w:w="700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宋体" w:hAnsi="宋体" w:eastAsia="宋体" w:cs="宋体"/>
                <w:i w:val="0"/>
                <w:iCs w:val="0"/>
                <w:caps w:val="0"/>
                <w:color w:val="000000"/>
                <w:spacing w:val="0"/>
                <w:sz w:val="18"/>
                <w:szCs w:val="18"/>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2"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18"/>
                <w:szCs w:val="18"/>
              </w:rPr>
              <w:t>行政强制</w:t>
            </w:r>
          </w:p>
        </w:tc>
        <w:tc>
          <w:tcPr>
            <w:tcW w:w="700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2" w:hRule="atLeast"/>
        </w:trPr>
        <w:tc>
          <w:tcPr>
            <w:tcW w:w="9165"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4"/>
                <w:szCs w:val="24"/>
              </w:rPr>
              <w:t>第二十条 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2"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信息内容</w:t>
            </w:r>
          </w:p>
        </w:tc>
        <w:tc>
          <w:tcPr>
            <w:tcW w:w="700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21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18"/>
                <w:szCs w:val="18"/>
              </w:rPr>
              <w:t>行政事业性收费</w:t>
            </w:r>
          </w:p>
        </w:tc>
        <w:tc>
          <w:tcPr>
            <w:tcW w:w="700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ascii="Calibri" w:hAnsi="Calibri" w:eastAsia="微软雅黑" w:cs="Calibri"/>
          <w:i w:val="0"/>
          <w:iCs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  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default" w:ascii="Calibri" w:hAnsi="Calibri" w:eastAsia="微软雅黑" w:cs="Calibri"/>
          <w:i w:val="0"/>
          <w:iCs w:val="0"/>
          <w:caps w:val="0"/>
          <w:color w:val="000000"/>
          <w:spacing w:val="0"/>
          <w:sz w:val="21"/>
          <w:szCs w:val="21"/>
        </w:rPr>
        <w:t> </w:t>
      </w:r>
    </w:p>
    <w:tbl>
      <w:tblPr>
        <w:tblStyle w:val="3"/>
        <w:tblW w:w="94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6"/>
        <w:gridCol w:w="1391"/>
        <w:gridCol w:w="2478"/>
        <w:gridCol w:w="803"/>
        <w:gridCol w:w="689"/>
        <w:gridCol w:w="666"/>
        <w:gridCol w:w="695"/>
        <w:gridCol w:w="631"/>
        <w:gridCol w:w="731"/>
        <w:gridCol w:w="7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5" w:hRule="atLeast"/>
          <w:jc w:val="center"/>
        </w:trPr>
        <w:tc>
          <w:tcPr>
            <w:tcW w:w="432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w:t>
            </w:r>
            <w:r>
              <w:rPr>
                <w:rFonts w:ascii="楷体" w:hAnsi="楷体" w:eastAsia="楷体" w:cs="楷体"/>
                <w:sz w:val="21"/>
                <w:szCs w:val="21"/>
              </w:rPr>
              <w:t>本列数据的勾稽关系为：第一项加第二项之和，等于第三项加第四项之和</w:t>
            </w:r>
            <w:r>
              <w:rPr>
                <w:rFonts w:hint="eastAsia" w:ascii="宋体" w:hAnsi="宋体" w:eastAsia="宋体" w:cs="宋体"/>
                <w:sz w:val="18"/>
                <w:szCs w:val="18"/>
              </w:rPr>
              <w:t>）</w:t>
            </w:r>
          </w:p>
        </w:tc>
        <w:tc>
          <w:tcPr>
            <w:tcW w:w="5091"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432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自然人</w:t>
            </w:r>
          </w:p>
        </w:tc>
        <w:tc>
          <w:tcPr>
            <w:tcW w:w="3489"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法人或其他组织</w:t>
            </w:r>
          </w:p>
        </w:tc>
        <w:tc>
          <w:tcPr>
            <w:tcW w:w="77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0" w:hRule="atLeast"/>
          <w:jc w:val="center"/>
        </w:trPr>
        <w:tc>
          <w:tcPr>
            <w:tcW w:w="432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商业企业</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科研机构</w:t>
            </w:r>
          </w:p>
        </w:tc>
        <w:tc>
          <w:tcPr>
            <w:tcW w:w="7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社会公益组织</w:t>
            </w:r>
          </w:p>
        </w:tc>
        <w:tc>
          <w:tcPr>
            <w:tcW w:w="64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法律服务机构</w:t>
            </w:r>
          </w:p>
        </w:tc>
        <w:tc>
          <w:tcPr>
            <w:tcW w:w="74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其他</w:t>
            </w:r>
          </w:p>
        </w:tc>
        <w:tc>
          <w:tcPr>
            <w:tcW w:w="77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0" w:hRule="atLeast"/>
          <w:jc w:val="center"/>
        </w:trPr>
        <w:tc>
          <w:tcPr>
            <w:tcW w:w="432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宋体" w:hAnsi="宋体" w:eastAsia="宋体" w:cs="宋体"/>
                <w:sz w:val="18"/>
                <w:szCs w:val="18"/>
              </w:rPr>
              <w:t>一、本年新收政府信息公开申请数量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0" w:hRule="atLeast"/>
          <w:jc w:val="center"/>
        </w:trPr>
        <w:tc>
          <w:tcPr>
            <w:tcW w:w="432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宋体" w:hAnsi="宋体" w:eastAsia="宋体" w:cs="宋体"/>
                <w:sz w:val="18"/>
                <w:szCs w:val="18"/>
              </w:rPr>
              <w:t>二、上年结转政府信息公开申请数量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2" w:hRule="atLeast"/>
          <w:jc w:val="center"/>
        </w:trPr>
        <w:tc>
          <w:tcPr>
            <w:tcW w:w="32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三、本年度办理结果</w:t>
            </w:r>
          </w:p>
        </w:tc>
        <w:tc>
          <w:tcPr>
            <w:tcW w:w="400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宋体" w:hAnsi="宋体" w:eastAsia="宋体" w:cs="宋体"/>
                <w:sz w:val="18"/>
                <w:szCs w:val="18"/>
              </w:rPr>
              <w:t>（一）予以公开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4"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00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宋体" w:hAnsi="宋体" w:eastAsia="宋体" w:cs="宋体"/>
                <w:sz w:val="18"/>
                <w:szCs w:val="18"/>
              </w:rPr>
              <w:t>（二）部分公开（</w:t>
            </w:r>
            <w:r>
              <w:rPr>
                <w:rStyle w:val="5"/>
                <w:rFonts w:hint="eastAsia" w:ascii="楷体" w:hAnsi="楷体" w:eastAsia="楷体" w:cs="楷体"/>
                <w:b/>
                <w:bCs/>
                <w:sz w:val="21"/>
                <w:szCs w:val="21"/>
              </w:rPr>
              <w:t>区分处理的，只记这一情形，不计其他情形</w:t>
            </w:r>
            <w:r>
              <w:rPr>
                <w:rFonts w:hint="eastAsia" w:ascii="宋体" w:hAnsi="宋体" w:eastAsia="宋体" w:cs="宋体"/>
                <w:sz w:val="18"/>
                <w:szCs w:val="18"/>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（三）不予公开</w:t>
            </w: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1.属于国家机密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2.其他法律行政法规禁止公开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3.危及“三安全一稳定”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4.保护第三方合法权益</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5.属于三类内部事务信息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6.属于四类过程性信息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7.属于行政执法案卷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2"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8.属于行政查询事项</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（四）无法提供</w:t>
            </w: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1.本机关不掌握相关政府信息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2.没有现成信息需要另行制作</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3.补正后申请内容仍不明确</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（五）不予处理</w:t>
            </w: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1.信访举报投诉类申请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2.重复申请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3.要求提供公开出版物</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4.无正当理由大量反复申请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5.要求行政机关确认或重新出具已获取信息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（六）其他处理</w:t>
            </w: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1.申请人无正当理由逾期不补正、行政机关不再处理其政府信息公开申请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2.申请人逾期未按收费通知要求缴纳费用、行政机关不再处理其他政府公开申请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3.其他</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7" w:hRule="atLeast"/>
          <w:jc w:val="center"/>
        </w:trPr>
        <w:tc>
          <w:tcPr>
            <w:tcW w:w="3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0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（七）总计</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432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18"/>
                <w:szCs w:val="18"/>
              </w:rPr>
              <w:t>四、结转下年度继续办理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sz w:val="18"/>
                <w:szCs w:val="18"/>
              </w:rPr>
              <w:t>0</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18"/>
                <w:szCs w:val="18"/>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  四、政府信息公开行政复议、行政诉讼情况</w:t>
      </w:r>
    </w:p>
    <w:tbl>
      <w:tblPr>
        <w:tblStyle w:val="3"/>
        <w:tblW w:w="95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7" w:hRule="atLeast"/>
        </w:trPr>
        <w:tc>
          <w:tcPr>
            <w:tcW w:w="327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行政复议</w:t>
            </w:r>
          </w:p>
        </w:tc>
        <w:tc>
          <w:tcPr>
            <w:tcW w:w="6250"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2" w:hRule="atLeast"/>
        </w:trPr>
        <w:tc>
          <w:tcPr>
            <w:tcW w:w="7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结果维持</w:t>
            </w:r>
          </w:p>
        </w:tc>
        <w:tc>
          <w:tcPr>
            <w:tcW w:w="6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结果纠正</w:t>
            </w:r>
          </w:p>
        </w:tc>
        <w:tc>
          <w:tcPr>
            <w:tcW w:w="64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其他结果</w:t>
            </w:r>
          </w:p>
        </w:tc>
        <w:tc>
          <w:tcPr>
            <w:tcW w:w="67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尚未审结</w:t>
            </w:r>
          </w:p>
        </w:tc>
        <w:tc>
          <w:tcPr>
            <w:tcW w:w="60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总计</w:t>
            </w:r>
          </w:p>
        </w:tc>
        <w:tc>
          <w:tcPr>
            <w:tcW w:w="308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未经复议直接起诉</w:t>
            </w:r>
          </w:p>
        </w:tc>
        <w:tc>
          <w:tcPr>
            <w:tcW w:w="31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7" w:hRule="atLeast"/>
        </w:trPr>
        <w:tc>
          <w:tcPr>
            <w:tcW w:w="7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2"/>
                <w:szCs w:val="22"/>
              </w:rPr>
            </w:pPr>
          </w:p>
        </w:tc>
        <w:tc>
          <w:tcPr>
            <w:tcW w:w="6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2"/>
                <w:szCs w:val="22"/>
              </w:rPr>
            </w:pPr>
          </w:p>
        </w:tc>
        <w:tc>
          <w:tcPr>
            <w:tcW w:w="64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2"/>
                <w:szCs w:val="22"/>
              </w:rPr>
            </w:pPr>
          </w:p>
        </w:tc>
        <w:tc>
          <w:tcPr>
            <w:tcW w:w="67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2"/>
                <w:szCs w:val="22"/>
              </w:rPr>
            </w:pPr>
          </w:p>
        </w:tc>
        <w:tc>
          <w:tcPr>
            <w:tcW w:w="60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2"/>
                <w:szCs w:val="22"/>
              </w:rPr>
            </w:pPr>
          </w:p>
        </w:tc>
        <w:tc>
          <w:tcPr>
            <w:tcW w:w="61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结果维持</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结果纠正</w:t>
            </w:r>
          </w:p>
        </w:tc>
        <w:tc>
          <w:tcPr>
            <w:tcW w:w="6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其他结果</w:t>
            </w:r>
          </w:p>
        </w:tc>
        <w:tc>
          <w:tcPr>
            <w:tcW w:w="6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尚未审结</w:t>
            </w:r>
          </w:p>
        </w:tc>
        <w:tc>
          <w:tcPr>
            <w:tcW w:w="6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总计</w:t>
            </w:r>
          </w:p>
        </w:tc>
        <w:tc>
          <w:tcPr>
            <w:tcW w:w="57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结果维持</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结果纠正</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其他结果</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尚未审结</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7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0</w:t>
            </w:r>
          </w:p>
        </w:tc>
        <w:tc>
          <w:tcPr>
            <w:tcW w:w="64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0</w:t>
            </w:r>
          </w:p>
        </w:tc>
        <w:tc>
          <w:tcPr>
            <w:tcW w:w="61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64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i w:val="0"/>
                <w:iCs w:val="0"/>
                <w:caps w:val="0"/>
                <w:color w:val="000000"/>
                <w:spacing w:val="0"/>
                <w:sz w:val="18"/>
                <w:szCs w:val="18"/>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    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  </w:t>
      </w:r>
      <w:r>
        <w:rPr>
          <w:rStyle w:val="5"/>
          <w:rFonts w:hint="eastAsia" w:ascii="楷体" w:hAnsi="楷体" w:eastAsia="楷体" w:cs="楷体"/>
          <w:b/>
          <w:bCs/>
          <w:i w:val="0"/>
          <w:iCs w:val="0"/>
          <w:caps w:val="0"/>
          <w:color w:val="000000"/>
          <w:spacing w:val="0"/>
          <w:sz w:val="32"/>
          <w:szCs w:val="32"/>
        </w:rPr>
        <w:t> （一）主要问题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一是部分信息公开时效性差。部分需要主动公开的事项信息发布不及时,公开时间和实际情况不符,致使公众难以在第一时间了解相关政府工作情况,也造成了信息公开申请数量增加。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二是部分信息内容专业性强。有些信息内容过于专业，不便于公众理解。部分政策出台后存在缺少解读文件，政策与解读文件没有相互关联，解读文件发布时间滞后，解读内容过于笼统，解读形式过于单一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   </w:t>
      </w:r>
      <w:r>
        <w:rPr>
          <w:rStyle w:val="5"/>
          <w:rFonts w:hint="eastAsia" w:ascii="楷体" w:hAnsi="楷体" w:eastAsia="楷体" w:cs="楷体"/>
          <w:b/>
          <w:bCs/>
          <w:i w:val="0"/>
          <w:iCs w:val="0"/>
          <w:caps w:val="0"/>
          <w:color w:val="000000"/>
          <w:spacing w:val="0"/>
          <w:sz w:val="32"/>
          <w:szCs w:val="32"/>
        </w:rPr>
        <w:t>（二）改进措施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一是完善公开制度，坚持信息公开。建立健全各项公开制度，进一步完善民主决策、民主管理、民主监督的各项措施，为确保政务公开问题整改及时高效，安排专人对政府网站进行全面检查，及时补缺补差，将缺少的内容及时补充上传，信息不规范的内容及时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二是完善公开方式，拓宽公开渠道。在可公开事项上做到具体、详细，在原有宣传橱窗、明白纸、政府热线等传统公开方式的基础上，探索建立公众举报、建议机制，设立咨询电话和意见箱，广泛听取群众意见，延长部门政策文件的征求意见稿公开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微软雅黑" w:eastAsia="仿宋_GB2312" w:cs="仿宋_GB2312"/>
          <w:i w:val="0"/>
          <w:iCs w:val="0"/>
          <w:caps w:val="0"/>
          <w:color w:val="000000"/>
          <w:spacing w:val="0"/>
          <w:sz w:val="32"/>
          <w:szCs w:val="32"/>
          <w:lang w:eastAsia="zh-CN"/>
        </w:rPr>
      </w:pPr>
      <w:r>
        <w:rPr>
          <w:rFonts w:hint="eastAsia" w:ascii="仿宋_GB2312" w:hAnsi="微软雅黑" w:eastAsia="仿宋_GB2312" w:cs="仿宋_GB2312"/>
          <w:i w:val="0"/>
          <w:iCs w:val="0"/>
          <w:caps w:val="0"/>
          <w:color w:val="000000"/>
          <w:spacing w:val="0"/>
          <w:sz w:val="32"/>
          <w:szCs w:val="32"/>
        </w:rPr>
        <w:t>三是提升公布质量，加大督查力度。对发布内容进行检查，落实三审制度，确保公开内容准备且符合规定，不包含个人隐私信息。每季度组织专人进行全面检查，发现问题，及时指出，及时改正</w:t>
      </w:r>
      <w:r>
        <w:rPr>
          <w:rFonts w:hint="eastAsia" w:ascii="仿宋_GB2312" w:hAnsi="微软雅黑" w:eastAsia="仿宋_GB2312" w:cs="仿宋_GB2312"/>
          <w:i w:val="0"/>
          <w:iCs w:val="0"/>
          <w:caps w:val="0"/>
          <w:color w:val="000000"/>
          <w:spacing w:val="0"/>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    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NDBjNzljYmU5MzQ3MWFmNTI0YzE4MWZiNTg4YzgifQ=="/>
  </w:docVars>
  <w:rsids>
    <w:rsidRoot w:val="00000000"/>
    <w:rsid w:val="08965F97"/>
    <w:rsid w:val="12402633"/>
    <w:rsid w:val="2BD12DF4"/>
    <w:rsid w:val="3B114B85"/>
    <w:rsid w:val="780D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2648</Words>
  <Characters>2756</Characters>
  <Lines>0</Lines>
  <Paragraphs>0</Paragraphs>
  <TotalTime>8</TotalTime>
  <ScaleCrop>false</ScaleCrop>
  <LinksUpToDate>false</LinksUpToDate>
  <CharactersWithSpaces>2785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2023-01-17T07:53:00Z</dcterms:created>
  <dc:creator>Administrator</dc:creator>
  <cp:lastModifiedBy>是小董同学呀</cp:lastModifiedBy>
  <dcterms:modified xsi:type="dcterms:W3CDTF">2023-02-02T00:59:24Z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761EC518F0334B728D4931CD1490E4B9</vt:lpwstr>
  </property>
</Properties>
</file>