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0" w:after="100" w:line="560" w:lineRule="exact"/>
        <w:ind w:firstLine="0" w:firstLineChars="0"/>
        <w:jc w:val="center"/>
        <w:outlineLvl w:val="0"/>
        <w:rPr>
          <w:rFonts w:hint="eastAsia" w:ascii="方正小标宋简体" w:hAnsi="方正小标宋简体" w:eastAsia="方正小标宋简体" w:cs="Times New Roman"/>
          <w:b w:val="0"/>
          <w:sz w:val="44"/>
          <w:lang w:val="en-US" w:eastAsia="zh-CN" w:bidi="ar-SA"/>
        </w:rPr>
      </w:pPr>
      <w:r>
        <w:rPr>
          <w:rFonts w:hint="eastAsia" w:ascii="方正小标宋简体" w:hAnsi="方正小标宋简体" w:eastAsia="方正小标宋简体" w:cs="Times New Roman"/>
          <w:b w:val="0"/>
          <w:sz w:val="44"/>
          <w:lang w:val="en-US" w:eastAsia="zh-CN" w:bidi="ar-SA"/>
        </w:rPr>
        <w:t>南定镇人民政府2021年政府信息公开</w:t>
      </w:r>
    </w:p>
    <w:p>
      <w:pPr>
        <w:pStyle w:val="2"/>
        <w:spacing w:before="100" w:after="100" w:line="560" w:lineRule="exact"/>
        <w:ind w:firstLine="0" w:firstLineChars="0"/>
        <w:jc w:val="center"/>
        <w:outlineLvl w:val="0"/>
        <w:rPr>
          <w:rFonts w:hint="eastAsia" w:ascii="方正小标宋简体" w:hAnsi="方正小标宋简体" w:eastAsia="方正小标宋简体" w:cs="Times New Roman"/>
          <w:b w:val="0"/>
          <w:sz w:val="44"/>
          <w:lang w:val="en-US" w:eastAsia="zh-CN" w:bidi="ar-SA"/>
        </w:rPr>
      </w:pPr>
      <w:r>
        <w:rPr>
          <w:rFonts w:hint="eastAsia" w:ascii="方正小标宋简体" w:hAnsi="方正小标宋简体" w:eastAsia="方正小标宋简体" w:cs="Times New Roman"/>
          <w:b w:val="0"/>
          <w:sz w:val="44"/>
          <w:lang w:val="en-US" w:eastAsia="zh-CN" w:bidi="ar-SA"/>
        </w:rPr>
        <w:t>工作年度报告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ascii="仿宋_GB2312" w:hAnsi="微软雅黑" w:eastAsia="仿宋_GB2312" w:cs="仿宋_GB2312"/>
          <w:i w:val="0"/>
          <w:iCs w:val="0"/>
          <w:caps w:val="0"/>
          <w:color w:val="000000"/>
          <w:spacing w:val="0"/>
          <w:sz w:val="32"/>
          <w:szCs w:val="32"/>
          <w:bdr w:val="none" w:color="auto" w:sz="0" w:space="0"/>
        </w:rPr>
        <w:t>本报告是根据修订的《中华人民共和国政府信息公开条例》、《国务院办公厅政府信息与政务公开办公室关于政府信息公开工作年度报告有关事项的通知》</w:t>
      </w:r>
      <w:r>
        <w:rPr>
          <w:rFonts w:hint="eastAsia" w:ascii="仿宋_GB2312" w:hAnsi="微软雅黑" w:eastAsia="仿宋_GB2312" w:cs="仿宋_GB2312"/>
          <w:i w:val="0"/>
          <w:iCs w:val="0"/>
          <w:caps w:val="0"/>
          <w:color w:val="000000"/>
          <w:spacing w:val="0"/>
          <w:sz w:val="32"/>
          <w:szCs w:val="32"/>
          <w:bdr w:val="none" w:color="auto" w:sz="0" w:space="0"/>
          <w:shd w:val="clear" w:fill="FFFFFF"/>
        </w:rPr>
        <w:t>(国办公开办函〔</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2021</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Times New Roman" w:hAnsi="Times New Roman" w:eastAsia="仿宋_GB2312" w:cs="Times New Roman"/>
          <w:i w:val="0"/>
          <w:iCs w:val="0"/>
          <w:caps w:val="0"/>
          <w:color w:val="000000"/>
          <w:spacing w:val="0"/>
          <w:sz w:val="32"/>
          <w:szCs w:val="32"/>
          <w:shd w:val="clear" w:fill="FFFFFF"/>
        </w:rPr>
        <w:t>30</w:t>
      </w:r>
      <w:r>
        <w:rPr>
          <w:rFonts w:hint="eastAsia" w:ascii="仿宋_GB2312" w:hAnsi="微软雅黑" w:eastAsia="仿宋_GB2312" w:cs="仿宋_GB2312"/>
          <w:i w:val="0"/>
          <w:iCs w:val="0"/>
          <w:caps w:val="0"/>
          <w:color w:val="000000"/>
          <w:spacing w:val="0"/>
          <w:sz w:val="32"/>
          <w:szCs w:val="32"/>
          <w:bdr w:val="none" w:color="auto" w:sz="0" w:space="0"/>
          <w:shd w:val="clear" w:fill="FFFFFF"/>
        </w:rPr>
        <w:t>号)和《中华人民共和国政府信息公开</w:t>
      </w:r>
      <w:bookmarkStart w:id="0" w:name="_GoBack"/>
      <w:bookmarkEnd w:id="0"/>
      <w:r>
        <w:rPr>
          <w:rFonts w:hint="eastAsia" w:ascii="仿宋_GB2312" w:hAnsi="微软雅黑" w:eastAsia="仿宋_GB2312" w:cs="仿宋_GB2312"/>
          <w:i w:val="0"/>
          <w:iCs w:val="0"/>
          <w:caps w:val="0"/>
          <w:color w:val="000000"/>
          <w:spacing w:val="0"/>
          <w:sz w:val="32"/>
          <w:szCs w:val="32"/>
          <w:bdr w:val="none" w:color="auto" w:sz="0" w:space="0"/>
          <w:shd w:val="clear" w:fill="FFFFFF"/>
        </w:rPr>
        <w:t>条例》要求编制，</w:t>
      </w:r>
      <w:r>
        <w:rPr>
          <w:rFonts w:hint="eastAsia" w:ascii="仿宋_GB2312" w:hAnsi="微软雅黑" w:eastAsia="仿宋_GB2312" w:cs="仿宋_GB2312"/>
          <w:i w:val="0"/>
          <w:iCs w:val="0"/>
          <w:caps w:val="0"/>
          <w:color w:val="000000"/>
          <w:spacing w:val="0"/>
          <w:sz w:val="32"/>
          <w:szCs w:val="32"/>
          <w:bdr w:val="none" w:color="auto" w:sz="0" w:space="0"/>
        </w:rPr>
        <w:t>并向社会公开。本报告中所列数据的统计期限自</w:t>
      </w:r>
      <w:r>
        <w:rPr>
          <w:rFonts w:hint="eastAsia" w:ascii="Times New Roman" w:hAnsi="Times New Roman" w:eastAsia="仿宋_GB2312" w:cs="Times New Roman"/>
          <w:i w:val="0"/>
          <w:iCs w:val="0"/>
          <w:caps w:val="0"/>
          <w:color w:val="000000"/>
          <w:spacing w:val="0"/>
          <w:sz w:val="32"/>
          <w:szCs w:val="32"/>
          <w:shd w:val="clear" w:fill="FFFFFF"/>
        </w:rPr>
        <w:t>2021年1月1日起至2021年12月31日止。本报告可在淄</w:t>
      </w:r>
      <w:r>
        <w:rPr>
          <w:rFonts w:hint="eastAsia" w:ascii="仿宋_GB2312" w:hAnsi="微软雅黑" w:eastAsia="仿宋_GB2312" w:cs="仿宋_GB2312"/>
          <w:i w:val="0"/>
          <w:iCs w:val="0"/>
          <w:caps w:val="0"/>
          <w:color w:val="000000"/>
          <w:spacing w:val="0"/>
          <w:sz w:val="32"/>
          <w:szCs w:val="32"/>
          <w:bdr w:val="none" w:color="auto" w:sz="0" w:space="0"/>
        </w:rPr>
        <w:t>博经济开发区门户网站(</w:t>
      </w:r>
      <w:r>
        <w:rPr>
          <w:rFonts w:hint="default" w:ascii="Times New Roman" w:hAnsi="Times New Roman" w:eastAsia="仿宋_GB2312" w:cs="Times New Roman"/>
          <w:i w:val="0"/>
          <w:iCs w:val="0"/>
          <w:caps w:val="0"/>
          <w:color w:val="000000"/>
          <w:spacing w:val="0"/>
          <w:sz w:val="32"/>
          <w:szCs w:val="32"/>
          <w:bdr w:val="none" w:color="auto" w:sz="0" w:space="0"/>
        </w:rPr>
        <w:t>http://www.zbjkq.gov.cn</w:t>
      </w:r>
      <w:r>
        <w:rPr>
          <w:rFonts w:hint="eastAsia" w:ascii="仿宋_GB2312" w:hAnsi="微软雅黑" w:eastAsia="仿宋_GB2312" w:cs="仿宋_GB2312"/>
          <w:i w:val="0"/>
          <w:iCs w:val="0"/>
          <w:caps w:val="0"/>
          <w:color w:val="000000"/>
          <w:spacing w:val="0"/>
          <w:sz w:val="32"/>
          <w:szCs w:val="32"/>
          <w:bdr w:val="none" w:color="auto" w:sz="0" w:space="0"/>
        </w:rPr>
        <w:t>)下载。如对本报告有任何疑问，请联系淄博经济开发区南定镇人民政府党政办公室，地址：经开区南定镇政府三楼党政办公室，邮编：</w:t>
      </w:r>
      <w:r>
        <w:rPr>
          <w:rFonts w:hint="eastAsia" w:ascii="Times New Roman" w:hAnsi="Times New Roman" w:eastAsia="仿宋_GB2312" w:cs="Times New Roman"/>
          <w:i w:val="0"/>
          <w:iCs w:val="0"/>
          <w:caps w:val="0"/>
          <w:color w:val="000000"/>
          <w:spacing w:val="0"/>
          <w:sz w:val="32"/>
          <w:szCs w:val="32"/>
        </w:rPr>
        <w:t>255000</w:t>
      </w:r>
      <w:r>
        <w:rPr>
          <w:rFonts w:hint="eastAsia" w:ascii="仿宋_GB2312" w:hAnsi="微软雅黑" w:eastAsia="仿宋_GB2312" w:cs="仿宋_GB2312"/>
          <w:i w:val="0"/>
          <w:iCs w:val="0"/>
          <w:caps w:val="0"/>
          <w:color w:val="000000"/>
          <w:spacing w:val="0"/>
          <w:sz w:val="32"/>
          <w:szCs w:val="32"/>
          <w:bdr w:val="none" w:color="auto" w:sz="0" w:space="0"/>
        </w:rPr>
        <w:t>，联系电话：</w:t>
      </w:r>
      <w:r>
        <w:rPr>
          <w:rFonts w:hint="eastAsia" w:ascii="Times New Roman" w:hAnsi="Times New Roman" w:eastAsia="仿宋_GB2312" w:cs="Times New Roman"/>
          <w:i w:val="0"/>
          <w:iCs w:val="0"/>
          <w:caps w:val="0"/>
          <w:color w:val="000000"/>
          <w:spacing w:val="0"/>
          <w:sz w:val="32"/>
          <w:szCs w:val="32"/>
        </w:rPr>
        <w:t>0533-2980477</w:t>
      </w:r>
      <w:r>
        <w:rPr>
          <w:rFonts w:hint="eastAsia" w:ascii="仿宋_GB2312" w:hAnsi="微软雅黑" w:eastAsia="仿宋_GB2312" w:cs="仿宋_GB2312"/>
          <w:i w:val="0"/>
          <w:iCs w:val="0"/>
          <w:caps w:val="0"/>
          <w:color w:val="000000"/>
          <w:spacing w:val="0"/>
          <w:sz w:val="32"/>
          <w:szCs w:val="32"/>
          <w:bdr w:val="none" w:color="auto" w:sz="0" w:space="0"/>
        </w:rPr>
        <w:t>，电子邮箱：</w:t>
      </w:r>
      <w:r>
        <w:rPr>
          <w:rFonts w:hint="eastAsia" w:ascii="Times New Roman" w:hAnsi="Times New Roman" w:eastAsia="仿宋_GB2312" w:cs="Times New Roman"/>
          <w:i w:val="0"/>
          <w:iCs w:val="0"/>
          <w:caps w:val="0"/>
          <w:color w:val="000000"/>
          <w:spacing w:val="0"/>
          <w:sz w:val="32"/>
          <w:szCs w:val="32"/>
        </w:rPr>
        <w:t>zdqndzdzb@zb.shandong.cn。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2"/>
          <w:szCs w:val="32"/>
          <w:bdr w:val="none" w:color="auto" w:sz="0" w:space="0"/>
        </w:rPr>
        <w:t>一、</w:t>
      </w:r>
      <w:r>
        <w:rPr>
          <w:rFonts w:hint="eastAsia" w:ascii="黑体" w:hAnsi="宋体" w:eastAsia="黑体" w:cs="黑体"/>
          <w:i w:val="0"/>
          <w:iCs w:val="0"/>
          <w:caps w:val="0"/>
          <w:color w:val="000000"/>
          <w:spacing w:val="0"/>
          <w:sz w:val="32"/>
          <w:szCs w:val="32"/>
          <w:bdr w:val="none" w:color="auto" w:sz="0" w:space="0"/>
        </w:rPr>
        <w:t>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bdr w:val="none" w:color="auto" w:sz="0" w:space="0"/>
          <w:shd w:val="clear" w:fill="FFFFFF"/>
        </w:rPr>
        <w:t>我镇严格按照《中华人民共和国政府信息公开条例》开展政府信息公开工作，进一步梳理了政府信息公开工作思路，主动公开政府信息，规范信息发布审核等工作流程，积极履行政府信息公开工作主管部门职责，提升政府工作透明度，切实满足社会公众获取和利用政府信息的需求，进一步转变政府的行政职能，提升群众的满意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楷体" w:hAnsi="楷体" w:eastAsia="楷体" w:cs="楷体"/>
          <w:b/>
          <w:bCs/>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 （一）主动公开政府信息情况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bdr w:val="none" w:color="auto" w:sz="0" w:space="0"/>
          <w:shd w:val="clear" w:fill="FFFFFF"/>
        </w:rPr>
        <w:t>南定镇人民政府</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2021</w:t>
      </w:r>
      <w:r>
        <w:rPr>
          <w:rFonts w:hint="eastAsia" w:ascii="仿宋_GB2312" w:hAnsi="微软雅黑" w:eastAsia="仿宋_GB2312" w:cs="仿宋_GB2312"/>
          <w:i w:val="0"/>
          <w:iCs w:val="0"/>
          <w:caps w:val="0"/>
          <w:color w:val="000000"/>
          <w:spacing w:val="0"/>
          <w:sz w:val="32"/>
          <w:szCs w:val="32"/>
          <w:bdr w:val="none" w:color="auto" w:sz="0" w:space="0"/>
          <w:shd w:val="clear" w:fill="FFFFFF"/>
        </w:rPr>
        <w:t>年度累计主动公开政府信息</w:t>
      </w:r>
      <w:r>
        <w:rPr>
          <w:rFonts w:hint="eastAsia" w:ascii="Times New Roman" w:hAnsi="Times New Roman" w:eastAsia="仿宋_GB2312" w:cs="Times New Roman"/>
          <w:i w:val="0"/>
          <w:iCs w:val="0"/>
          <w:caps w:val="0"/>
          <w:color w:val="000000"/>
          <w:spacing w:val="0"/>
          <w:sz w:val="32"/>
          <w:szCs w:val="32"/>
          <w:shd w:val="clear" w:fill="FFFFFF"/>
        </w:rPr>
        <w:t>260</w:t>
      </w:r>
      <w:r>
        <w:rPr>
          <w:rFonts w:hint="eastAsia" w:ascii="仿宋_GB2312" w:hAnsi="微软雅黑" w:eastAsia="仿宋_GB2312" w:cs="仿宋_GB2312"/>
          <w:i w:val="0"/>
          <w:iCs w:val="0"/>
          <w:caps w:val="0"/>
          <w:color w:val="000000"/>
          <w:spacing w:val="0"/>
          <w:sz w:val="32"/>
          <w:szCs w:val="32"/>
          <w:bdr w:val="none" w:color="auto" w:sz="0" w:space="0"/>
          <w:shd w:val="clear" w:fill="FFFFFF"/>
        </w:rPr>
        <w:t>条，（其中包含政府网站公开</w:t>
      </w:r>
      <w:r>
        <w:rPr>
          <w:rFonts w:hint="eastAsia" w:ascii="Times New Roman" w:hAnsi="Times New Roman" w:eastAsia="仿宋_GB2312" w:cs="Times New Roman"/>
          <w:i w:val="0"/>
          <w:iCs w:val="0"/>
          <w:caps w:val="0"/>
          <w:color w:val="000000"/>
          <w:spacing w:val="0"/>
          <w:sz w:val="32"/>
          <w:szCs w:val="32"/>
          <w:shd w:val="clear" w:fill="FFFFFF"/>
        </w:rPr>
        <w:t>79</w:t>
      </w:r>
      <w:r>
        <w:rPr>
          <w:rFonts w:hint="eastAsia" w:ascii="仿宋_GB2312" w:hAnsi="微软雅黑" w:eastAsia="仿宋_GB2312" w:cs="仿宋_GB2312"/>
          <w:i w:val="0"/>
          <w:iCs w:val="0"/>
          <w:caps w:val="0"/>
          <w:color w:val="000000"/>
          <w:spacing w:val="0"/>
          <w:sz w:val="32"/>
          <w:szCs w:val="32"/>
          <w:bdr w:val="none" w:color="auto" w:sz="0" w:space="0"/>
          <w:shd w:val="clear" w:fill="FFFFFF"/>
        </w:rPr>
        <w:t>条，政务微信公开</w:t>
      </w:r>
      <w:r>
        <w:rPr>
          <w:rFonts w:hint="eastAsia" w:ascii="Times New Roman" w:hAnsi="Times New Roman" w:eastAsia="仿宋_GB2312" w:cs="Times New Roman"/>
          <w:i w:val="0"/>
          <w:iCs w:val="0"/>
          <w:caps w:val="0"/>
          <w:color w:val="000000"/>
          <w:spacing w:val="0"/>
          <w:sz w:val="32"/>
          <w:szCs w:val="32"/>
          <w:shd w:val="clear" w:fill="FFFFFF"/>
        </w:rPr>
        <w:t>125</w:t>
      </w:r>
      <w:r>
        <w:rPr>
          <w:rFonts w:hint="eastAsia" w:ascii="仿宋_GB2312" w:hAnsi="微软雅黑" w:eastAsia="仿宋_GB2312" w:cs="仿宋_GB2312"/>
          <w:i w:val="0"/>
          <w:iCs w:val="0"/>
          <w:caps w:val="0"/>
          <w:color w:val="000000"/>
          <w:spacing w:val="0"/>
          <w:sz w:val="32"/>
          <w:szCs w:val="32"/>
          <w:bdr w:val="none" w:color="auto" w:sz="0" w:space="0"/>
          <w:shd w:val="clear" w:fill="FFFFFF"/>
        </w:rPr>
        <w:t>条，镇政府和各村居社区政务公开栏公开</w:t>
      </w:r>
      <w:r>
        <w:rPr>
          <w:rFonts w:hint="eastAsia" w:ascii="Times New Roman" w:hAnsi="Times New Roman" w:eastAsia="仿宋_GB2312" w:cs="Times New Roman"/>
          <w:i w:val="0"/>
          <w:iCs w:val="0"/>
          <w:caps w:val="0"/>
          <w:color w:val="000000"/>
          <w:spacing w:val="0"/>
          <w:sz w:val="32"/>
          <w:szCs w:val="32"/>
          <w:shd w:val="clear" w:fill="FFFFFF"/>
        </w:rPr>
        <w:t>56</w:t>
      </w:r>
      <w:r>
        <w:rPr>
          <w:rFonts w:hint="eastAsia" w:ascii="仿宋_GB2312" w:hAnsi="微软雅黑" w:eastAsia="仿宋_GB2312" w:cs="仿宋_GB2312"/>
          <w:i w:val="0"/>
          <w:iCs w:val="0"/>
          <w:caps w:val="0"/>
          <w:color w:val="000000"/>
          <w:spacing w:val="0"/>
          <w:sz w:val="32"/>
          <w:szCs w:val="32"/>
          <w:bdr w:val="none" w:color="auto" w:sz="0" w:space="0"/>
          <w:shd w:val="clear" w:fill="FFFFFF"/>
        </w:rPr>
        <w:t>条（重复不计），公开内容涵括单位财政预决算、工作分工、政务动态、建议提案办理情况等）。微信公众平台“幸福南定”</w:t>
      </w:r>
      <w:r>
        <w:rPr>
          <w:rFonts w:hint="eastAsia" w:ascii="Times New Roman" w:hAnsi="Times New Roman" w:eastAsia="仿宋_GB2312" w:cs="Times New Roman"/>
          <w:i w:val="0"/>
          <w:iCs w:val="0"/>
          <w:caps w:val="0"/>
          <w:color w:val="000000"/>
          <w:spacing w:val="0"/>
          <w:sz w:val="32"/>
          <w:szCs w:val="32"/>
          <w:shd w:val="clear" w:fill="FFFFFF"/>
        </w:rPr>
        <w:t>2021</w:t>
      </w:r>
      <w:r>
        <w:rPr>
          <w:rFonts w:hint="eastAsia" w:ascii="仿宋_GB2312" w:hAnsi="微软雅黑" w:eastAsia="仿宋_GB2312" w:cs="仿宋_GB2312"/>
          <w:i w:val="0"/>
          <w:iCs w:val="0"/>
          <w:caps w:val="0"/>
          <w:color w:val="000000"/>
          <w:spacing w:val="0"/>
          <w:sz w:val="32"/>
          <w:szCs w:val="32"/>
          <w:bdr w:val="none" w:color="auto" w:sz="0" w:space="0"/>
          <w:shd w:val="clear" w:fill="FFFFFF"/>
        </w:rPr>
        <w:t>年已发送包括南定镇信息、生活贴士等</w:t>
      </w:r>
      <w:r>
        <w:rPr>
          <w:rFonts w:hint="eastAsia" w:ascii="Times New Roman" w:hAnsi="Times New Roman" w:eastAsia="仿宋_GB2312" w:cs="Times New Roman"/>
          <w:i w:val="0"/>
          <w:iCs w:val="0"/>
          <w:caps w:val="0"/>
          <w:color w:val="000000"/>
          <w:spacing w:val="0"/>
          <w:sz w:val="32"/>
          <w:szCs w:val="32"/>
          <w:shd w:val="clear" w:fill="FFFFFF"/>
        </w:rPr>
        <w:t>110</w:t>
      </w:r>
      <w:r>
        <w:rPr>
          <w:rFonts w:hint="eastAsia" w:ascii="仿宋_GB2312" w:hAnsi="微软雅黑" w:eastAsia="仿宋_GB2312" w:cs="仿宋_GB2312"/>
          <w:i w:val="0"/>
          <w:iCs w:val="0"/>
          <w:caps w:val="0"/>
          <w:color w:val="000000"/>
          <w:spacing w:val="0"/>
          <w:sz w:val="32"/>
          <w:szCs w:val="32"/>
          <w:bdr w:val="none" w:color="auto" w:sz="0" w:space="0"/>
          <w:shd w:val="clear" w:fill="FFFFFF"/>
        </w:rPr>
        <w:t>条讯息。南定镇定期向平面媒体投送南定镇信息，并积极联系制作南定镇专版报道，真正做到积极主动、公开透明。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_GB2312" w:hAnsi="微软雅黑" w:eastAsia="仿宋_GB2312" w:cs="仿宋_GB2312"/>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（二）依申请公开政府信息和不予公开政府信息的情况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我镇已明确依申请公开的受理地点（党政办），公布了办公时间、地址、受理程序等。截止目前，金山镇依申请公开政府信息和不予公开政府信息的条数为</w:t>
      </w:r>
      <w:r>
        <w:rPr>
          <w:rFonts w:hint="eastAsia" w:ascii="Times New Roman" w:hAnsi="Times New Roman" w:eastAsia="仿宋_GB2312" w:cs="Times New Roman"/>
          <w:i w:val="0"/>
          <w:iCs w:val="0"/>
          <w:caps w:val="0"/>
          <w:color w:val="000000"/>
          <w:spacing w:val="0"/>
          <w:sz w:val="32"/>
          <w:szCs w:val="32"/>
          <w:shd w:val="clear" w:fill="FFFFFF"/>
        </w:rPr>
        <w:t>0</w:t>
      </w:r>
      <w:r>
        <w:rPr>
          <w:rFonts w:hint="eastAsia" w:ascii="仿宋_GB2312" w:hAnsi="微软雅黑" w:eastAsia="仿宋_GB2312" w:cs="仿宋_GB2312"/>
          <w:i w:val="0"/>
          <w:iCs w:val="0"/>
          <w:caps w:val="0"/>
          <w:color w:val="000000"/>
          <w:spacing w:val="0"/>
          <w:sz w:val="32"/>
          <w:szCs w:val="32"/>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楷体" w:hAnsi="楷体" w:eastAsia="楷体" w:cs="楷体"/>
          <w:b/>
          <w:bCs/>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（三）政府信息管理情况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bdr w:val="none" w:color="auto" w:sz="0" w:space="0"/>
          <w:shd w:val="clear" w:fill="FFFFFF"/>
        </w:rPr>
        <w:t>镇政府认真落实新修订的《中华人民共和国政府信息公开条例》，在确保保密安全前提下，不断加强主动公开管理，细化办理流程，确保“应公开、尽公开”。严格信息类型，明确禁止公开类信息、可不予公开类信息、主动公开类信息与依申请公开类信息分类。严格发布程序，按照整理草拟、审核审查、录入发布、页面检查，确保发布信息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楷体" w:hAnsi="楷体" w:eastAsia="楷体" w:cs="楷体"/>
          <w:b/>
          <w:bCs/>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（四）政府信息公开平台建设情况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bdr w:val="none" w:color="auto" w:sz="0" w:space="0"/>
          <w:shd w:val="clear" w:fill="FFFFFF"/>
        </w:rPr>
        <w:t>我镇积极加强政务公开平台建设，在页面布局和文件质量上双重发力，确保门户网站简洁高效，内容实时更新；同时加强新媒体宣传力度，充分运用“幸福南定”微信公众号打造接地气的宣传平台。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楷体" w:hAnsi="楷体" w:eastAsia="楷体" w:cs="楷体"/>
          <w:b/>
          <w:bCs/>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（五）监督保障情况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微软雅黑" w:eastAsia="仿宋_GB2312" w:cs="仿宋_GB2312"/>
          <w:i w:val="0"/>
          <w:iCs w:val="0"/>
          <w:caps w:val="0"/>
          <w:color w:val="000000"/>
          <w:spacing w:val="0"/>
          <w:sz w:val="32"/>
          <w:szCs w:val="32"/>
          <w:bdr w:val="none" w:color="auto" w:sz="0" w:space="0"/>
          <w:shd w:val="clear" w:fill="FFFFFF"/>
        </w:rPr>
      </w:pPr>
      <w:r>
        <w:rPr>
          <w:rFonts w:hint="eastAsia" w:ascii="仿宋_GB2312" w:hAnsi="微软雅黑" w:eastAsia="仿宋_GB2312" w:cs="仿宋_GB2312"/>
          <w:i w:val="0"/>
          <w:iCs w:val="0"/>
          <w:caps w:val="0"/>
          <w:color w:val="000000"/>
          <w:spacing w:val="0"/>
          <w:sz w:val="32"/>
          <w:szCs w:val="32"/>
          <w:bdr w:val="none" w:color="auto" w:sz="0" w:space="0"/>
          <w:shd w:val="clear" w:fill="FFFFFF"/>
        </w:rPr>
        <w:t>为保障信息公开工作规范有序开展，我镇及时调整了政府信息公开工作领导小组成员，建立了具体到相关办局、相关责任人、分管领导、主要领导的分级责任制，做到了分管领导亲自抓，负责人负主责，逐级落实责任，确保信息公开工作落实到位。同时，进一步明晰政府信息公开流程，加强各办局间日常交流、沟通协调，从而提高信息公开的规范性、准确性和及时性。严格遵守信息保密审查制度，确保涉密信息不公开，公开信息不涉密。同时，强化监督检查工作，实行定期检查与不定期检查相结合，鼓励广大干部、群众积极参与监督，积极反映公开过程中存在的突出问题，使公开工作更加扎实、有序开展。</w:t>
      </w:r>
    </w:p>
    <w:p>
      <w:pPr>
        <w:numPr>
          <w:numId w:val="0"/>
        </w:numPr>
        <w:ind w:leftChars="0" w:firstLine="640" w:firstLineChars="200"/>
        <w:jc w:val="left"/>
        <w:rPr>
          <w:rFonts w:hint="eastAsia" w:ascii="Times New Roman" w:hAnsi="Times New Roman" w:eastAsia="仿宋_GB2312" w:cs="Times New Roman"/>
          <w:color w:val="000000"/>
          <w:kern w:val="0"/>
          <w:sz w:val="31"/>
          <w:szCs w:val="31"/>
          <w:lang w:val="en-US" w:eastAsia="zh-CN" w:bidi="ar"/>
        </w:rPr>
      </w:pPr>
      <w:r>
        <w:rPr>
          <w:rFonts w:hint="eastAsia" w:ascii="黑体" w:hAnsi="黑体" w:eastAsia="黑体" w:cs="黑体"/>
          <w:b w:val="0"/>
          <w:bCs w:val="0"/>
          <w:sz w:val="32"/>
          <w:szCs w:val="32"/>
          <w:lang w:val="en-US" w:eastAsia="zh-CN"/>
        </w:rPr>
        <w:t>二、主动公开政府信息情况</w:t>
      </w:r>
    </w:p>
    <w:tbl>
      <w:tblPr>
        <w:tblStyle w:val="5"/>
        <w:tblW w:w="916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160"/>
        <w:gridCol w:w="2406"/>
        <w:gridCol w:w="2130"/>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165" w:type="dxa"/>
            <w:gridSpan w:val="4"/>
            <w:shd w:val="clear" w:color="auto" w:fill="auto"/>
            <w:vAlign w:val="center"/>
          </w:tcPr>
          <w:p>
            <w:pPr>
              <w:numPr>
                <w:ilvl w:val="0"/>
                <w:numId w:val="0"/>
              </w:numPr>
              <w:jc w:val="center"/>
              <w:rPr>
                <w:rFonts w:hint="default" w:ascii="黑体" w:hAnsi="黑体" w:eastAsia="黑体" w:cs="黑体"/>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2160" w:type="dxa"/>
            <w:shd w:val="clear" w:color="auto" w:fill="auto"/>
            <w:vAlign w:val="top"/>
          </w:tcPr>
          <w:p>
            <w:pPr>
              <w:numPr>
                <w:ilvl w:val="0"/>
                <w:numId w:val="0"/>
              </w:numPr>
              <w:jc w:val="both"/>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信息内容</w:t>
            </w:r>
          </w:p>
        </w:tc>
        <w:tc>
          <w:tcPr>
            <w:tcW w:w="2406" w:type="dxa"/>
            <w:shd w:val="clear" w:color="auto" w:fill="auto"/>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本年制发件数</w:t>
            </w:r>
          </w:p>
        </w:tc>
        <w:tc>
          <w:tcPr>
            <w:tcW w:w="2130"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本年废止件数</w:t>
            </w:r>
          </w:p>
        </w:tc>
        <w:tc>
          <w:tcPr>
            <w:tcW w:w="2469"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160" w:type="dxa"/>
            <w:shd w:val="clear" w:color="auto" w:fill="auto"/>
            <w:vAlign w:val="center"/>
          </w:tcPr>
          <w:p>
            <w:pPr>
              <w:numPr>
                <w:ilvl w:val="0"/>
                <w:numId w:val="0"/>
              </w:numPr>
              <w:jc w:val="both"/>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规章</w:t>
            </w:r>
          </w:p>
        </w:tc>
        <w:tc>
          <w:tcPr>
            <w:tcW w:w="2406" w:type="dxa"/>
            <w:shd w:val="clear" w:color="auto" w:fill="auto"/>
            <w:vAlign w:val="center"/>
          </w:tcPr>
          <w:p>
            <w:pPr>
              <w:numPr>
                <w:ilvl w:val="0"/>
                <w:numId w:val="0"/>
              </w:num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2130" w:type="dxa"/>
            <w:shd w:val="clear" w:color="auto" w:fill="auto"/>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2469" w:type="dxa"/>
            <w:shd w:val="clear" w:color="auto" w:fill="auto"/>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2" w:hRule="atLeast"/>
        </w:trPr>
        <w:tc>
          <w:tcPr>
            <w:tcW w:w="2160" w:type="dxa"/>
            <w:shd w:val="clear" w:color="auto" w:fill="auto"/>
            <w:vAlign w:val="center"/>
          </w:tcPr>
          <w:p>
            <w:pPr>
              <w:numPr>
                <w:ilvl w:val="0"/>
                <w:numId w:val="0"/>
              </w:numPr>
              <w:jc w:val="both"/>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行政规范性文件</w:t>
            </w:r>
          </w:p>
        </w:tc>
        <w:tc>
          <w:tcPr>
            <w:tcW w:w="2406" w:type="dxa"/>
            <w:shd w:val="clear" w:color="auto" w:fill="auto"/>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2130" w:type="dxa"/>
            <w:shd w:val="clear" w:color="auto" w:fill="auto"/>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2469" w:type="dxa"/>
            <w:shd w:val="clear" w:color="auto" w:fill="auto"/>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165" w:type="dxa"/>
            <w:gridSpan w:val="4"/>
            <w:shd w:val="clear" w:color="auto" w:fill="auto"/>
            <w:vAlign w:val="center"/>
          </w:tcPr>
          <w:p>
            <w:pPr>
              <w:numPr>
                <w:ilvl w:val="0"/>
                <w:numId w:val="0"/>
              </w:numPr>
              <w:jc w:val="center"/>
              <w:rPr>
                <w:rFonts w:hint="eastAsia" w:asciiTheme="minorEastAsia" w:hAnsiTheme="minorEastAsia" w:cstheme="minorEastAsia"/>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160"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信息内容</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160" w:type="dxa"/>
            <w:shd w:val="clear" w:color="auto" w:fill="auto"/>
            <w:vAlign w:val="center"/>
          </w:tcPr>
          <w:p>
            <w:pPr>
              <w:numPr>
                <w:ilvl w:val="0"/>
                <w:numId w:val="0"/>
              </w:numPr>
              <w:jc w:val="left"/>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行政许可</w:t>
            </w:r>
          </w:p>
        </w:tc>
        <w:tc>
          <w:tcPr>
            <w:tcW w:w="7005" w:type="dxa"/>
            <w:gridSpan w:val="3"/>
            <w:shd w:val="clear" w:color="auto" w:fill="auto"/>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165" w:type="dxa"/>
            <w:gridSpan w:val="4"/>
            <w:shd w:val="clear" w:color="auto" w:fill="auto"/>
            <w:vAlign w:val="center"/>
          </w:tcPr>
          <w:p>
            <w:pPr>
              <w:numPr>
                <w:ilvl w:val="0"/>
                <w:numId w:val="0"/>
              </w:numPr>
              <w:jc w:val="center"/>
              <w:rPr>
                <w:rFonts w:hint="eastAsia" w:asciiTheme="minorEastAsia" w:hAnsiTheme="minorEastAsia" w:cstheme="minorEastAsia"/>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160" w:type="dxa"/>
            <w:shd w:val="clear" w:color="auto" w:fill="auto"/>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信息内容</w:t>
            </w:r>
          </w:p>
        </w:tc>
        <w:tc>
          <w:tcPr>
            <w:tcW w:w="7005" w:type="dxa"/>
            <w:gridSpan w:val="3"/>
            <w:shd w:val="clear" w:color="auto" w:fill="auto"/>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shd w:val="clear" w:color="auto" w:fill="auto"/>
            <w:vAlign w:val="center"/>
          </w:tcPr>
          <w:p>
            <w:pPr>
              <w:numPr>
                <w:ilvl w:val="0"/>
                <w:numId w:val="0"/>
              </w:numPr>
              <w:jc w:val="left"/>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行政处罚</w:t>
            </w:r>
          </w:p>
        </w:tc>
        <w:tc>
          <w:tcPr>
            <w:tcW w:w="7005" w:type="dxa"/>
            <w:gridSpan w:val="3"/>
            <w:shd w:val="clear" w:color="auto" w:fill="auto"/>
            <w:vAlign w:val="center"/>
          </w:tcPr>
          <w:p>
            <w:pPr>
              <w:numPr>
                <w:ilvl w:val="0"/>
                <w:numId w:val="0"/>
              </w:num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160" w:type="dxa"/>
            <w:shd w:val="clear" w:color="auto" w:fill="auto"/>
            <w:vAlign w:val="center"/>
          </w:tcPr>
          <w:p>
            <w:pPr>
              <w:numPr>
                <w:ilvl w:val="0"/>
                <w:numId w:val="0"/>
              </w:numPr>
              <w:jc w:val="left"/>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行政强制</w:t>
            </w:r>
          </w:p>
        </w:tc>
        <w:tc>
          <w:tcPr>
            <w:tcW w:w="7005" w:type="dxa"/>
            <w:gridSpan w:val="3"/>
            <w:shd w:val="clear" w:color="auto" w:fill="auto"/>
            <w:vAlign w:val="center"/>
          </w:tcPr>
          <w:p>
            <w:pPr>
              <w:numPr>
                <w:ilvl w:val="0"/>
                <w:numId w:val="0"/>
              </w:num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2" w:hRule="atLeast"/>
        </w:trPr>
        <w:tc>
          <w:tcPr>
            <w:tcW w:w="9165" w:type="dxa"/>
            <w:gridSpan w:val="4"/>
            <w:shd w:val="clear" w:color="auto" w:fill="auto"/>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信息内容</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60" w:type="dxa"/>
            <w:shd w:val="clear" w:color="auto" w:fill="auto"/>
            <w:vAlign w:val="center"/>
          </w:tcPr>
          <w:p>
            <w:pPr>
              <w:numPr>
                <w:ilvl w:val="0"/>
                <w:numId w:val="0"/>
              </w:numPr>
              <w:jc w:val="left"/>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行政事业性收费</w:t>
            </w:r>
          </w:p>
        </w:tc>
        <w:tc>
          <w:tcPr>
            <w:tcW w:w="7005" w:type="dxa"/>
            <w:gridSpan w:val="3"/>
            <w:shd w:val="clear" w:color="auto" w:fill="auto"/>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bl>
    <w:p>
      <w:pPr>
        <w:numPr>
          <w:numId w:val="0"/>
        </w:numPr>
        <w:ind w:leftChars="0" w:firstLine="640" w:firstLineChars="200"/>
        <w:jc w:val="left"/>
      </w:pPr>
      <w:r>
        <w:rPr>
          <w:rFonts w:hint="eastAsia" w:ascii="黑体" w:hAnsi="黑体" w:eastAsia="黑体" w:cs="黑体"/>
          <w:b w:val="0"/>
          <w:bCs w:val="0"/>
          <w:sz w:val="32"/>
          <w:szCs w:val="32"/>
          <w:lang w:val="en-US" w:eastAsia="zh-CN"/>
        </w:rPr>
        <w:t>三、收到和处理政府信息公开申请情况</w:t>
      </w:r>
    </w:p>
    <w:p/>
    <w:tbl>
      <w:tblPr>
        <w:tblStyle w:val="5"/>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
        <w:gridCol w:w="1425"/>
        <w:gridCol w:w="2580"/>
        <w:gridCol w:w="825"/>
        <w:gridCol w:w="705"/>
        <w:gridCol w:w="680"/>
        <w:gridCol w:w="711"/>
        <w:gridCol w:w="644"/>
        <w:gridCol w:w="749"/>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328" w:type="dxa"/>
            <w:gridSpan w:val="3"/>
            <w:vMerge w:val="restart"/>
            <w:vAlign w:val="center"/>
          </w:tcPr>
          <w:p>
            <w:pPr>
              <w:numPr>
                <w:ilvl w:val="0"/>
                <w:numId w:val="0"/>
              </w:numPr>
              <w:ind w:leftChars="0"/>
              <w:jc w:val="center"/>
              <w:rPr>
                <w:rFonts w:hint="default" w:ascii="黑体" w:hAnsi="黑体" w:eastAsia="黑体" w:cs="黑体"/>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w:t>
            </w:r>
            <w:r>
              <w:rPr>
                <w:rFonts w:hint="eastAsia" w:ascii="楷体" w:hAnsi="楷体" w:eastAsia="楷体" w:cs="楷体"/>
                <w:b w:val="0"/>
                <w:bCs w:val="0"/>
                <w:sz w:val="21"/>
                <w:szCs w:val="21"/>
                <w:lang w:val="en-US" w:eastAsia="zh-CN"/>
              </w:rPr>
              <w:t>本列数据的勾稽关系为：第一项加第二项之和，等于第三项加第四项之和</w:t>
            </w:r>
            <w:r>
              <w:rPr>
                <w:rFonts w:hint="eastAsia" w:asciiTheme="minorEastAsia" w:hAnsiTheme="minorEastAsia" w:eastAsiaTheme="minorEastAsia" w:cstheme="minorEastAsia"/>
                <w:b w:val="0"/>
                <w:bCs w:val="0"/>
                <w:sz w:val="18"/>
                <w:szCs w:val="18"/>
                <w:vertAlign w:val="baseline"/>
                <w:lang w:val="en-US" w:eastAsia="zh-CN"/>
              </w:rPr>
              <w:t>）</w:t>
            </w:r>
          </w:p>
        </w:tc>
        <w:tc>
          <w:tcPr>
            <w:tcW w:w="5091" w:type="dxa"/>
            <w:gridSpan w:val="7"/>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328" w:type="dxa"/>
            <w:gridSpan w:val="3"/>
            <w:vMerge w:val="continue"/>
            <w:vAlign w:val="center"/>
          </w:tcPr>
          <w:p>
            <w:pPr>
              <w:jc w:val="center"/>
              <w:rPr>
                <w:sz w:val="18"/>
                <w:szCs w:val="18"/>
              </w:rPr>
            </w:pPr>
          </w:p>
        </w:tc>
        <w:tc>
          <w:tcPr>
            <w:tcW w:w="825" w:type="dxa"/>
            <w:vMerge w:val="restart"/>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自然人</w:t>
            </w:r>
          </w:p>
        </w:tc>
        <w:tc>
          <w:tcPr>
            <w:tcW w:w="3489" w:type="dxa"/>
            <w:gridSpan w:val="5"/>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法人或其他组织</w:t>
            </w:r>
          </w:p>
        </w:tc>
        <w:tc>
          <w:tcPr>
            <w:tcW w:w="777" w:type="dxa"/>
            <w:vMerge w:val="restart"/>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328" w:type="dxa"/>
            <w:gridSpan w:val="3"/>
            <w:vMerge w:val="continue"/>
            <w:vAlign w:val="center"/>
          </w:tcPr>
          <w:p>
            <w:pPr>
              <w:jc w:val="center"/>
              <w:rPr>
                <w:sz w:val="18"/>
                <w:szCs w:val="18"/>
              </w:rPr>
            </w:pPr>
          </w:p>
        </w:tc>
        <w:tc>
          <w:tcPr>
            <w:tcW w:w="825" w:type="dxa"/>
            <w:vMerge w:val="continue"/>
            <w:vAlign w:val="center"/>
          </w:tcPr>
          <w:p>
            <w:pPr>
              <w:jc w:val="center"/>
              <w:rPr>
                <w:sz w:val="18"/>
                <w:szCs w:val="18"/>
              </w:rPr>
            </w:pPr>
          </w:p>
        </w:tc>
        <w:tc>
          <w:tcPr>
            <w:tcW w:w="705"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商业企业</w:t>
            </w:r>
          </w:p>
        </w:tc>
        <w:tc>
          <w:tcPr>
            <w:tcW w:w="680"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科研机构</w:t>
            </w:r>
          </w:p>
        </w:tc>
        <w:tc>
          <w:tcPr>
            <w:tcW w:w="711"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社会公益组织</w:t>
            </w:r>
          </w:p>
        </w:tc>
        <w:tc>
          <w:tcPr>
            <w:tcW w:w="644"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法律服务机构</w:t>
            </w:r>
          </w:p>
        </w:tc>
        <w:tc>
          <w:tcPr>
            <w:tcW w:w="749"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其他</w:t>
            </w:r>
          </w:p>
        </w:tc>
        <w:tc>
          <w:tcPr>
            <w:tcW w:w="777" w:type="dxa"/>
            <w:vMerge w:val="continue"/>
            <w:vAlign w:val="center"/>
          </w:tcPr>
          <w:p>
            <w:pPr>
              <w:jc w:val="center"/>
              <w:rPr>
                <w:rFonts w:hint="eastAsia" w:asciiTheme="minorEastAsia" w:hAnsiTheme="minorEastAsia" w:eastAsiaTheme="minorEastAsia" w:cstheme="minor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328" w:type="dxa"/>
            <w:gridSpan w:val="3"/>
            <w:vAlign w:val="top"/>
          </w:tcPr>
          <w:p>
            <w:pPr>
              <w:jc w:val="both"/>
              <w:rPr>
                <w:rFonts w:hint="default" w:eastAsiaTheme="minorEastAsia"/>
                <w:sz w:val="18"/>
                <w:szCs w:val="18"/>
                <w:lang w:val="en-US" w:eastAsia="zh-CN"/>
              </w:rPr>
            </w:pPr>
            <w:r>
              <w:rPr>
                <w:rFonts w:hint="eastAsia"/>
                <w:sz w:val="18"/>
                <w:szCs w:val="18"/>
                <w:lang w:val="en-US" w:eastAsia="zh-CN"/>
              </w:rPr>
              <w:t>一、本年新收政府信息公开申请数量</w:t>
            </w:r>
          </w:p>
        </w:tc>
        <w:tc>
          <w:tcPr>
            <w:tcW w:w="825" w:type="dxa"/>
            <w:vAlign w:val="center"/>
          </w:tcPr>
          <w:p>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328" w:type="dxa"/>
            <w:gridSpan w:val="3"/>
            <w:vAlign w:val="top"/>
          </w:tcPr>
          <w:p>
            <w:pPr>
              <w:jc w:val="both"/>
              <w:rPr>
                <w:rFonts w:hint="default"/>
                <w:sz w:val="18"/>
                <w:szCs w:val="18"/>
                <w:lang w:val="en-US" w:eastAsia="zh-CN"/>
              </w:rPr>
            </w:pPr>
            <w:r>
              <w:rPr>
                <w:rFonts w:hint="eastAsia"/>
                <w:sz w:val="18"/>
                <w:szCs w:val="18"/>
                <w:lang w:val="en-US" w:eastAsia="zh-CN"/>
              </w:rPr>
              <w:t>二、上年结转政府信息公开申请数量</w:t>
            </w:r>
          </w:p>
        </w:tc>
        <w:tc>
          <w:tcPr>
            <w:tcW w:w="825" w:type="dxa"/>
            <w:vAlign w:val="center"/>
          </w:tcPr>
          <w:p>
            <w:pPr>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3" w:type="dxa"/>
            <w:vMerge w:val="restart"/>
            <w:vAlign w:val="center"/>
          </w:tcPr>
          <w:p>
            <w:pPr>
              <w:jc w:val="center"/>
              <w:rPr>
                <w:rFonts w:hint="default"/>
                <w:sz w:val="18"/>
                <w:szCs w:val="18"/>
                <w:lang w:val="en-US" w:eastAsia="zh-CN"/>
              </w:rPr>
            </w:pPr>
            <w:r>
              <w:rPr>
                <w:rFonts w:hint="eastAsia"/>
                <w:sz w:val="18"/>
                <w:szCs w:val="18"/>
                <w:lang w:val="en-US" w:eastAsia="zh-CN"/>
              </w:rPr>
              <w:t>三、本年度办理结果</w:t>
            </w:r>
          </w:p>
        </w:tc>
        <w:tc>
          <w:tcPr>
            <w:tcW w:w="4005" w:type="dxa"/>
            <w:gridSpan w:val="2"/>
            <w:vAlign w:val="top"/>
          </w:tcPr>
          <w:p>
            <w:pPr>
              <w:jc w:val="both"/>
              <w:rPr>
                <w:rFonts w:hint="default"/>
                <w:sz w:val="18"/>
                <w:szCs w:val="18"/>
                <w:lang w:val="en-US" w:eastAsia="zh-CN"/>
              </w:rPr>
            </w:pPr>
            <w:r>
              <w:rPr>
                <w:rFonts w:hint="eastAsia"/>
                <w:sz w:val="18"/>
                <w:szCs w:val="18"/>
                <w:lang w:val="en-US" w:eastAsia="zh-CN"/>
              </w:rPr>
              <w:t>（一）予以公开</w:t>
            </w:r>
          </w:p>
        </w:tc>
        <w:tc>
          <w:tcPr>
            <w:tcW w:w="825" w:type="dxa"/>
            <w:vAlign w:val="center"/>
          </w:tcPr>
          <w:p>
            <w:pPr>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3" w:type="dxa"/>
            <w:vMerge w:val="continue"/>
            <w:vAlign w:val="center"/>
          </w:tcPr>
          <w:p>
            <w:pPr>
              <w:jc w:val="center"/>
              <w:rPr>
                <w:sz w:val="18"/>
                <w:szCs w:val="18"/>
              </w:rPr>
            </w:pPr>
          </w:p>
        </w:tc>
        <w:tc>
          <w:tcPr>
            <w:tcW w:w="4005" w:type="dxa"/>
            <w:gridSpan w:val="2"/>
            <w:vAlign w:val="top"/>
          </w:tcPr>
          <w:p>
            <w:pPr>
              <w:jc w:val="both"/>
              <w:rPr>
                <w:rFonts w:hint="default"/>
                <w:sz w:val="18"/>
                <w:szCs w:val="18"/>
                <w:lang w:val="en-US" w:eastAsia="zh-CN"/>
              </w:rPr>
            </w:pPr>
            <w:r>
              <w:rPr>
                <w:rFonts w:hint="eastAsia"/>
                <w:sz w:val="18"/>
                <w:szCs w:val="18"/>
                <w:lang w:val="en-US" w:eastAsia="zh-CN"/>
              </w:rPr>
              <w:t>（二）部分公开（</w:t>
            </w:r>
            <w:r>
              <w:rPr>
                <w:rFonts w:hint="eastAsia" w:ascii="楷体" w:hAnsi="楷体" w:eastAsia="楷体" w:cs="楷体"/>
                <w:b/>
                <w:bCs/>
                <w:sz w:val="21"/>
                <w:szCs w:val="21"/>
                <w:lang w:val="en-US" w:eastAsia="zh-CN"/>
              </w:rPr>
              <w:t>区分处理的，只记这一情形，不计其他情形</w:t>
            </w:r>
            <w:r>
              <w:rPr>
                <w:rFonts w:hint="eastAsia"/>
                <w:sz w:val="18"/>
                <w:szCs w:val="18"/>
                <w:lang w:val="en-US" w:eastAsia="zh-CN"/>
              </w:rPr>
              <w:t>）</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（三）不予公开</w:t>
            </w:r>
          </w:p>
        </w:tc>
        <w:tc>
          <w:tcPr>
            <w:tcW w:w="2580" w:type="dxa"/>
            <w:vAlign w:val="center"/>
          </w:tcPr>
          <w:p>
            <w:pPr>
              <w:jc w:val="left"/>
              <w:rPr>
                <w:rFonts w:hint="default"/>
                <w:sz w:val="18"/>
                <w:szCs w:val="18"/>
                <w:lang w:val="en-US" w:eastAsia="zh-CN"/>
              </w:rPr>
            </w:pPr>
            <w:r>
              <w:rPr>
                <w:rFonts w:hint="eastAsia"/>
                <w:sz w:val="18"/>
                <w:szCs w:val="18"/>
                <w:lang w:val="en-US" w:eastAsia="zh-CN"/>
              </w:rPr>
              <w:t>1.属于国家机密</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sz w:val="18"/>
                <w:szCs w:val="18"/>
              </w:rPr>
            </w:pPr>
          </w:p>
        </w:tc>
        <w:tc>
          <w:tcPr>
            <w:tcW w:w="1425" w:type="dxa"/>
            <w:vMerge w:val="continue"/>
            <w:vAlign w:val="center"/>
          </w:tcPr>
          <w:p>
            <w:pPr>
              <w:jc w:val="center"/>
              <w:rPr>
                <w:sz w:val="18"/>
                <w:szCs w:val="18"/>
              </w:rPr>
            </w:pPr>
          </w:p>
        </w:tc>
        <w:tc>
          <w:tcPr>
            <w:tcW w:w="2580" w:type="dxa"/>
            <w:vAlign w:val="center"/>
          </w:tcPr>
          <w:p>
            <w:pPr>
              <w:jc w:val="left"/>
              <w:rPr>
                <w:rFonts w:hint="default"/>
                <w:sz w:val="18"/>
                <w:szCs w:val="18"/>
                <w:lang w:val="en-US" w:eastAsia="zh-CN"/>
              </w:rPr>
            </w:pPr>
            <w:r>
              <w:rPr>
                <w:rFonts w:hint="eastAsia"/>
                <w:sz w:val="18"/>
                <w:szCs w:val="18"/>
                <w:lang w:val="en-US" w:eastAsia="zh-CN"/>
              </w:rPr>
              <w:t>2.其他法律行政法规禁止公开</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3.危及“三安全一稳定”</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4.保护第三方合法权益</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5.属于三类内部事务信息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6.属于四类过程性信息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7.属于行政执法案卷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8.属于行政查询事项</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（四）无法提供</w:t>
            </w:r>
          </w:p>
        </w:tc>
        <w:tc>
          <w:tcPr>
            <w:tcW w:w="2580" w:type="dxa"/>
            <w:vAlign w:val="center"/>
          </w:tcPr>
          <w:p>
            <w:pPr>
              <w:jc w:val="left"/>
              <w:rPr>
                <w:rFonts w:hint="default"/>
                <w:sz w:val="18"/>
                <w:szCs w:val="18"/>
                <w:lang w:val="en-US" w:eastAsia="zh-CN"/>
              </w:rPr>
            </w:pPr>
            <w:r>
              <w:rPr>
                <w:rFonts w:hint="eastAsia"/>
                <w:sz w:val="18"/>
                <w:szCs w:val="18"/>
                <w:lang w:val="en-US" w:eastAsia="zh-CN"/>
              </w:rPr>
              <w:t>1.本机关不掌握相关政府信息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2.没有现成信息需要另行制作</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3.补正后申请内容仍不明确</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（五）不予处理</w:t>
            </w:r>
          </w:p>
        </w:tc>
        <w:tc>
          <w:tcPr>
            <w:tcW w:w="2580" w:type="dxa"/>
            <w:vAlign w:val="center"/>
          </w:tcPr>
          <w:p>
            <w:pPr>
              <w:jc w:val="left"/>
              <w:rPr>
                <w:rFonts w:hint="default"/>
                <w:sz w:val="18"/>
                <w:szCs w:val="18"/>
                <w:lang w:val="en-US" w:eastAsia="zh-CN"/>
              </w:rPr>
            </w:pPr>
            <w:r>
              <w:rPr>
                <w:rFonts w:hint="eastAsia"/>
                <w:sz w:val="18"/>
                <w:szCs w:val="18"/>
                <w:lang w:val="en-US" w:eastAsia="zh-CN"/>
              </w:rPr>
              <w:t>1.信访举报投诉类申请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2.重复申请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3.要求提供公开出版物</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4.无正当理由大量反复申请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5.要求行政机关确认或重新出具已获取信息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（六）其他处理</w:t>
            </w:r>
          </w:p>
        </w:tc>
        <w:tc>
          <w:tcPr>
            <w:tcW w:w="2580" w:type="dxa"/>
            <w:vAlign w:val="center"/>
          </w:tcPr>
          <w:p>
            <w:pPr>
              <w:jc w:val="left"/>
              <w:rPr>
                <w:rFonts w:hint="default"/>
                <w:sz w:val="18"/>
                <w:szCs w:val="18"/>
                <w:lang w:val="en-US" w:eastAsia="zh-CN"/>
              </w:rPr>
            </w:pPr>
            <w:r>
              <w:rPr>
                <w:rFonts w:hint="eastAsia"/>
                <w:sz w:val="18"/>
                <w:szCs w:val="18"/>
                <w:lang w:val="en-US" w:eastAsia="zh-CN"/>
              </w:rPr>
              <w:t>1.申请人无正当理由逾期不补正、行政机关不再处理其政府信息公开申请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2.申请人逾期未按收费通知要求缴纳费用、行政机关不再处理其他政府公开申请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3.其他</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23" w:type="dxa"/>
            <w:vMerge w:val="continue"/>
            <w:vAlign w:val="center"/>
          </w:tcPr>
          <w:p>
            <w:pPr>
              <w:jc w:val="center"/>
              <w:rPr>
                <w:rFonts w:hint="eastAsia"/>
                <w:sz w:val="18"/>
                <w:szCs w:val="18"/>
                <w:lang w:val="en-US" w:eastAsia="zh-CN"/>
              </w:rPr>
            </w:pPr>
          </w:p>
        </w:tc>
        <w:tc>
          <w:tcPr>
            <w:tcW w:w="4005" w:type="dxa"/>
            <w:gridSpan w:val="2"/>
            <w:vAlign w:val="center"/>
          </w:tcPr>
          <w:p>
            <w:pPr>
              <w:jc w:val="left"/>
              <w:rPr>
                <w:rFonts w:hint="default"/>
                <w:sz w:val="18"/>
                <w:szCs w:val="18"/>
                <w:lang w:val="en-US" w:eastAsia="zh-CN"/>
              </w:rPr>
            </w:pPr>
            <w:r>
              <w:rPr>
                <w:rFonts w:hint="eastAsia"/>
                <w:sz w:val="18"/>
                <w:szCs w:val="18"/>
                <w:lang w:val="en-US" w:eastAsia="zh-CN"/>
              </w:rPr>
              <w:t>（七）总计</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28" w:type="dxa"/>
            <w:gridSpan w:val="3"/>
            <w:vAlign w:val="center"/>
          </w:tcPr>
          <w:p>
            <w:pPr>
              <w:jc w:val="left"/>
              <w:rPr>
                <w:rFonts w:hint="default"/>
                <w:sz w:val="18"/>
                <w:szCs w:val="18"/>
                <w:lang w:val="en-US" w:eastAsia="zh-CN"/>
              </w:rPr>
            </w:pPr>
            <w:r>
              <w:rPr>
                <w:rFonts w:hint="eastAsia"/>
                <w:sz w:val="18"/>
                <w:szCs w:val="18"/>
                <w:lang w:val="en-US" w:eastAsia="zh-CN"/>
              </w:rPr>
              <w:t>四、结转下年度继续办理</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bl>
    <w:p>
      <w:pPr>
        <w:numPr>
          <w:numId w:val="0"/>
        </w:numPr>
        <w:ind w:leftChars="0" w:firstLine="320" w:firstLineChars="100"/>
        <w:jc w:val="left"/>
        <w:rPr>
          <w:rFonts w:hint="eastAsia" w:ascii="方正小标宋简体" w:hAnsi="方正小标宋简体" w:eastAsia="方正小标宋简体" w:cs="方正小标宋简体"/>
          <w:b w:val="0"/>
          <w:bCs w:val="0"/>
          <w:color w:val="auto"/>
          <w:kern w:val="0"/>
          <w:sz w:val="44"/>
          <w:szCs w:val="44"/>
          <w:u w:val="none"/>
          <w:lang w:val="en-US" w:eastAsia="zh-CN" w:bidi="ar"/>
        </w:rPr>
      </w:pPr>
      <w:r>
        <w:rPr>
          <w:rFonts w:hint="eastAsia" w:ascii="黑体" w:hAnsi="黑体" w:eastAsia="黑体" w:cs="黑体"/>
          <w:b w:val="0"/>
          <w:bCs w:val="0"/>
          <w:sz w:val="32"/>
          <w:szCs w:val="32"/>
          <w:lang w:val="en-US" w:eastAsia="zh-CN"/>
        </w:rPr>
        <w:t>四、政府信息公开行政复议、行政诉讼情况</w:t>
      </w:r>
    </w:p>
    <w:tbl>
      <w:tblPr>
        <w:tblStyle w:val="5"/>
        <w:tblpPr w:leftFromText="180" w:rightFromText="180" w:vertAnchor="text" w:horzAnchor="page" w:tblpX="1290" w:tblpY="300"/>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600"/>
        <w:gridCol w:w="645"/>
        <w:gridCol w:w="670"/>
        <w:gridCol w:w="605"/>
        <w:gridCol w:w="610"/>
        <w:gridCol w:w="585"/>
        <w:gridCol w:w="630"/>
        <w:gridCol w:w="645"/>
        <w:gridCol w:w="615"/>
        <w:gridCol w:w="578"/>
        <w:gridCol w:w="633"/>
        <w:gridCol w:w="633"/>
        <w:gridCol w:w="633"/>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270" w:type="dxa"/>
            <w:gridSpan w:val="5"/>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行政复议</w:t>
            </w:r>
          </w:p>
        </w:tc>
        <w:tc>
          <w:tcPr>
            <w:tcW w:w="6250" w:type="dxa"/>
            <w:gridSpan w:val="10"/>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结果维持</w:t>
            </w:r>
          </w:p>
        </w:tc>
        <w:tc>
          <w:tcPr>
            <w:tcW w:w="600"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结果纠正</w:t>
            </w:r>
          </w:p>
        </w:tc>
        <w:tc>
          <w:tcPr>
            <w:tcW w:w="645"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其他结果</w:t>
            </w:r>
          </w:p>
        </w:tc>
        <w:tc>
          <w:tcPr>
            <w:tcW w:w="670"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尚未审结</w:t>
            </w:r>
          </w:p>
        </w:tc>
        <w:tc>
          <w:tcPr>
            <w:tcW w:w="605"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总计</w:t>
            </w:r>
          </w:p>
        </w:tc>
        <w:tc>
          <w:tcPr>
            <w:tcW w:w="3085" w:type="dxa"/>
            <w:gridSpan w:val="5"/>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未经复议直接起诉</w:t>
            </w:r>
          </w:p>
        </w:tc>
        <w:tc>
          <w:tcPr>
            <w:tcW w:w="3165" w:type="dxa"/>
            <w:gridSpan w:val="5"/>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50" w:type="dxa"/>
            <w:vMerge w:val="continue"/>
            <w:vAlign w:val="center"/>
          </w:tcPr>
          <w:p>
            <w:pPr>
              <w:jc w:val="center"/>
            </w:pPr>
          </w:p>
        </w:tc>
        <w:tc>
          <w:tcPr>
            <w:tcW w:w="600" w:type="dxa"/>
            <w:vMerge w:val="continue"/>
            <w:vAlign w:val="center"/>
          </w:tcPr>
          <w:p>
            <w:pPr>
              <w:jc w:val="center"/>
            </w:pPr>
          </w:p>
        </w:tc>
        <w:tc>
          <w:tcPr>
            <w:tcW w:w="645" w:type="dxa"/>
            <w:vMerge w:val="continue"/>
            <w:vAlign w:val="center"/>
          </w:tcPr>
          <w:p>
            <w:pPr>
              <w:jc w:val="center"/>
            </w:pPr>
          </w:p>
        </w:tc>
        <w:tc>
          <w:tcPr>
            <w:tcW w:w="670" w:type="dxa"/>
            <w:vMerge w:val="continue"/>
            <w:vAlign w:val="center"/>
          </w:tcPr>
          <w:p>
            <w:pPr>
              <w:jc w:val="center"/>
            </w:pPr>
          </w:p>
        </w:tc>
        <w:tc>
          <w:tcPr>
            <w:tcW w:w="605" w:type="dxa"/>
            <w:vMerge w:val="continue"/>
            <w:vAlign w:val="center"/>
          </w:tcPr>
          <w:p>
            <w:pPr>
              <w:jc w:val="center"/>
            </w:pPr>
          </w:p>
        </w:tc>
        <w:tc>
          <w:tcPr>
            <w:tcW w:w="61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结果维持</w:t>
            </w:r>
          </w:p>
        </w:tc>
        <w:tc>
          <w:tcPr>
            <w:tcW w:w="58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结果纠正</w:t>
            </w:r>
          </w:p>
        </w:tc>
        <w:tc>
          <w:tcPr>
            <w:tcW w:w="63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其他结果</w:t>
            </w:r>
          </w:p>
        </w:tc>
        <w:tc>
          <w:tcPr>
            <w:tcW w:w="64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尚未审结</w:t>
            </w:r>
          </w:p>
        </w:tc>
        <w:tc>
          <w:tcPr>
            <w:tcW w:w="61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总计</w:t>
            </w:r>
          </w:p>
        </w:tc>
        <w:tc>
          <w:tcPr>
            <w:tcW w:w="578"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结果维持</w:t>
            </w:r>
          </w:p>
        </w:tc>
        <w:tc>
          <w:tcPr>
            <w:tcW w:w="633"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结果纠正</w:t>
            </w:r>
          </w:p>
        </w:tc>
        <w:tc>
          <w:tcPr>
            <w:tcW w:w="633"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其他结果</w:t>
            </w:r>
          </w:p>
        </w:tc>
        <w:tc>
          <w:tcPr>
            <w:tcW w:w="633"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尚未审结</w:t>
            </w:r>
          </w:p>
        </w:tc>
        <w:tc>
          <w:tcPr>
            <w:tcW w:w="688"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50"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60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7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10"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58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3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1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578"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633"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33"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33"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8"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bl>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2"/>
          <w:szCs w:val="32"/>
          <w:bdr w:val="none" w:color="auto" w:sz="0" w:space="0"/>
        </w:rPr>
        <w:t>五、</w:t>
      </w:r>
      <w:r>
        <w:rPr>
          <w:rFonts w:hint="eastAsia" w:ascii="黑体" w:hAnsi="宋体" w:eastAsia="黑体" w:cs="黑体"/>
          <w:i w:val="0"/>
          <w:iCs w:val="0"/>
          <w:caps w:val="0"/>
          <w:color w:val="000000"/>
          <w:spacing w:val="0"/>
          <w:sz w:val="32"/>
          <w:szCs w:val="32"/>
          <w:bdr w:val="none" w:color="auto" w:sz="0" w:space="0"/>
        </w:rPr>
        <w:t>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楷体" w:hAnsi="楷体" w:eastAsia="楷体" w:cs="楷体"/>
          <w:b/>
          <w:bCs/>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bdr w:val="none" w:color="auto" w:sz="0" w:space="0"/>
        </w:rPr>
        <w:t>（一）主要问题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bdr w:val="none" w:color="auto" w:sz="0" w:space="0"/>
        </w:rPr>
        <w:t>一是部分信息公开时效性差。部分需要主动公开的事项信息发布不及时,公开时间和实际情况不符,致使公众难以在第一时间了解相关政府工作情况,也造成了信息公开申请数量增加。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bdr w:val="none" w:color="auto" w:sz="0" w:space="0"/>
        </w:rPr>
        <w:t>二是部分信息内容专业性强。有些信息内容过于专业，不便于公众理解。部分政策出台后存在缺少解读文件，政策与解读文件没有相互关联，解读文件发布时间滞后，解读内容过于笼统，解读形式过于单一等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楷体" w:hAnsi="楷体" w:eastAsia="楷体" w:cs="楷体"/>
          <w:b/>
          <w:bCs/>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bdr w:val="none" w:color="auto" w:sz="0" w:space="0"/>
        </w:rPr>
        <w:t>（二）改进措施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bdr w:val="none" w:color="auto" w:sz="0" w:space="0"/>
        </w:rPr>
        <w:t>第一，提高意识，摆正态度。通过各种形式的教育培训，提高工作人员对政务公开重要性的认识，增强公开意识、服务意识、法制意识，增强实事求是、求真务实、直面问题、敢于接受监督的精神，增强抓好政务公开工作的主动性；同时，注重专业人员的培训和专业能力的培养，精心安排培训科目和内容，对工作人员开展轮训，提高发布信息、解读政策、回应关切的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bdr w:val="none" w:color="auto" w:sz="0" w:space="0"/>
        </w:rPr>
        <w:t>第二，注重细化，明确要求。要针对《关于全面推进政务公开工作的意见》结合实际出台实施细则，注重精细化、可操作性，务求公开实效，让群众看得到、听得懂、能监督。尤其要进一步细化要求，有针对性地制定和完善本部门公开目录，明确主体、内容、时限、方式等方面的内容，并动态更新，不断提升主动公开的标准化规范化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bdr w:val="none" w:color="auto" w:sz="0" w:space="0"/>
        </w:rPr>
        <w:t>第三，完善机制，加强监督。要进一步完善政务公开的相关制度体制机制，把政务公开作为目标绩效考核内容之一，强化考核结果的实际运用，建立考核评估和监督机制，对监督中发现的问题及时整改，及时纠正，通过问责来倒逼工作人员强化守土有责，守土负责，守土尽责的意识。另外，积极引入外部监督。通过设立举报信箱，公开政府邮箱等多种方式，主动接受社会公众监督和新闻媒体舆论监督，形成标准明确、监督有力、问责严格的责任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六、其他需要报告的事项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微软雅黑" w:hAnsi="微软雅黑" w:eastAsia="仿宋_GB2312" w:cs="微软雅黑"/>
          <w:i w:val="0"/>
          <w:iCs w:val="0"/>
          <w:caps w:val="0"/>
          <w:color w:val="000000"/>
          <w:spacing w:val="0"/>
          <w:sz w:val="24"/>
          <w:szCs w:val="24"/>
          <w:lang w:eastAsia="zh-CN"/>
        </w:rPr>
      </w:pPr>
      <w:r>
        <w:rPr>
          <w:rFonts w:hint="eastAsia" w:ascii="仿宋_GB2312" w:hAnsi="微软雅黑" w:eastAsia="仿宋_GB2312" w:cs="仿宋_GB2312"/>
          <w:i w:val="0"/>
          <w:iCs w:val="0"/>
          <w:caps w:val="0"/>
          <w:color w:val="000000"/>
          <w:spacing w:val="0"/>
          <w:sz w:val="32"/>
          <w:szCs w:val="32"/>
          <w:bdr w:val="none" w:color="auto" w:sz="0" w:space="0"/>
        </w:rPr>
        <w:t>无</w:t>
      </w:r>
      <w:r>
        <w:rPr>
          <w:rFonts w:hint="eastAsia" w:ascii="仿宋_GB2312" w:hAnsi="微软雅黑" w:eastAsia="仿宋_GB2312" w:cs="仿宋_GB2312"/>
          <w:i w:val="0"/>
          <w:iCs w:val="0"/>
          <w:caps w:val="0"/>
          <w:color w:val="000000"/>
          <w:spacing w:val="0"/>
          <w:sz w:val="32"/>
          <w:szCs w:val="32"/>
          <w:bdr w:val="none" w:color="auto" w:sz="0" w:space="0"/>
          <w:lang w:eastAsia="zh-CN"/>
        </w:rPr>
        <w:t>。</w:t>
      </w: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微软雅黑" w:eastAsia="仿宋_GB2312" w:cs="仿宋_GB2312"/>
          <w:i w:val="0"/>
          <w:iCs w:val="0"/>
          <w:caps w:val="0"/>
          <w:color w:val="000000"/>
          <w:spacing w:val="0"/>
          <w:sz w:val="32"/>
          <w:szCs w:val="32"/>
          <w:bdr w:val="none" w:color="auto" w:sz="0" w:space="0"/>
          <w:shd w:val="clear" w:fill="FFFFFF"/>
        </w:rPr>
      </w:pP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4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2022-01-27T02:05:22Z</dcterms:created>
  <dc:creator>Lenovo009</dc:creator>
  <cp:lastModifiedBy>一依</cp:lastModifiedBy>
  <dcterms:modified xsi:type="dcterms:W3CDTF">2022-01-27T02:15:39Z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ED3B9654F3E34AA7B47DD8DD0C912D8D</vt:lpwstr>
  </property>
</Properties>
</file>