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ascii="微软雅黑" w:hAnsi="微软雅黑" w:eastAsia="微软雅黑" w:cs="微软雅黑"/>
          <w:i w:val="0"/>
          <w:iCs w:val="0"/>
          <w:caps w:val="0"/>
          <w:color w:val="000000"/>
          <w:spacing w:val="0"/>
          <w:sz w:val="24"/>
          <w:szCs w:val="24"/>
        </w:rPr>
      </w:pPr>
      <w:r>
        <w:rPr>
          <w:rFonts w:ascii="仿宋_GB2312" w:hAnsi="微软雅黑" w:eastAsia="仿宋_GB2312" w:cs="仿宋_GB2312"/>
          <w:i w:val="0"/>
          <w:iCs w:val="0"/>
          <w:caps w:val="0"/>
          <w:color w:val="000000"/>
          <w:spacing w:val="0"/>
          <w:sz w:val="32"/>
          <w:szCs w:val="32"/>
        </w:rPr>
        <w:t>本报告是根据修订的《中华人民共和国政府信息公开条例》、《国务院办公厅政府信息与政务公开办公室关于政府信息公开工作年度报告有关事项的通知》</w:t>
      </w:r>
      <w:r>
        <w:rPr>
          <w:rFonts w:hint="eastAsia" w:ascii="仿宋_GB2312" w:hAnsi="微软雅黑" w:eastAsia="仿宋_GB2312" w:cs="仿宋_GB2312"/>
          <w:i w:val="0"/>
          <w:iCs w:val="0"/>
          <w:caps w:val="0"/>
          <w:color w:val="000000"/>
          <w:spacing w:val="0"/>
          <w:sz w:val="32"/>
          <w:szCs w:val="32"/>
          <w:shd w:val="clear" w:fill="FFFFFF"/>
        </w:rPr>
        <w:t>(国办公开办函〔2021〕30号)和《中华人民共和国政府信息公开条例》</w:t>
      </w:r>
      <w:r>
        <w:rPr>
          <w:rFonts w:hint="eastAsia" w:ascii="仿宋_GB2312" w:hAnsi="微软雅黑" w:eastAsia="仿宋_GB2312" w:cs="仿宋_GB2312"/>
          <w:i w:val="0"/>
          <w:iCs w:val="0"/>
          <w:caps w:val="0"/>
          <w:color w:val="000000"/>
          <w:spacing w:val="0"/>
          <w:sz w:val="32"/>
          <w:szCs w:val="32"/>
          <w:shd w:val="clear" w:fill="FFFFFF"/>
          <w:lang w:eastAsia="zh-CN"/>
        </w:rPr>
        <w:t>第五十条的</w:t>
      </w:r>
      <w:r>
        <w:rPr>
          <w:rFonts w:hint="eastAsia" w:ascii="仿宋_GB2312" w:hAnsi="微软雅黑" w:eastAsia="仿宋_GB2312" w:cs="仿宋_GB2312"/>
          <w:i w:val="0"/>
          <w:iCs w:val="0"/>
          <w:caps w:val="0"/>
          <w:color w:val="000000"/>
          <w:spacing w:val="0"/>
          <w:sz w:val="32"/>
          <w:szCs w:val="32"/>
          <w:shd w:val="clear" w:fill="FFFFFF"/>
        </w:rPr>
        <w:t>要求编制，</w:t>
      </w:r>
      <w:r>
        <w:rPr>
          <w:rFonts w:hint="eastAsia" w:ascii="仿宋_GB2312" w:hAnsi="微软雅黑" w:eastAsia="仿宋_GB2312" w:cs="仿宋_GB2312"/>
          <w:i w:val="0"/>
          <w:iCs w:val="0"/>
          <w:caps w:val="0"/>
          <w:color w:val="000000"/>
          <w:spacing w:val="0"/>
          <w:sz w:val="32"/>
          <w:szCs w:val="32"/>
        </w:rPr>
        <w:t>并向社会公开。本报告中所列数据的统计期限自202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年1月1日起至202</w:t>
      </w:r>
      <w:r>
        <w:rPr>
          <w:rFonts w:hint="eastAsia" w:ascii="仿宋_GB2312" w:hAnsi="微软雅黑" w:eastAsia="仿宋_GB2312" w:cs="仿宋_GB2312"/>
          <w:i w:val="0"/>
          <w:iCs w:val="0"/>
          <w:caps w:val="0"/>
          <w:color w:val="000000"/>
          <w:spacing w:val="0"/>
          <w:sz w:val="32"/>
          <w:szCs w:val="32"/>
          <w:lang w:val="en-US" w:eastAsia="zh-CN"/>
        </w:rPr>
        <w:t>2</w:t>
      </w:r>
      <w:r>
        <w:rPr>
          <w:rFonts w:hint="eastAsia" w:ascii="仿宋_GB2312" w:hAnsi="微软雅黑" w:eastAsia="仿宋_GB2312" w:cs="仿宋_GB2312"/>
          <w:i w:val="0"/>
          <w:iCs w:val="0"/>
          <w:caps w:val="0"/>
          <w:color w:val="000000"/>
          <w:spacing w:val="0"/>
          <w:sz w:val="32"/>
          <w:szCs w:val="32"/>
        </w:rPr>
        <w:t>年12月31日止。本报告可在淄博经济开发区门户网站(http://www.zbjkq.gov.cn)下载。如对本报告有任何疑问，请联系淄博经济开发区南定镇人民政府党政办公室，地址：经开区南定镇政府三楼党政办公室，邮编：255000，联系电话：0533-2980477，电子邮箱：zdqndzdzb@zb.shandong.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rPr>
        <w:t>一、</w:t>
      </w:r>
      <w:r>
        <w:rPr>
          <w:rFonts w:hint="eastAsia" w:ascii="黑体" w:hAnsi="宋体" w:eastAsia="黑体" w:cs="黑体"/>
          <w:i w:val="0"/>
          <w:iCs w:val="0"/>
          <w:caps w:val="0"/>
          <w:color w:val="000000"/>
          <w:spacing w:val="0"/>
          <w:sz w:val="32"/>
          <w:szCs w:val="32"/>
        </w:rPr>
        <w:t>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我镇严格按照《中华人民共和国政府信息公开条例》开展政府信息公开工作，进一步梳理了政府信息公开工作思路，主动公开政府信息，规范信息发布审核等工作流程，积极履行政府信息公开工作主管部门职责，提升政府工作透明度，切实满足社会公众获取和利用政府信息的需求，进一步转变政府的行政职能，提升群众的满意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ascii="楷体_GB2312" w:hAnsi="微软雅黑" w:eastAsia="楷体_GB2312" w:cs="楷体_GB2312"/>
          <w:i w:val="0"/>
          <w:iCs w:val="0"/>
          <w:caps w:val="0"/>
          <w:color w:val="000000"/>
          <w:spacing w:val="0"/>
          <w:sz w:val="32"/>
          <w:szCs w:val="32"/>
          <w:shd w:val="clear" w:fill="FFFFFF"/>
        </w:rPr>
        <w:t> </w:t>
      </w:r>
      <w:r>
        <w:rPr>
          <w:rStyle w:val="5"/>
          <w:rFonts w:ascii="楷体" w:hAnsi="楷体" w:eastAsia="楷体" w:cs="楷体"/>
          <w:b/>
          <w:bCs/>
          <w:i w:val="0"/>
          <w:iCs w:val="0"/>
          <w:caps w:val="0"/>
          <w:color w:val="000000"/>
          <w:spacing w:val="0"/>
          <w:sz w:val="32"/>
          <w:szCs w:val="32"/>
          <w:shd w:val="clear" w:fill="FFFFFF"/>
        </w:rPr>
        <w:t>（一）主动公开政府信息情况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南定镇人民政府202</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年度累计主动公开政府信息</w:t>
      </w:r>
      <w:r>
        <w:rPr>
          <w:rFonts w:hint="eastAsia" w:ascii="仿宋_GB2312" w:hAnsi="微软雅黑" w:eastAsia="仿宋_GB2312" w:cs="仿宋_GB2312"/>
          <w:i w:val="0"/>
          <w:iCs w:val="0"/>
          <w:caps w:val="0"/>
          <w:color w:val="000000"/>
          <w:spacing w:val="0"/>
          <w:sz w:val="32"/>
          <w:szCs w:val="32"/>
          <w:shd w:val="clear" w:fill="FFFFFF"/>
          <w:lang w:val="en-US" w:eastAsia="zh-CN"/>
        </w:rPr>
        <w:t>366</w:t>
      </w:r>
      <w:r>
        <w:rPr>
          <w:rFonts w:hint="eastAsia" w:ascii="仿宋_GB2312" w:hAnsi="微软雅黑" w:eastAsia="仿宋_GB2312" w:cs="仿宋_GB2312"/>
          <w:i w:val="0"/>
          <w:iCs w:val="0"/>
          <w:caps w:val="0"/>
          <w:color w:val="000000"/>
          <w:spacing w:val="0"/>
          <w:sz w:val="32"/>
          <w:szCs w:val="32"/>
          <w:shd w:val="clear" w:fill="FFFFFF"/>
        </w:rPr>
        <w:t>条，（其中包含政府网站公开</w:t>
      </w:r>
      <w:r>
        <w:rPr>
          <w:rFonts w:hint="eastAsia" w:ascii="仿宋_GB2312" w:hAnsi="微软雅黑" w:eastAsia="仿宋_GB2312" w:cs="仿宋_GB2312"/>
          <w:i w:val="0"/>
          <w:iCs w:val="0"/>
          <w:caps w:val="0"/>
          <w:color w:val="000000"/>
          <w:spacing w:val="0"/>
          <w:sz w:val="32"/>
          <w:szCs w:val="32"/>
          <w:shd w:val="clear" w:fill="FFFFFF"/>
          <w:lang w:val="en-US" w:eastAsia="zh-CN"/>
        </w:rPr>
        <w:t>42</w:t>
      </w:r>
      <w:r>
        <w:rPr>
          <w:rFonts w:hint="eastAsia" w:ascii="仿宋_GB2312" w:hAnsi="微软雅黑" w:eastAsia="仿宋_GB2312" w:cs="仿宋_GB2312"/>
          <w:i w:val="0"/>
          <w:iCs w:val="0"/>
          <w:caps w:val="0"/>
          <w:color w:val="000000"/>
          <w:spacing w:val="0"/>
          <w:sz w:val="32"/>
          <w:szCs w:val="32"/>
          <w:shd w:val="clear" w:fill="FFFFFF"/>
        </w:rPr>
        <w:t>条，政务微信公开</w:t>
      </w:r>
      <w:r>
        <w:rPr>
          <w:rFonts w:hint="eastAsia" w:ascii="仿宋_GB2312" w:hAnsi="微软雅黑" w:eastAsia="仿宋_GB2312" w:cs="仿宋_GB2312"/>
          <w:i w:val="0"/>
          <w:iCs w:val="0"/>
          <w:caps w:val="0"/>
          <w:color w:val="000000"/>
          <w:spacing w:val="0"/>
          <w:sz w:val="32"/>
          <w:szCs w:val="32"/>
          <w:shd w:val="clear" w:fill="FFFFFF"/>
          <w:lang w:val="en-US" w:eastAsia="zh-CN"/>
        </w:rPr>
        <w:t>250</w:t>
      </w:r>
      <w:r>
        <w:rPr>
          <w:rFonts w:hint="eastAsia" w:ascii="仿宋_GB2312" w:hAnsi="微软雅黑" w:eastAsia="仿宋_GB2312" w:cs="仿宋_GB2312"/>
          <w:i w:val="0"/>
          <w:iCs w:val="0"/>
          <w:caps w:val="0"/>
          <w:color w:val="000000"/>
          <w:spacing w:val="0"/>
          <w:sz w:val="32"/>
          <w:szCs w:val="32"/>
          <w:shd w:val="clear" w:fill="FFFFFF"/>
        </w:rPr>
        <w:t>条，镇政府和各村居社区政务公开栏公开</w:t>
      </w:r>
      <w:r>
        <w:rPr>
          <w:rFonts w:hint="eastAsia" w:ascii="仿宋_GB2312" w:hAnsi="微软雅黑" w:eastAsia="仿宋_GB2312" w:cs="仿宋_GB2312"/>
          <w:i w:val="0"/>
          <w:iCs w:val="0"/>
          <w:caps w:val="0"/>
          <w:color w:val="000000"/>
          <w:spacing w:val="0"/>
          <w:sz w:val="32"/>
          <w:szCs w:val="32"/>
          <w:shd w:val="clear" w:fill="FFFFFF"/>
          <w:lang w:val="en-US" w:eastAsia="zh-CN"/>
        </w:rPr>
        <w:t>74</w:t>
      </w:r>
      <w:r>
        <w:rPr>
          <w:rFonts w:hint="eastAsia" w:ascii="仿宋_GB2312" w:hAnsi="微软雅黑" w:eastAsia="仿宋_GB2312" w:cs="仿宋_GB2312"/>
          <w:i w:val="0"/>
          <w:iCs w:val="0"/>
          <w:caps w:val="0"/>
          <w:color w:val="000000"/>
          <w:spacing w:val="0"/>
          <w:sz w:val="32"/>
          <w:szCs w:val="32"/>
          <w:shd w:val="clear" w:fill="FFFFFF"/>
        </w:rPr>
        <w:t>条（重复不计），公开内容涵括单位财政预决算、工作分工、政务动态、建议提案办理情况等）。微信公众平台“幸福南定”202</w:t>
      </w:r>
      <w:r>
        <w:rPr>
          <w:rFonts w:hint="eastAsia" w:ascii="仿宋_GB2312" w:hAnsi="微软雅黑" w:eastAsia="仿宋_GB2312" w:cs="仿宋_GB2312"/>
          <w:i w:val="0"/>
          <w:iCs w:val="0"/>
          <w:caps w:val="0"/>
          <w:color w:val="000000"/>
          <w:spacing w:val="0"/>
          <w:sz w:val="32"/>
          <w:szCs w:val="32"/>
          <w:shd w:val="clear" w:fill="FFFFFF"/>
          <w:lang w:val="en-US" w:eastAsia="zh-CN"/>
        </w:rPr>
        <w:t>2</w:t>
      </w:r>
      <w:r>
        <w:rPr>
          <w:rFonts w:hint="eastAsia" w:ascii="仿宋_GB2312" w:hAnsi="微软雅黑" w:eastAsia="仿宋_GB2312" w:cs="仿宋_GB2312"/>
          <w:i w:val="0"/>
          <w:iCs w:val="0"/>
          <w:caps w:val="0"/>
          <w:color w:val="000000"/>
          <w:spacing w:val="0"/>
          <w:sz w:val="32"/>
          <w:szCs w:val="32"/>
          <w:shd w:val="clear" w:fill="FFFFFF"/>
        </w:rPr>
        <w:t>年已发送包括南定镇信息、生活贴士等</w:t>
      </w:r>
      <w:r>
        <w:rPr>
          <w:rFonts w:hint="eastAsia" w:ascii="仿宋_GB2312" w:hAnsi="微软雅黑" w:eastAsia="仿宋_GB2312" w:cs="仿宋_GB2312"/>
          <w:i w:val="0"/>
          <w:iCs w:val="0"/>
          <w:caps w:val="0"/>
          <w:color w:val="000000"/>
          <w:spacing w:val="0"/>
          <w:sz w:val="32"/>
          <w:szCs w:val="32"/>
          <w:shd w:val="clear" w:fill="FFFFFF"/>
          <w:lang w:val="en-US" w:eastAsia="zh-CN"/>
        </w:rPr>
        <w:t>25</w:t>
      </w:r>
      <w:r>
        <w:rPr>
          <w:rFonts w:hint="eastAsia" w:ascii="仿宋_GB2312" w:hAnsi="微软雅黑" w:eastAsia="仿宋_GB2312" w:cs="仿宋_GB2312"/>
          <w:i w:val="0"/>
          <w:iCs w:val="0"/>
          <w:caps w:val="0"/>
          <w:color w:val="000000"/>
          <w:spacing w:val="0"/>
          <w:sz w:val="32"/>
          <w:szCs w:val="32"/>
          <w:shd w:val="clear" w:fill="FFFFFF"/>
        </w:rPr>
        <w:t>0条讯息。南定镇定期向平面媒体投送南定镇信息，并积极联系制作南定镇专版报道，真正做到积极主动、公开透明。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000000"/>
          <w:spacing w:val="0"/>
          <w:sz w:val="32"/>
          <w:szCs w:val="32"/>
          <w:shd w:val="clear" w:fill="FFFFFF"/>
        </w:rPr>
        <w:t>（二）依申请公开政府信息和不予公开政府信息的情况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我镇已明确依申请公开的受理地点（党政办），公布了办公时间、地址、受理程序等。</w:t>
      </w:r>
      <w:r>
        <w:rPr>
          <w:rFonts w:hint="eastAsia" w:ascii="仿宋_GB2312" w:hAnsi="微软雅黑" w:eastAsia="仿宋_GB2312" w:cs="仿宋_GB2312"/>
          <w:i w:val="0"/>
          <w:iCs w:val="0"/>
          <w:caps w:val="0"/>
          <w:color w:val="000000"/>
          <w:spacing w:val="0"/>
          <w:sz w:val="32"/>
          <w:szCs w:val="32"/>
          <w:shd w:val="clear" w:fill="FFFFFF"/>
          <w:lang w:eastAsia="zh-CN"/>
        </w:rPr>
        <w:t>截至</w:t>
      </w:r>
      <w:r>
        <w:rPr>
          <w:rFonts w:hint="eastAsia" w:ascii="仿宋_GB2312" w:hAnsi="微软雅黑" w:eastAsia="仿宋_GB2312" w:cs="仿宋_GB2312"/>
          <w:i w:val="0"/>
          <w:iCs w:val="0"/>
          <w:caps w:val="0"/>
          <w:color w:val="000000"/>
          <w:spacing w:val="0"/>
          <w:sz w:val="32"/>
          <w:szCs w:val="32"/>
          <w:shd w:val="clear" w:fill="FFFFFF"/>
        </w:rPr>
        <w:t>目前，</w:t>
      </w:r>
      <w:r>
        <w:rPr>
          <w:rFonts w:hint="eastAsia" w:ascii="仿宋_GB2312" w:hAnsi="微软雅黑" w:eastAsia="仿宋_GB2312" w:cs="仿宋_GB2312"/>
          <w:i w:val="0"/>
          <w:iCs w:val="0"/>
          <w:caps w:val="0"/>
          <w:color w:val="000000"/>
          <w:spacing w:val="0"/>
          <w:sz w:val="32"/>
          <w:szCs w:val="32"/>
          <w:shd w:val="clear" w:fill="FFFFFF"/>
          <w:lang w:val="en-US" w:eastAsia="zh-CN"/>
        </w:rPr>
        <w:t>南定</w:t>
      </w:r>
      <w:r>
        <w:rPr>
          <w:rFonts w:hint="eastAsia" w:ascii="仿宋_GB2312" w:hAnsi="微软雅黑" w:eastAsia="仿宋_GB2312" w:cs="仿宋_GB2312"/>
          <w:i w:val="0"/>
          <w:iCs w:val="0"/>
          <w:caps w:val="0"/>
          <w:color w:val="000000"/>
          <w:spacing w:val="0"/>
          <w:sz w:val="32"/>
          <w:szCs w:val="32"/>
          <w:shd w:val="clear" w:fill="FFFFFF"/>
        </w:rPr>
        <w:t>镇依申请公开政府信息和不予公开政府信息的条数为0。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000000"/>
          <w:spacing w:val="0"/>
          <w:sz w:val="32"/>
          <w:szCs w:val="32"/>
          <w:shd w:val="clear" w:fill="FFFFFF"/>
        </w:rPr>
        <w:t>（三）政府信息管理情况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镇政府认真落实新修订的《中华人民共和国政府信息公开条例》，在确保保密安全前提下，不断加强主动公开管理，细化办理流程，确保“应公开、尽公开”。严格信息类型，明确禁止公开类信息、可不予公开类信息、主动公开类信息与依申请公开类信息分类。严格发布程序，按照整理草拟、审核审查、录入发布、页面检查，确保发布信息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000000"/>
          <w:spacing w:val="0"/>
          <w:sz w:val="32"/>
          <w:szCs w:val="32"/>
          <w:shd w:val="clear" w:fill="FFFFFF"/>
        </w:rPr>
        <w:t>（四）政府信息公开平台建设情况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我镇积极加强政务公开平台建设，在页面布局和</w:t>
      </w:r>
      <w:bookmarkStart w:id="0" w:name="_GoBack"/>
      <w:r>
        <w:rPr>
          <w:rFonts w:hint="eastAsia" w:ascii="仿宋_GB2312" w:hAnsi="微软雅黑" w:eastAsia="仿宋_GB2312" w:cs="仿宋_GB2312"/>
          <w:i w:val="0"/>
          <w:iCs w:val="0"/>
          <w:caps w:val="0"/>
          <w:color w:val="000000"/>
          <w:spacing w:val="0"/>
          <w:sz w:val="32"/>
          <w:szCs w:val="32"/>
          <w:shd w:val="clear" w:fill="FFFFFF"/>
        </w:rPr>
        <w:t>文件</w:t>
      </w:r>
      <w:bookmarkEnd w:id="0"/>
      <w:r>
        <w:rPr>
          <w:rFonts w:hint="eastAsia" w:ascii="仿宋_GB2312" w:hAnsi="微软雅黑" w:eastAsia="仿宋_GB2312" w:cs="仿宋_GB2312"/>
          <w:i w:val="0"/>
          <w:iCs w:val="0"/>
          <w:caps w:val="0"/>
          <w:color w:val="000000"/>
          <w:spacing w:val="0"/>
          <w:sz w:val="32"/>
          <w:szCs w:val="32"/>
          <w:shd w:val="clear" w:fill="FFFFFF"/>
        </w:rPr>
        <w:t>质量上双重发力，确保门户网站简洁高效，内容实时更新；同时加强新媒体宣传力度，充分运用“幸福南定”微信公众号打造接地气的宣传平台。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000000"/>
          <w:spacing w:val="0"/>
          <w:sz w:val="32"/>
          <w:szCs w:val="32"/>
          <w:shd w:val="clear" w:fill="FFFFFF"/>
        </w:rPr>
        <w:t>（五）监督保障情况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shd w:val="clear" w:fill="FFFFFF"/>
        </w:rPr>
        <w:t>为保障信息公开工作规范有序开展，我镇及时调整了政府信息公开工作领导小组成员，建立了具体到相关</w:t>
      </w:r>
      <w:r>
        <w:rPr>
          <w:rFonts w:hint="eastAsia" w:ascii="仿宋_GB2312" w:hAnsi="微软雅黑" w:eastAsia="仿宋_GB2312" w:cs="仿宋_GB2312"/>
          <w:i w:val="0"/>
          <w:iCs w:val="0"/>
          <w:caps w:val="0"/>
          <w:color w:val="000000"/>
          <w:spacing w:val="0"/>
          <w:sz w:val="32"/>
          <w:szCs w:val="32"/>
          <w:shd w:val="clear" w:fill="FFFFFF"/>
          <w:lang w:eastAsia="zh-CN"/>
        </w:rPr>
        <w:t>委办</w:t>
      </w:r>
      <w:r>
        <w:rPr>
          <w:rFonts w:hint="eastAsia" w:ascii="仿宋_GB2312" w:hAnsi="微软雅黑" w:eastAsia="仿宋_GB2312" w:cs="仿宋_GB2312"/>
          <w:i w:val="0"/>
          <w:iCs w:val="0"/>
          <w:caps w:val="0"/>
          <w:color w:val="000000"/>
          <w:spacing w:val="0"/>
          <w:sz w:val="32"/>
          <w:szCs w:val="32"/>
          <w:shd w:val="clear" w:fill="FFFFFF"/>
        </w:rPr>
        <w:t>、相关责任人、分管领导、主要领导的分级责任制，做到了分管领导亲自抓，负责人负主责，逐级落实责任，确保信息公开工作落实到位。同时，进一步明晰政府信息公开流程，加强各</w:t>
      </w:r>
      <w:r>
        <w:rPr>
          <w:rFonts w:hint="eastAsia" w:ascii="仿宋_GB2312" w:hAnsi="微软雅黑" w:eastAsia="仿宋_GB2312" w:cs="仿宋_GB2312"/>
          <w:i w:val="0"/>
          <w:iCs w:val="0"/>
          <w:caps w:val="0"/>
          <w:color w:val="000000"/>
          <w:spacing w:val="0"/>
          <w:sz w:val="32"/>
          <w:szCs w:val="32"/>
          <w:shd w:val="clear" w:fill="FFFFFF"/>
          <w:lang w:eastAsia="zh-CN"/>
        </w:rPr>
        <w:t>委办</w:t>
      </w:r>
      <w:r>
        <w:rPr>
          <w:rFonts w:hint="eastAsia" w:ascii="仿宋_GB2312" w:hAnsi="微软雅黑" w:eastAsia="仿宋_GB2312" w:cs="仿宋_GB2312"/>
          <w:i w:val="0"/>
          <w:iCs w:val="0"/>
          <w:caps w:val="0"/>
          <w:color w:val="000000"/>
          <w:spacing w:val="0"/>
          <w:sz w:val="32"/>
          <w:szCs w:val="32"/>
          <w:shd w:val="clear" w:fill="FFFFFF"/>
        </w:rPr>
        <w:t>间日常交流、沟通协调，从而提高信息公开的规范性、准确性和及时性。严格遵守信息保密审查制度，确保涉密信息不公开，公开信息不涉密。同时，强化监督检查工作，实行定期检查与不定期检查相结合，鼓励广大干部、群众积极参与监督，积极反映公开过程中存在的突出问题，使公开工作更加扎实、有序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二、主动公开政府信息情况</w:t>
      </w:r>
    </w:p>
    <w:tbl>
      <w:tblPr>
        <w:tblStyle w:val="3"/>
        <w:tblW w:w="91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60"/>
        <w:gridCol w:w="2406"/>
        <w:gridCol w:w="2130"/>
        <w:gridCol w:w="246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87" w:hRule="atLeast"/>
        </w:trPr>
        <w:tc>
          <w:tcPr>
            <w:tcW w:w="9165"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4"/>
                <w:szCs w:val="24"/>
              </w:rPr>
              <w:t>第二十条 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i w:val="0"/>
                <w:iCs w:val="0"/>
                <w:caps w:val="0"/>
                <w:color w:val="000000"/>
                <w:spacing w:val="0"/>
                <w:sz w:val="18"/>
                <w:szCs w:val="18"/>
              </w:rPr>
              <w:t>信息内容</w:t>
            </w:r>
          </w:p>
        </w:tc>
        <w:tc>
          <w:tcPr>
            <w:tcW w:w="24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本年制发件数</w:t>
            </w:r>
          </w:p>
        </w:tc>
        <w:tc>
          <w:tcPr>
            <w:tcW w:w="213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本年废止件数</w:t>
            </w:r>
          </w:p>
        </w:tc>
        <w:tc>
          <w:tcPr>
            <w:tcW w:w="24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i w:val="0"/>
                <w:iCs w:val="0"/>
                <w:caps w:val="0"/>
                <w:color w:val="000000"/>
                <w:spacing w:val="0"/>
                <w:sz w:val="18"/>
                <w:szCs w:val="18"/>
              </w:rPr>
              <w:t>规章</w:t>
            </w:r>
          </w:p>
        </w:tc>
        <w:tc>
          <w:tcPr>
            <w:tcW w:w="24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9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i w:val="0"/>
                <w:iCs w:val="0"/>
                <w:caps w:val="0"/>
                <w:color w:val="000000"/>
                <w:spacing w:val="0"/>
                <w:sz w:val="18"/>
                <w:szCs w:val="18"/>
              </w:rPr>
              <w:t>行政规范性文件</w:t>
            </w:r>
          </w:p>
        </w:tc>
        <w:tc>
          <w:tcPr>
            <w:tcW w:w="240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c>
          <w:tcPr>
            <w:tcW w:w="21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c>
          <w:tcPr>
            <w:tcW w:w="24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2" w:hRule="atLeast"/>
        </w:trPr>
        <w:tc>
          <w:tcPr>
            <w:tcW w:w="9165"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4"/>
                <w:szCs w:val="24"/>
              </w:rPr>
              <w:t>第二十条 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7"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信息内容</w:t>
            </w:r>
          </w:p>
        </w:tc>
        <w:tc>
          <w:tcPr>
            <w:tcW w:w="7005"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07"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18"/>
                <w:szCs w:val="18"/>
              </w:rPr>
              <w:t>行政许可</w:t>
            </w:r>
          </w:p>
        </w:tc>
        <w:tc>
          <w:tcPr>
            <w:tcW w:w="7005"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宋体" w:hAnsi="宋体" w:eastAsia="宋体" w:cs="宋体"/>
                <w:i w:val="0"/>
                <w:iCs w:val="0"/>
                <w:caps w:val="0"/>
                <w:color w:val="000000"/>
                <w:spacing w:val="0"/>
                <w:sz w:val="18"/>
                <w:szCs w:val="18"/>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97" w:hRule="atLeast"/>
        </w:trPr>
        <w:tc>
          <w:tcPr>
            <w:tcW w:w="9165"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4"/>
                <w:szCs w:val="24"/>
              </w:rPr>
              <w:t>第二十条 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7"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信息内容</w:t>
            </w:r>
          </w:p>
        </w:tc>
        <w:tc>
          <w:tcPr>
            <w:tcW w:w="7005"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18"/>
                <w:szCs w:val="18"/>
              </w:rPr>
              <w:t>行政处罚</w:t>
            </w:r>
          </w:p>
        </w:tc>
        <w:tc>
          <w:tcPr>
            <w:tcW w:w="7005"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sz w:val="24"/>
                <w:szCs w:val="24"/>
                <w:lang w:eastAsia="zh-CN"/>
              </w:rPr>
            </w:pPr>
            <w:r>
              <w:rPr>
                <w:rFonts w:hint="eastAsia" w:ascii="宋体" w:hAnsi="宋体" w:eastAsia="宋体" w:cs="宋体"/>
                <w:i w:val="0"/>
                <w:iCs w:val="0"/>
                <w:caps w:val="0"/>
                <w:color w:val="000000"/>
                <w:spacing w:val="0"/>
                <w:sz w:val="18"/>
                <w:szCs w:val="18"/>
                <w:lang w:val="en-US" w:eastAsia="zh-CN"/>
              </w:rPr>
              <w:t>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3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18"/>
                <w:szCs w:val="18"/>
              </w:rPr>
              <w:t>行政强制</w:t>
            </w:r>
          </w:p>
        </w:tc>
        <w:tc>
          <w:tcPr>
            <w:tcW w:w="7005"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2" w:hRule="atLeast"/>
        </w:trPr>
        <w:tc>
          <w:tcPr>
            <w:tcW w:w="9165"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黑体" w:hAnsi="宋体" w:eastAsia="黑体" w:cs="黑体"/>
                <w:i w:val="0"/>
                <w:iCs w:val="0"/>
                <w:caps w:val="0"/>
                <w:color w:val="000000"/>
                <w:spacing w:val="0"/>
                <w:sz w:val="24"/>
                <w:szCs w:val="24"/>
              </w:rPr>
              <w:t>第二十条 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0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信息内容</w:t>
            </w:r>
          </w:p>
        </w:tc>
        <w:tc>
          <w:tcPr>
            <w:tcW w:w="7005"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trPr>
        <w:tc>
          <w:tcPr>
            <w:tcW w:w="216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i w:val="0"/>
                <w:iCs w:val="0"/>
                <w:caps w:val="0"/>
                <w:color w:val="000000"/>
                <w:spacing w:val="0"/>
                <w:sz w:val="18"/>
                <w:szCs w:val="18"/>
              </w:rPr>
              <w:t>行政事业性收费</w:t>
            </w:r>
          </w:p>
        </w:tc>
        <w:tc>
          <w:tcPr>
            <w:tcW w:w="7005"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ascii="Calibri" w:hAnsi="Calibri" w:eastAsia="微软雅黑" w:cs="Calibri"/>
          <w:i w:val="0"/>
          <w:iCs w:val="0"/>
          <w:caps w:val="0"/>
          <w:color w:val="000000"/>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三、收到和处理政府信息公开申请情况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default" w:ascii="Calibri" w:hAnsi="Calibri" w:eastAsia="微软雅黑" w:cs="Calibri"/>
          <w:i w:val="0"/>
          <w:iCs w:val="0"/>
          <w:caps w:val="0"/>
          <w:color w:val="000000"/>
          <w:spacing w:val="0"/>
          <w:sz w:val="21"/>
          <w:szCs w:val="21"/>
        </w:rPr>
        <w:t> </w:t>
      </w:r>
    </w:p>
    <w:tbl>
      <w:tblPr>
        <w:tblStyle w:val="3"/>
        <w:tblW w:w="94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76"/>
        <w:gridCol w:w="1391"/>
        <w:gridCol w:w="2478"/>
        <w:gridCol w:w="803"/>
        <w:gridCol w:w="689"/>
        <w:gridCol w:w="666"/>
        <w:gridCol w:w="695"/>
        <w:gridCol w:w="631"/>
        <w:gridCol w:w="731"/>
        <w:gridCol w:w="75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5" w:hRule="atLeast"/>
          <w:jc w:val="center"/>
        </w:trPr>
        <w:tc>
          <w:tcPr>
            <w:tcW w:w="4328"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w:t>
            </w:r>
            <w:r>
              <w:rPr>
                <w:rFonts w:ascii="楷体" w:hAnsi="楷体" w:eastAsia="楷体" w:cs="楷体"/>
                <w:sz w:val="21"/>
                <w:szCs w:val="21"/>
              </w:rPr>
              <w:t>本列数据的勾稽关系为：第一项加第二项之和，等于第三项加第四项之和</w:t>
            </w:r>
            <w:r>
              <w:rPr>
                <w:rFonts w:hint="eastAsia" w:ascii="宋体" w:hAnsi="宋体" w:eastAsia="宋体" w:cs="宋体"/>
                <w:sz w:val="18"/>
                <w:szCs w:val="18"/>
              </w:rPr>
              <w:t>）</w:t>
            </w:r>
          </w:p>
        </w:tc>
        <w:tc>
          <w:tcPr>
            <w:tcW w:w="5091"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432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自然人</w:t>
            </w:r>
          </w:p>
        </w:tc>
        <w:tc>
          <w:tcPr>
            <w:tcW w:w="3489"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法人或其他组织</w:t>
            </w:r>
          </w:p>
        </w:tc>
        <w:tc>
          <w:tcPr>
            <w:tcW w:w="77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10" w:hRule="atLeast"/>
          <w:jc w:val="center"/>
        </w:trPr>
        <w:tc>
          <w:tcPr>
            <w:tcW w:w="4328"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商业企业</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科研机构</w:t>
            </w:r>
          </w:p>
        </w:tc>
        <w:tc>
          <w:tcPr>
            <w:tcW w:w="7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社会公益组织</w:t>
            </w:r>
          </w:p>
        </w:tc>
        <w:tc>
          <w:tcPr>
            <w:tcW w:w="64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法律服务机构</w:t>
            </w:r>
          </w:p>
        </w:tc>
        <w:tc>
          <w:tcPr>
            <w:tcW w:w="74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其他</w:t>
            </w:r>
          </w:p>
        </w:tc>
        <w:tc>
          <w:tcPr>
            <w:tcW w:w="77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0" w:hRule="atLeast"/>
          <w:jc w:val="center"/>
        </w:trPr>
        <w:tc>
          <w:tcPr>
            <w:tcW w:w="432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sz w:val="18"/>
                <w:szCs w:val="18"/>
              </w:rPr>
              <w:t>一、本年新收政府信息公开申请数量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jc w:val="center"/>
        </w:trPr>
        <w:tc>
          <w:tcPr>
            <w:tcW w:w="432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sz w:val="18"/>
                <w:szCs w:val="18"/>
              </w:rPr>
              <w:t>二、上年结转政府信息公开申请数量</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2" w:hRule="atLeast"/>
          <w:jc w:val="center"/>
        </w:trPr>
        <w:tc>
          <w:tcPr>
            <w:tcW w:w="323"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三、本年度办理结果</w:t>
            </w:r>
          </w:p>
        </w:tc>
        <w:tc>
          <w:tcPr>
            <w:tcW w:w="4005"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sz w:val="18"/>
                <w:szCs w:val="18"/>
              </w:rPr>
              <w:t>（一）予以公开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4"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4005"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sz w:val="24"/>
                <w:szCs w:val="24"/>
              </w:rPr>
            </w:pPr>
            <w:r>
              <w:rPr>
                <w:rFonts w:hint="eastAsia" w:ascii="宋体" w:hAnsi="宋体" w:eastAsia="宋体" w:cs="宋体"/>
                <w:sz w:val="18"/>
                <w:szCs w:val="18"/>
              </w:rPr>
              <w:t>（二）部分公开（</w:t>
            </w:r>
            <w:r>
              <w:rPr>
                <w:rStyle w:val="5"/>
                <w:rFonts w:hint="eastAsia" w:ascii="楷体" w:hAnsi="楷体" w:eastAsia="楷体" w:cs="楷体"/>
                <w:b/>
                <w:bCs/>
                <w:sz w:val="21"/>
                <w:szCs w:val="21"/>
              </w:rPr>
              <w:t>区分处理的，只记这一情形，不计其他情形</w:t>
            </w:r>
            <w:r>
              <w:rPr>
                <w:rFonts w:hint="eastAsia" w:ascii="宋体" w:hAnsi="宋体" w:eastAsia="宋体" w:cs="宋体"/>
                <w:sz w:val="18"/>
                <w:szCs w:val="18"/>
              </w:rPr>
              <w:t>）</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（三）不予公开</w:t>
            </w: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1.属于国家机密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2.其他法律行政法规禁止公开</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3.危及“三安全一稳定”</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4.保护第三方合法权益</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5.属于三类内部事务信息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6.属于四类过程性信息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8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7.属于行政执法案卷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2"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8.属于行政查询事项</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（四）无法提供</w:t>
            </w: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1.本机关不掌握相关政府信息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2.没有现成信息需要另行制作</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3.补正后申请内容仍不明确</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（五）不予处理</w:t>
            </w: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1.信访举报投诉类申请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2.重复申请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3.要求提供公开出版物</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4.无正当理由大量反复申请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85"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5.要求行政机关确认或重新出具已获取信息</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（六）其他处理</w:t>
            </w: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1.申请人无正当理由逾期不补正、行政机关不再处理其政府信息公开申请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08"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2.申请人逾期未按收费通知要求缴纳费用、行政机关不再处理其他政府公开申请</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42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5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3.其他</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7" w:hRule="atLeast"/>
          <w:jc w:val="center"/>
        </w:trPr>
        <w:tc>
          <w:tcPr>
            <w:tcW w:w="323"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40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（七）总计</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4328"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24"/>
                <w:szCs w:val="24"/>
              </w:rPr>
            </w:pPr>
            <w:r>
              <w:rPr>
                <w:rFonts w:hint="eastAsia" w:ascii="宋体" w:hAnsi="宋体" w:eastAsia="宋体" w:cs="宋体"/>
                <w:sz w:val="18"/>
                <w:szCs w:val="18"/>
              </w:rPr>
              <w:t>四、结转下年度继续办理</w:t>
            </w:r>
          </w:p>
        </w:tc>
        <w:tc>
          <w:tcPr>
            <w:tcW w:w="82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c>
          <w:tcPr>
            <w:tcW w:w="7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64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sz w:val="18"/>
                <w:szCs w:val="18"/>
              </w:rPr>
              <w:t>0</w:t>
            </w:r>
          </w:p>
        </w:tc>
        <w:tc>
          <w:tcPr>
            <w:tcW w:w="77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sz w:val="18"/>
                <w:szCs w:val="18"/>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四、政府信息公开行政复议、行政诉讼情况</w:t>
      </w:r>
    </w:p>
    <w:tbl>
      <w:tblPr>
        <w:tblStyle w:val="3"/>
        <w:tblW w:w="952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0"/>
        <w:gridCol w:w="600"/>
        <w:gridCol w:w="645"/>
        <w:gridCol w:w="670"/>
        <w:gridCol w:w="605"/>
        <w:gridCol w:w="610"/>
        <w:gridCol w:w="585"/>
        <w:gridCol w:w="630"/>
        <w:gridCol w:w="645"/>
        <w:gridCol w:w="615"/>
        <w:gridCol w:w="578"/>
        <w:gridCol w:w="633"/>
        <w:gridCol w:w="633"/>
        <w:gridCol w:w="633"/>
        <w:gridCol w:w="6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7" w:hRule="atLeast"/>
        </w:trPr>
        <w:tc>
          <w:tcPr>
            <w:tcW w:w="327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行政复议</w:t>
            </w:r>
          </w:p>
        </w:tc>
        <w:tc>
          <w:tcPr>
            <w:tcW w:w="6250"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12" w:hRule="atLeast"/>
        </w:trPr>
        <w:tc>
          <w:tcPr>
            <w:tcW w:w="750"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结果维持</w:t>
            </w:r>
          </w:p>
        </w:tc>
        <w:tc>
          <w:tcPr>
            <w:tcW w:w="600"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结果纠正</w:t>
            </w:r>
          </w:p>
        </w:tc>
        <w:tc>
          <w:tcPr>
            <w:tcW w:w="64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其他结果</w:t>
            </w:r>
          </w:p>
        </w:tc>
        <w:tc>
          <w:tcPr>
            <w:tcW w:w="670"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尚未审结</w:t>
            </w:r>
          </w:p>
        </w:tc>
        <w:tc>
          <w:tcPr>
            <w:tcW w:w="605"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总计</w:t>
            </w:r>
          </w:p>
        </w:tc>
        <w:tc>
          <w:tcPr>
            <w:tcW w:w="308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未经复议直接起诉</w:t>
            </w:r>
          </w:p>
        </w:tc>
        <w:tc>
          <w:tcPr>
            <w:tcW w:w="316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17" w:hRule="atLeast"/>
        </w:trPr>
        <w:tc>
          <w:tcPr>
            <w:tcW w:w="750"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2"/>
                <w:szCs w:val="22"/>
              </w:rPr>
            </w:pPr>
          </w:p>
        </w:tc>
        <w:tc>
          <w:tcPr>
            <w:tcW w:w="600"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2"/>
                <w:szCs w:val="22"/>
              </w:rPr>
            </w:pPr>
          </w:p>
        </w:tc>
        <w:tc>
          <w:tcPr>
            <w:tcW w:w="64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2"/>
                <w:szCs w:val="22"/>
              </w:rPr>
            </w:pPr>
          </w:p>
        </w:tc>
        <w:tc>
          <w:tcPr>
            <w:tcW w:w="670"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2"/>
                <w:szCs w:val="22"/>
              </w:rPr>
            </w:pPr>
          </w:p>
        </w:tc>
        <w:tc>
          <w:tcPr>
            <w:tcW w:w="605"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微软雅黑" w:hAnsi="微软雅黑" w:eastAsia="微软雅黑" w:cs="微软雅黑"/>
                <w:i w:val="0"/>
                <w:iCs w:val="0"/>
                <w:caps w:val="0"/>
                <w:color w:val="000000"/>
                <w:spacing w:val="0"/>
                <w:sz w:val="22"/>
                <w:szCs w:val="22"/>
              </w:rPr>
            </w:pPr>
          </w:p>
        </w:tc>
        <w:tc>
          <w:tcPr>
            <w:tcW w:w="61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结果维持</w:t>
            </w:r>
          </w:p>
        </w:tc>
        <w:tc>
          <w:tcPr>
            <w:tcW w:w="5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结果纠正</w:t>
            </w:r>
          </w:p>
        </w:tc>
        <w:tc>
          <w:tcPr>
            <w:tcW w:w="63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其他结果</w:t>
            </w:r>
          </w:p>
        </w:tc>
        <w:tc>
          <w:tcPr>
            <w:tcW w:w="64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尚未审结</w:t>
            </w:r>
          </w:p>
        </w:tc>
        <w:tc>
          <w:tcPr>
            <w:tcW w:w="61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总计</w:t>
            </w:r>
          </w:p>
        </w:tc>
        <w:tc>
          <w:tcPr>
            <w:tcW w:w="57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结果维持</w:t>
            </w:r>
          </w:p>
        </w:tc>
        <w:tc>
          <w:tcPr>
            <w:tcW w:w="63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结果纠正</w:t>
            </w:r>
          </w:p>
        </w:tc>
        <w:tc>
          <w:tcPr>
            <w:tcW w:w="63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其他结果</w:t>
            </w:r>
          </w:p>
        </w:tc>
        <w:tc>
          <w:tcPr>
            <w:tcW w:w="63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尚未审结</w:t>
            </w:r>
          </w:p>
        </w:tc>
        <w:tc>
          <w:tcPr>
            <w:tcW w:w="68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7" w:hRule="atLeast"/>
        </w:trPr>
        <w:tc>
          <w:tcPr>
            <w:tcW w:w="75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1"/>
                <w:szCs w:val="21"/>
              </w:rPr>
              <w:t>0</w:t>
            </w:r>
          </w:p>
        </w:tc>
        <w:tc>
          <w:tcPr>
            <w:tcW w:w="60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1"/>
                <w:szCs w:val="21"/>
              </w:rPr>
              <w:t>0</w:t>
            </w:r>
          </w:p>
        </w:tc>
        <w:tc>
          <w:tcPr>
            <w:tcW w:w="64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1"/>
                <w:szCs w:val="21"/>
              </w:rPr>
              <w:t>0</w:t>
            </w:r>
          </w:p>
        </w:tc>
        <w:tc>
          <w:tcPr>
            <w:tcW w:w="67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1"/>
                <w:szCs w:val="21"/>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4"/>
                <w:szCs w:val="24"/>
              </w:rPr>
            </w:pPr>
            <w:r>
              <w:rPr>
                <w:rFonts w:hint="eastAsia" w:ascii="宋体" w:hAnsi="宋体" w:eastAsia="宋体" w:cs="宋体"/>
                <w:i w:val="0"/>
                <w:iCs w:val="0"/>
                <w:caps w:val="0"/>
                <w:color w:val="000000"/>
                <w:spacing w:val="0"/>
                <w:sz w:val="21"/>
                <w:szCs w:val="21"/>
              </w:rPr>
              <w:t>0</w:t>
            </w:r>
          </w:p>
        </w:tc>
        <w:tc>
          <w:tcPr>
            <w:tcW w:w="61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5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4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57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3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3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33"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c>
          <w:tcPr>
            <w:tcW w:w="68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sz w:val="24"/>
                <w:szCs w:val="24"/>
              </w:rPr>
            </w:pPr>
            <w:r>
              <w:rPr>
                <w:rFonts w:hint="eastAsia" w:ascii="宋体" w:hAnsi="宋体" w:eastAsia="宋体" w:cs="宋体"/>
                <w:i w:val="0"/>
                <w:iCs w:val="0"/>
                <w:caps w:val="0"/>
                <w:color w:val="000000"/>
                <w:spacing w:val="0"/>
                <w:sz w:val="18"/>
                <w:szCs w:val="18"/>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  </w:t>
      </w:r>
      <w:r>
        <w:rPr>
          <w:rStyle w:val="5"/>
          <w:rFonts w:hint="eastAsia" w:ascii="楷体" w:hAnsi="楷体" w:eastAsia="楷体" w:cs="楷体"/>
          <w:b/>
          <w:bCs/>
          <w:i w:val="0"/>
          <w:iCs w:val="0"/>
          <w:caps w:val="0"/>
          <w:color w:val="000000"/>
          <w:spacing w:val="0"/>
          <w:sz w:val="32"/>
          <w:szCs w:val="32"/>
        </w:rPr>
        <w:t> （一）主要问题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一是部分信息公开时效性差。部分需要主动公开的事项信息发布不及时,公开时间和实际情况不符,致使公众难以在第一时间了解相关政府工作情况,也造成了信息公开申请数量增加。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二是部分信息内容专业性强。有些信息内容过于专业，不便于公众理解。部分政策出台后存在缺少解读文件，政策与解读文件没有相互关联，解读文件发布时间滞后，解读内容过于笼统，解读形式过于单一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   </w:t>
      </w:r>
      <w:r>
        <w:rPr>
          <w:rStyle w:val="5"/>
          <w:rFonts w:hint="eastAsia" w:ascii="楷体" w:hAnsi="楷体" w:eastAsia="楷体" w:cs="楷体"/>
          <w:b/>
          <w:bCs/>
          <w:i w:val="0"/>
          <w:iCs w:val="0"/>
          <w:caps w:val="0"/>
          <w:color w:val="000000"/>
          <w:spacing w:val="0"/>
          <w:sz w:val="32"/>
          <w:szCs w:val="32"/>
        </w:rPr>
        <w:t>（二）改进措施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一是完善公开制度，坚持信息公开。建立健全各项公开制度，进一步完善民主决策、民主管理、民主监督的各项措施，为确保政务公开问题整改及时高效，安排专人对政府网站进行全面检查，及时补缺补差，将缺少的内容及时补充上传，信息不规范的内容及时修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仿宋_GB2312" w:hAnsi="微软雅黑" w:eastAsia="仿宋_GB2312" w:cs="仿宋_GB2312"/>
          <w:i w:val="0"/>
          <w:iCs w:val="0"/>
          <w:caps w:val="0"/>
          <w:color w:val="000000"/>
          <w:spacing w:val="0"/>
          <w:sz w:val="32"/>
          <w:szCs w:val="32"/>
        </w:rPr>
      </w:pPr>
      <w:r>
        <w:rPr>
          <w:rFonts w:hint="eastAsia" w:ascii="仿宋_GB2312" w:hAnsi="微软雅黑" w:eastAsia="仿宋_GB2312" w:cs="仿宋_GB2312"/>
          <w:i w:val="0"/>
          <w:iCs w:val="0"/>
          <w:caps w:val="0"/>
          <w:color w:val="000000"/>
          <w:spacing w:val="0"/>
          <w:sz w:val="32"/>
          <w:szCs w:val="32"/>
        </w:rPr>
        <w:t>二是完善公开方式，拓宽公开渠道。在可公开事项上做到具体、详细，在原有宣传橱窗、明白纸、政府热线等传统公开方式的基础上，探索建立公众举报、建议机制，设立咨询电话和意见箱，广泛听取群众意见，延长部门政策文件的征求意见稿公开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仿宋_GB2312" w:hAnsi="微软雅黑" w:eastAsia="仿宋_GB2312" w:cs="仿宋_GB2312"/>
          <w:i w:val="0"/>
          <w:iCs w:val="0"/>
          <w:caps w:val="0"/>
          <w:color w:val="000000"/>
          <w:spacing w:val="0"/>
          <w:sz w:val="32"/>
          <w:szCs w:val="32"/>
          <w:lang w:eastAsia="zh-CN"/>
        </w:rPr>
      </w:pPr>
      <w:r>
        <w:rPr>
          <w:rFonts w:hint="eastAsia" w:ascii="仿宋_GB2312" w:hAnsi="微软雅黑" w:eastAsia="仿宋_GB2312" w:cs="仿宋_GB2312"/>
          <w:i w:val="0"/>
          <w:iCs w:val="0"/>
          <w:caps w:val="0"/>
          <w:color w:val="000000"/>
          <w:spacing w:val="0"/>
          <w:sz w:val="32"/>
          <w:szCs w:val="32"/>
        </w:rPr>
        <w:t>三是提升公布质量，加大督查力度。对发布内容进行检查，落实三审制度，确保公开内容准备且符合规定，不包含个人隐私信息。每季度组织专人进行全面检查，发现问题，及时指出，及时改正</w:t>
      </w:r>
      <w:r>
        <w:rPr>
          <w:rFonts w:hint="eastAsia" w:ascii="仿宋_GB2312" w:hAnsi="微软雅黑" w:eastAsia="仿宋_GB2312" w:cs="仿宋_GB2312"/>
          <w:i w:val="0"/>
          <w:iCs w:val="0"/>
          <w:caps w:val="0"/>
          <w:color w:val="000000"/>
          <w:spacing w:val="0"/>
          <w:sz w:val="32"/>
          <w:szCs w:val="32"/>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000000"/>
          <w:spacing w:val="0"/>
          <w:sz w:val="32"/>
          <w:szCs w:val="32"/>
        </w:rPr>
        <w:t>    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eastAsia" w:ascii="微软雅黑" w:hAnsi="微软雅黑" w:eastAsia="微软雅黑" w:cs="微软雅黑"/>
          <w:i w:val="0"/>
          <w:iCs w:val="0"/>
          <w:caps w:val="0"/>
          <w:color w:val="000000"/>
          <w:spacing w:val="0"/>
          <w:sz w:val="24"/>
          <w:szCs w:val="24"/>
        </w:rPr>
      </w:pPr>
      <w:r>
        <w:rPr>
          <w:rFonts w:hint="eastAsia" w:ascii="仿宋_GB2312" w:hAnsi="微软雅黑" w:eastAsia="仿宋_GB2312" w:cs="仿宋_GB2312"/>
          <w:i w:val="0"/>
          <w:iCs w:val="0"/>
          <w:caps w:val="0"/>
          <w:color w:val="000000"/>
          <w:spacing w:val="0"/>
          <w:sz w:val="32"/>
          <w:szCs w:val="32"/>
        </w:rPr>
        <w:t>    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1NDBjNzljYmU5MzQ3MWFmNTI0YzE4MWZiNTg4YzgifQ=="/>
  </w:docVars>
  <w:rsids>
    <w:rsidRoot w:val="00000000"/>
    <w:rsid w:val="08965F97"/>
    <w:rsid w:val="12402633"/>
    <w:rsid w:val="2BD12DF4"/>
    <w:rsid w:val="3B114B85"/>
    <w:rsid w:val="780D40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2648</Words>
  <Characters>2756</Characters>
  <Lines>0</Lines>
  <Paragraphs>0</Paragraphs>
  <TotalTime>8</TotalTime>
  <ScaleCrop>false</ScaleCrop>
  <LinksUpToDate>false</LinksUpToDate>
  <CharactersWithSpaces>2785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2023-01-17T07:53:00Z</dcterms:created>
  <dc:creator>Administrator</dc:creator>
  <cp:lastModifiedBy>是小董同学呀</cp:lastModifiedBy>
  <dcterms:modified xsi:type="dcterms:W3CDTF">2023-02-02T00:59:24Z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761EC518F0334B728D4931CD1490E4B9</vt:lpwstr>
  </property>
</Properties>
</file>