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淄博经济开发区管理委员会应急管理局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2020年政府信息公开年度报告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default" w:ascii="Times New Roman" w:hAnsi="Times New Roman" w:eastAsia="仿宋_GB2312" w:cs="Times New Roman"/>
          <w:color w:val="auto"/>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color w:val="000000"/>
          <w:kern w:val="0"/>
          <w:sz w:val="32"/>
          <w:szCs w:val="32"/>
          <w:highlight w:val="yellow"/>
        </w:rPr>
      </w:pPr>
      <w:r>
        <w:rPr>
          <w:rFonts w:hint="default" w:ascii="Times New Roman" w:hAnsi="Times New Roman" w:eastAsia="仿宋_GB2312" w:cs="Times New Roman"/>
          <w:color w:val="000000" w:themeColor="text1"/>
          <w:kern w:val="0"/>
          <w:sz w:val="32"/>
          <w:szCs w:val="32"/>
          <w14:textFill>
            <w14:solidFill>
              <w14:schemeClr w14:val="tx1"/>
            </w14:solidFill>
          </w14:textFill>
        </w:rPr>
        <w:t>报告是根据新修订的《中华人民共和国政府信息公开条例》、《国务院办公厅政府信息与政务公开办公室关于政府信息公开工作年度报告有关事项的通知》（国办公开办函〔2019〕60号）和省、市有关工作要求，编制并向社会公开。</w:t>
      </w:r>
      <w:r>
        <w:rPr>
          <w:rFonts w:hint="default" w:ascii="Times New Roman" w:hAnsi="Times New Roman" w:eastAsia="仿宋_GB2312" w:cs="Times New Roman"/>
          <w:color w:val="000000"/>
          <w:kern w:val="0"/>
          <w:sz w:val="32"/>
          <w:szCs w:val="32"/>
        </w:rPr>
        <w:t>本报告所列数据的统计</w:t>
      </w:r>
      <w:r>
        <w:rPr>
          <w:rFonts w:hint="default" w:ascii="Times New Roman" w:hAnsi="Times New Roman" w:eastAsia="仿宋_GB2312" w:cs="Times New Roman"/>
          <w:color w:val="000000"/>
          <w:kern w:val="0"/>
          <w:sz w:val="32"/>
          <w:szCs w:val="32"/>
          <w:highlight w:val="none"/>
        </w:rPr>
        <w:t>时限自2020年1月1日至2020年12月31日</w:t>
      </w:r>
      <w:r>
        <w:rPr>
          <w:rFonts w:hint="default" w:ascii="Times New Roman" w:hAnsi="Times New Roman" w:eastAsia="仿宋_GB2312" w:cs="Times New Roman"/>
          <w:i w:val="0"/>
          <w:iCs w:val="0"/>
          <w:caps w:val="0"/>
          <w:color w:val="000000"/>
          <w:spacing w:val="0"/>
          <w:sz w:val="32"/>
          <w:szCs w:val="32"/>
          <w:highlight w:val="none"/>
          <w:shd w:val="clear" w:fill="FFFFFF"/>
        </w:rPr>
        <w:t>。本报告可在淄博经济开发区门户网(http://www.zbjkq.gov.cn)下载。</w:t>
      </w:r>
      <w:r>
        <w:rPr>
          <w:rFonts w:hint="default" w:ascii="Times New Roman" w:hAnsi="Times New Roman" w:eastAsia="仿宋_GB2312" w:cs="Times New Roman"/>
          <w:color w:val="000000"/>
          <w:kern w:val="0"/>
          <w:sz w:val="32"/>
          <w:szCs w:val="32"/>
          <w:highlight w:val="none"/>
        </w:rPr>
        <w:t>如对本报告有任何疑问，请与</w:t>
      </w:r>
      <w:r>
        <w:rPr>
          <w:rFonts w:hint="default" w:ascii="Times New Roman" w:hAnsi="Times New Roman" w:eastAsia="仿宋_GB2312" w:cs="Times New Roman"/>
          <w:sz w:val="32"/>
          <w:szCs w:val="32"/>
          <w:highlight w:val="none"/>
        </w:rPr>
        <w:t>淄博经济开发区管理委员会应急管理局</w:t>
      </w:r>
      <w:r>
        <w:rPr>
          <w:rFonts w:hint="default" w:ascii="Times New Roman" w:hAnsi="Times New Roman" w:eastAsia="仿宋_GB2312" w:cs="Times New Roman"/>
          <w:color w:val="000000"/>
          <w:kern w:val="0"/>
          <w:sz w:val="32"/>
          <w:szCs w:val="32"/>
          <w:highlight w:val="none"/>
        </w:rPr>
        <w:t>联系</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（地址：</w:t>
      </w:r>
      <w:r>
        <w:rPr>
          <w:rFonts w:hint="default" w:ascii="Times New Roman" w:hAnsi="Times New Roman" w:eastAsia="仿宋_GB2312" w:cs="Times New Roman"/>
          <w:color w:val="000000"/>
          <w:kern w:val="0"/>
          <w:sz w:val="32"/>
          <w:szCs w:val="32"/>
          <w:highlight w:val="none"/>
          <w:lang w:eastAsia="zh-CN"/>
        </w:rPr>
        <w:t>张店区傅家镇</w:t>
      </w:r>
      <w:r>
        <w:rPr>
          <w:rFonts w:hint="default" w:ascii="Times New Roman" w:hAnsi="Times New Roman" w:eastAsia="仿宋_GB2312" w:cs="Times New Roman"/>
          <w:color w:val="000000"/>
          <w:kern w:val="0"/>
          <w:sz w:val="32"/>
          <w:szCs w:val="32"/>
          <w:highlight w:val="none"/>
          <w:lang w:val="en-US" w:eastAsia="zh-CN"/>
        </w:rPr>
        <w:t>煜丽大厦3楼</w:t>
      </w:r>
      <w:r>
        <w:rPr>
          <w:rFonts w:hint="default" w:ascii="Times New Roman" w:hAnsi="Times New Roman" w:eastAsia="仿宋_GB2312" w:cs="Times New Roman"/>
          <w:color w:val="000000"/>
          <w:kern w:val="0"/>
          <w:sz w:val="32"/>
          <w:szCs w:val="32"/>
          <w:highlight w:val="none"/>
        </w:rPr>
        <w:t>；邮编：</w:t>
      </w:r>
      <w:r>
        <w:rPr>
          <w:rFonts w:hint="default" w:ascii="Times New Roman" w:hAnsi="Times New Roman" w:eastAsia="仿宋_GB2312" w:cs="Times New Roman"/>
          <w:color w:val="000000"/>
          <w:kern w:val="0"/>
          <w:sz w:val="32"/>
          <w:szCs w:val="32"/>
          <w:highlight w:val="none"/>
          <w:lang w:val="en-US" w:eastAsia="zh-CN"/>
        </w:rPr>
        <w:t>255300</w:t>
      </w:r>
      <w:r>
        <w:rPr>
          <w:rFonts w:hint="default" w:ascii="Times New Roman" w:hAnsi="Times New Roman" w:eastAsia="仿宋_GB2312" w:cs="Times New Roman"/>
          <w:color w:val="000000"/>
          <w:kern w:val="0"/>
          <w:sz w:val="32"/>
          <w:szCs w:val="32"/>
          <w:highlight w:val="none"/>
        </w:rPr>
        <w:t>；联系电话：</w:t>
      </w:r>
      <w:r>
        <w:rPr>
          <w:rFonts w:hint="default" w:ascii="Times New Roman" w:hAnsi="Times New Roman" w:eastAsia="仿宋_GB2312" w:cs="Times New Roman"/>
          <w:color w:val="000000"/>
          <w:kern w:val="0"/>
          <w:sz w:val="32"/>
          <w:szCs w:val="32"/>
          <w:highlight w:val="none"/>
          <w:lang w:val="en-US" w:eastAsia="zh-CN"/>
        </w:rPr>
        <w:t>0533-7878116</w:t>
      </w:r>
      <w:r>
        <w:rPr>
          <w:rFonts w:hint="default" w:ascii="Times New Roman" w:hAnsi="Times New Roman" w:eastAsia="仿宋_GB2312" w:cs="Times New Roman"/>
          <w:color w:val="000000"/>
          <w:kern w:val="0"/>
          <w:sz w:val="32"/>
          <w:szCs w:val="32"/>
          <w:highlight w:val="none"/>
        </w:rPr>
        <w:t>；传真：</w:t>
      </w:r>
      <w:r>
        <w:rPr>
          <w:rFonts w:hint="default" w:ascii="Times New Roman" w:hAnsi="Times New Roman" w:eastAsia="仿宋_GB2312" w:cs="Times New Roman"/>
          <w:color w:val="000000"/>
          <w:kern w:val="0"/>
          <w:sz w:val="32"/>
          <w:szCs w:val="32"/>
          <w:highlight w:val="none"/>
          <w:lang w:val="en-US" w:eastAsia="zh-CN"/>
        </w:rPr>
        <w:t>05337878116</w:t>
      </w:r>
      <w:r>
        <w:rPr>
          <w:rFonts w:hint="default" w:ascii="Times New Roman" w:hAnsi="Times New Roman" w:eastAsia="仿宋_GB2312" w:cs="Times New Roman"/>
          <w:color w:val="000000"/>
          <w:kern w:val="0"/>
          <w:sz w:val="32"/>
          <w:szCs w:val="32"/>
          <w:highlight w:val="none"/>
        </w:rPr>
        <w:t>；电子信箱</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auto"/>
          <w:kern w:val="0"/>
          <w:sz w:val="32"/>
          <w:szCs w:val="32"/>
          <w:highlight w:val="none"/>
          <w:u w:val="none"/>
          <w:lang w:val="en-US" w:eastAsia="zh-CN"/>
        </w:rPr>
        <w:fldChar w:fldCharType="begin"/>
      </w:r>
      <w:r>
        <w:rPr>
          <w:rFonts w:hint="default" w:ascii="Times New Roman" w:hAnsi="Times New Roman" w:eastAsia="仿宋_GB2312" w:cs="Times New Roman"/>
          <w:color w:val="auto"/>
          <w:kern w:val="0"/>
          <w:sz w:val="32"/>
          <w:szCs w:val="32"/>
          <w:highlight w:val="none"/>
          <w:u w:val="none"/>
          <w:lang w:val="en-US" w:eastAsia="zh-CN"/>
        </w:rPr>
        <w:instrText xml:space="preserve"> HYPERLINK "mailto:zibojingjikaifaquanquanhuanbaoju@zb.shandong.cn）。" </w:instrText>
      </w:r>
      <w:r>
        <w:rPr>
          <w:rFonts w:hint="default" w:ascii="Times New Roman" w:hAnsi="Times New Roman" w:eastAsia="仿宋_GB2312" w:cs="Times New Roman"/>
          <w:color w:val="auto"/>
          <w:kern w:val="0"/>
          <w:sz w:val="32"/>
          <w:szCs w:val="32"/>
          <w:highlight w:val="none"/>
          <w:u w:val="none"/>
          <w:lang w:val="en-US" w:eastAsia="zh-CN"/>
        </w:rPr>
        <w:fldChar w:fldCharType="separate"/>
      </w:r>
      <w:r>
        <w:rPr>
          <w:rStyle w:val="9"/>
          <w:rFonts w:hint="default" w:ascii="Times New Roman" w:hAnsi="Times New Roman" w:eastAsia="仿宋_GB2312" w:cs="Times New Roman"/>
          <w:color w:val="auto"/>
          <w:kern w:val="0"/>
          <w:sz w:val="32"/>
          <w:szCs w:val="32"/>
          <w:highlight w:val="none"/>
          <w:u w:val="none"/>
          <w:lang w:val="en-US" w:eastAsia="zh-CN"/>
        </w:rPr>
        <w:t>zibojingjikaifaquanquanhuanbaoju@zb.shandong.cn</w:t>
      </w:r>
      <w:r>
        <w:rPr>
          <w:rStyle w:val="9"/>
          <w:rFonts w:hint="default"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lang w:val="en-US" w:eastAsia="zh-CN"/>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黑体" w:hAnsi="黑体" w:eastAsia="黑体" w:cs="宋体"/>
          <w:color w:val="000000"/>
          <w:kern w:val="0"/>
          <w:sz w:val="32"/>
          <w:szCs w:val="32"/>
          <w:lang w:val="en-US" w:eastAsia="zh-CN" w:bidi="ar-SA"/>
        </w:rPr>
      </w:pPr>
      <w:r>
        <w:rPr>
          <w:rFonts w:hint="default" w:ascii="Times New Roman" w:hAnsi="Times New Roman" w:eastAsia="仿宋_GB2312" w:cs="Times New Roman"/>
          <w:sz w:val="32"/>
          <w:szCs w:val="32"/>
        </w:rPr>
        <w:t> </w:t>
      </w:r>
      <w:r>
        <w:rPr>
          <w:rFonts w:hint="default" w:ascii="黑体" w:hAnsi="黑体" w:eastAsia="黑体" w:cs="宋体"/>
          <w:color w:val="000000"/>
          <w:kern w:val="0"/>
          <w:sz w:val="32"/>
          <w:szCs w:val="32"/>
          <w:lang w:val="en-US" w:eastAsia="zh-CN" w:bidi="ar-SA"/>
        </w:rPr>
        <w:t>一、总体情况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年，淄博经济开发区</w:t>
      </w:r>
      <w:r>
        <w:rPr>
          <w:rFonts w:hint="default" w:ascii="Times New Roman" w:hAnsi="Times New Roman" w:eastAsia="仿宋_GB2312" w:cs="Times New Roman"/>
          <w:sz w:val="32"/>
          <w:szCs w:val="32"/>
          <w:lang w:eastAsia="zh-CN"/>
        </w:rPr>
        <w:t>应急管理</w:t>
      </w:r>
      <w:r>
        <w:rPr>
          <w:rFonts w:hint="default" w:ascii="Times New Roman" w:hAnsi="Times New Roman" w:eastAsia="仿宋_GB2312" w:cs="Times New Roman"/>
          <w:sz w:val="32"/>
          <w:szCs w:val="32"/>
        </w:rPr>
        <w:t>局坚持以习近平新时代中国特色社会主义思想为指导，立足安全生产和</w:t>
      </w:r>
      <w:r>
        <w:rPr>
          <w:rFonts w:hint="default" w:ascii="Times New Roman" w:hAnsi="Times New Roman" w:eastAsia="仿宋_GB2312" w:cs="Times New Roman"/>
          <w:sz w:val="32"/>
          <w:szCs w:val="32"/>
          <w:lang w:eastAsia="zh-CN"/>
        </w:rPr>
        <w:t>应急</w:t>
      </w:r>
      <w:r>
        <w:rPr>
          <w:rFonts w:hint="default" w:ascii="Times New Roman" w:hAnsi="Times New Roman" w:eastAsia="仿宋_GB2312" w:cs="Times New Roman"/>
          <w:sz w:val="32"/>
          <w:szCs w:val="32"/>
        </w:rPr>
        <w:t>工作实际，及时、准确地向社会公开政府信息，保障公民知情权，参与权和监督权，把推进政府信息公开与转变政府职能、规范权力运行、促进依法行政紧密结合起来，政府信息公开工</w:t>
      </w:r>
      <w:r>
        <w:rPr>
          <w:rFonts w:hint="default" w:ascii="Times New Roman" w:hAnsi="Times New Roman" w:eastAsia="仿宋_GB2312" w:cs="Times New Roman"/>
          <w:sz w:val="32"/>
          <w:szCs w:val="32"/>
          <w:highlight w:val="none"/>
        </w:rPr>
        <w:t>作稳步推进，取得了良好效果。</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主动公开内容。</w:t>
      </w:r>
      <w:r>
        <w:rPr>
          <w:rFonts w:hint="default"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年度，主动公开行政许可类信息</w:t>
      </w:r>
      <w:r>
        <w:rPr>
          <w:rFonts w:hint="default" w:ascii="Times New Roman" w:hAnsi="Times New Roman" w:eastAsia="仿宋_GB2312" w:cs="Times New Roman"/>
          <w:sz w:val="32"/>
          <w:szCs w:val="32"/>
          <w:highlight w:val="none"/>
          <w:lang w:val="en-US" w:eastAsia="zh-CN"/>
        </w:rPr>
        <w:t>37</w:t>
      </w:r>
      <w:r>
        <w:rPr>
          <w:rFonts w:hint="default" w:ascii="Times New Roman" w:hAnsi="Times New Roman" w:eastAsia="仿宋_GB2312" w:cs="Times New Roman"/>
          <w:sz w:val="32"/>
          <w:szCs w:val="32"/>
          <w:highlight w:val="none"/>
        </w:rPr>
        <w:t>条，行政处罚类信息</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rightChars="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drawing>
          <wp:inline distT="0" distB="0" distL="114300" distR="114300">
            <wp:extent cx="5574665" cy="2604135"/>
            <wp:effectExtent l="0" t="0" r="3175" b="1905"/>
            <wp:docPr id="1" name="图片 1" descr="1310759a1b2199a3457d0cafb777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10759a1b2199a3457d0cafb777ce6"/>
                    <pic:cNvPicPr>
                      <a:picLocks noChangeAspect="1"/>
                    </pic:cNvPicPr>
                  </pic:nvPicPr>
                  <pic:blipFill>
                    <a:blip r:embed="rId4"/>
                    <a:stretch>
                      <a:fillRect/>
                    </a:stretch>
                  </pic:blipFill>
                  <pic:spPr>
                    <a:xfrm>
                      <a:off x="0" y="0"/>
                      <a:ext cx="5574665" cy="260413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（二）依申请公开情况。</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年度，未收到信息公开申请受理和通过电子邮件提交的信息公开申请受理。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（三）政府信息管理情况。按照区管委会信息公开工作的要求，针对经开区</w:t>
      </w:r>
      <w:r>
        <w:rPr>
          <w:rFonts w:hint="default" w:ascii="Times New Roman" w:hAnsi="Times New Roman" w:eastAsia="仿宋_GB2312" w:cs="Times New Roman"/>
          <w:sz w:val="32"/>
          <w:szCs w:val="32"/>
          <w:lang w:eastAsia="zh-CN"/>
        </w:rPr>
        <w:t>应急</w:t>
      </w:r>
      <w:r>
        <w:rPr>
          <w:rFonts w:hint="default" w:ascii="Times New Roman" w:hAnsi="Times New Roman" w:eastAsia="仿宋_GB2312" w:cs="Times New Roman"/>
          <w:sz w:val="32"/>
          <w:szCs w:val="32"/>
        </w:rPr>
        <w:t>局工作实际，加强政务公开组织领导，各科室、各单位认真贯彻落实目标任务，严格发布信息流程，在管委会网站及时录入各类公开信息。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政府信息公开平台、机构建设和人员情况。信息公开平台为区管委会网站。健全完善了由主要领导负责的组织推进机制，要求明确信息公开工作的承办人，建立了相应的目标责任制，开展了信息梳理工作，做到了单位有领导分管，工作有机构负责，工作责任有人落实，形成了政府信息工作内部运转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五）监督保障情况。</w:t>
      </w:r>
      <w:r>
        <w:rPr>
          <w:rFonts w:hint="default" w:ascii="Times New Roman" w:hAnsi="Times New Roman" w:eastAsia="仿宋_GB2312" w:cs="Times New Roman"/>
          <w:sz w:val="32"/>
          <w:szCs w:val="32"/>
          <w:shd w:val="clear" w:fill="FFFFFF"/>
        </w:rPr>
        <w:t>建立政府信息监督考核保障机制，遵循“谁公开，谁审查，谁负责”的原则，保证政府信息公开的安全。建立社会评议制度，对法定公开内容进行主动公开，接受社会群众监督，对评议中反馈的问题和建议，要梳理汇总，逐条分析，建立解决和应对长效机制，并将评议结果整改措施及时进行反馈。</w:t>
      </w:r>
    </w:p>
    <w:p>
      <w:pPr>
        <w:widowControl/>
        <w:shd w:val="clear" w:color="auto" w:fill="FFFFFF"/>
        <w:ind w:firstLine="640" w:firstLineChars="20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二、主动公开政府信息情况</w:t>
      </w:r>
    </w:p>
    <w:p>
      <w:pPr>
        <w:widowControl/>
        <w:shd w:val="clear" w:color="auto" w:fill="FFFFFF"/>
        <w:jc w:val="left"/>
        <w:rPr>
          <w:rFonts w:ascii="微软雅黑" w:hAnsi="微软雅黑" w:eastAsia="微软雅黑" w:cs="宋体"/>
          <w:color w:val="000000"/>
          <w:kern w:val="0"/>
          <w:sz w:val="27"/>
          <w:szCs w:val="27"/>
        </w:rPr>
      </w:pPr>
    </w:p>
    <w:tbl>
      <w:tblPr>
        <w:tblStyle w:val="5"/>
        <w:tblW w:w="9957" w:type="dxa"/>
        <w:jc w:val="center"/>
        <w:tblLayout w:type="autofit"/>
        <w:tblCellMar>
          <w:top w:w="0" w:type="dxa"/>
          <w:left w:w="0" w:type="dxa"/>
          <w:bottom w:w="0" w:type="dxa"/>
          <w:right w:w="0" w:type="dxa"/>
        </w:tblCellMar>
      </w:tblPr>
      <w:tblGrid>
        <w:gridCol w:w="3207"/>
        <w:gridCol w:w="2649"/>
        <w:gridCol w:w="2709"/>
        <w:gridCol w:w="1392"/>
      </w:tblGrid>
      <w:tr>
        <w:tblPrEx>
          <w:tblCellMar>
            <w:top w:w="0" w:type="dxa"/>
            <w:left w:w="0" w:type="dxa"/>
            <w:bottom w:w="0" w:type="dxa"/>
            <w:right w:w="0" w:type="dxa"/>
          </w:tblCellMar>
        </w:tblPrEx>
        <w:trPr>
          <w:trHeight w:val="473" w:hRule="atLeast"/>
          <w:jc w:val="center"/>
        </w:trPr>
        <w:tc>
          <w:tcPr>
            <w:tcW w:w="9957"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第二十条第（一）项</w:t>
            </w:r>
          </w:p>
        </w:tc>
      </w:tr>
      <w:tr>
        <w:tblPrEx>
          <w:tblCellMar>
            <w:top w:w="0" w:type="dxa"/>
            <w:left w:w="0" w:type="dxa"/>
            <w:bottom w:w="0" w:type="dxa"/>
            <w:right w:w="0" w:type="dxa"/>
          </w:tblCellMar>
        </w:tblPrEx>
        <w:trPr>
          <w:trHeight w:val="550"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本年新制作数量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公开数量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对外公开</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总数量</w:t>
            </w:r>
          </w:p>
        </w:tc>
      </w:tr>
      <w:tr>
        <w:tblPrEx>
          <w:tblCellMar>
            <w:top w:w="0" w:type="dxa"/>
            <w:left w:w="0" w:type="dxa"/>
            <w:bottom w:w="0" w:type="dxa"/>
            <w:right w:w="0" w:type="dxa"/>
          </w:tblCellMar>
        </w:tblPrEx>
        <w:trPr>
          <w:trHeight w:val="55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规章</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5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规范性文件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39"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第二十条第（五）项</w:t>
            </w:r>
          </w:p>
        </w:tc>
      </w:tr>
      <w:tr>
        <w:tblPrEx>
          <w:tblCellMar>
            <w:top w:w="0" w:type="dxa"/>
            <w:left w:w="0" w:type="dxa"/>
            <w:bottom w:w="0" w:type="dxa"/>
            <w:right w:w="0" w:type="dxa"/>
          </w:tblCellMar>
        </w:tblPrEx>
        <w:trPr>
          <w:trHeight w:val="62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544"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行政许可</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47</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eastAsia="zh-CN"/>
              </w:rPr>
              <w:t>减</w:t>
            </w:r>
            <w:r>
              <w:rPr>
                <w:rFonts w:hint="eastAsia" w:ascii="Times New Roman" w:hAnsi="Times New Roman" w:eastAsia="宋体" w:cs="Times New Roman"/>
                <w:kern w:val="0"/>
                <w:sz w:val="20"/>
                <w:szCs w:val="20"/>
                <w:lang w:val="en-US" w:eastAsia="zh-CN"/>
              </w:rPr>
              <w:t>10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37</w:t>
            </w:r>
          </w:p>
        </w:tc>
      </w:tr>
      <w:tr>
        <w:tblPrEx>
          <w:tblCellMar>
            <w:top w:w="0" w:type="dxa"/>
            <w:left w:w="0" w:type="dxa"/>
            <w:bottom w:w="0" w:type="dxa"/>
            <w:right w:w="0" w:type="dxa"/>
          </w:tblCellMar>
        </w:tblPrEx>
        <w:trPr>
          <w:trHeight w:val="536"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其他对外管理服务事项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08"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第二十条第（六）项</w:t>
            </w:r>
          </w:p>
        </w:tc>
      </w:tr>
      <w:tr>
        <w:tblPrEx>
          <w:tblCellMar>
            <w:top w:w="0" w:type="dxa"/>
            <w:left w:w="0" w:type="dxa"/>
            <w:bottom w:w="0" w:type="dxa"/>
            <w:right w:w="0" w:type="dxa"/>
          </w:tblCellMar>
        </w:tblPrEx>
        <w:trPr>
          <w:trHeight w:val="481"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行政处罚</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14</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eastAsia="zh-CN"/>
              </w:rPr>
              <w:t>减</w:t>
            </w:r>
            <w:r>
              <w:rPr>
                <w:rFonts w:hint="eastAsia" w:ascii="Times New Roman" w:hAnsi="Times New Roman" w:eastAsia="宋体" w:cs="Times New Roman"/>
                <w:kern w:val="0"/>
                <w:sz w:val="20"/>
                <w:szCs w:val="20"/>
                <w:lang w:val="en-US" w:eastAsia="zh-CN"/>
              </w:rPr>
              <w:t>12</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2</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行政强制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71"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第二十条第（八）项</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行政事业性收费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87"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第二十条第（九）项</w:t>
            </w:r>
          </w:p>
        </w:tc>
      </w:tr>
      <w:tr>
        <w:tblPrEx>
          <w:tblCellMar>
            <w:top w:w="0" w:type="dxa"/>
            <w:left w:w="0" w:type="dxa"/>
            <w:bottom w:w="0" w:type="dxa"/>
            <w:right w:w="0" w:type="dxa"/>
          </w:tblCellMar>
        </w:tblPrEx>
        <w:trPr>
          <w:trHeight w:val="40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采购总金额</w:t>
            </w:r>
          </w:p>
        </w:tc>
      </w:tr>
      <w:tr>
        <w:tblPrEx>
          <w:tblCellMar>
            <w:top w:w="0" w:type="dxa"/>
            <w:left w:w="0" w:type="dxa"/>
            <w:bottom w:w="0" w:type="dxa"/>
            <w:right w:w="0" w:type="dxa"/>
          </w:tblCellMar>
        </w:tblPrEx>
        <w:trPr>
          <w:trHeight w:val="42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政府集中采购</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r>
              <w:rPr>
                <w:rFonts w:hint="eastAsia" w:ascii="Times New Roman" w:hAnsi="Times New Roman" w:eastAsia="宋体" w:cs="Times New Roman"/>
                <w:kern w:val="0"/>
                <w:sz w:val="20"/>
                <w:szCs w:val="20"/>
              </w:rPr>
              <w:t>万</w:t>
            </w:r>
          </w:p>
        </w:tc>
      </w:tr>
    </w:tbl>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rPr>
          <w:rFonts w:hint="eastAsia" w:ascii="微软雅黑" w:hAnsi="微软雅黑" w:eastAsia="微软雅黑" w:cs="宋体"/>
          <w:color w:val="000000"/>
          <w:kern w:val="0"/>
          <w:sz w:val="27"/>
          <w:szCs w:val="27"/>
        </w:rPr>
      </w:pPr>
    </w:p>
    <w:p>
      <w:pPr>
        <w:widowControl/>
        <w:shd w:val="clear" w:color="auto" w:fill="FFFFFF"/>
        <w:ind w:firstLine="640" w:firstLineChars="200"/>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三、收到和处理政府信息公开申请情况</w:t>
      </w:r>
    </w:p>
    <w:tbl>
      <w:tblPr>
        <w:tblStyle w:val="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（本列数据的勾稽关系为：第一项加第二项之和，等于第三项加第四项之和）</w:t>
            </w:r>
          </w:p>
        </w:tc>
        <w:tc>
          <w:tcPr>
            <w:tcW w:w="4961" w:type="dxa"/>
            <w:gridSpan w:val="7"/>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restart"/>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20"/>
                <w:szCs w:val="21"/>
              </w:rPr>
              <w:t>自然人</w:t>
            </w:r>
          </w:p>
        </w:tc>
        <w:tc>
          <w:tcPr>
            <w:tcW w:w="3544"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法人或其他组织</w:t>
            </w:r>
          </w:p>
        </w:tc>
        <w:tc>
          <w:tcPr>
            <w:tcW w:w="850" w:type="dxa"/>
            <w:vMerge w:val="restart"/>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continue"/>
          </w:tcPr>
          <w:p>
            <w:pPr>
              <w:rPr>
                <w:rFonts w:ascii="Times New Roman" w:hAnsi="Times New Roman" w:eastAsia="宋体" w:cs="Times New Roman"/>
                <w:kern w:val="0"/>
                <w:sz w:val="18"/>
                <w:szCs w:val="18"/>
              </w:rPr>
            </w:pP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商业企业</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科研机构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社会公益组织</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法律服务机构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w:t>
            </w:r>
          </w:p>
        </w:tc>
        <w:tc>
          <w:tcPr>
            <w:tcW w:w="850" w:type="dxa"/>
            <w:vMerge w:val="continue"/>
            <w:vAlign w:val="center"/>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一、本年新收政府信息公开申请数量</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c>
          <w:tcPr>
            <w:tcW w:w="709" w:type="dxa"/>
            <w:vAlign w:val="center"/>
          </w:tcPr>
          <w:p>
            <w:pPr>
              <w:rPr>
                <w:rFonts w:ascii="Times New Roman" w:hAnsi="Times New Roman" w:eastAsia="宋体" w:cs="Times New Roman"/>
                <w:kern w:val="0"/>
                <w:sz w:val="20"/>
                <w:szCs w:val="21"/>
              </w:rPr>
            </w:pPr>
          </w:p>
        </w:tc>
        <w:tc>
          <w:tcPr>
            <w:tcW w:w="708"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850"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二、上年结转政府信息公开申请数量</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三、本年度办理结果</w:t>
            </w: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（一）予以公开</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（二）部分公开（区分处理的，只计这一情形，不计其他情形）</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（三）不予公开</w:t>
            </w: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1</w:t>
            </w:r>
            <w:r>
              <w:rPr>
                <w:rFonts w:hint="eastAsia" w:ascii="宋体" w:hAnsi="宋体" w:eastAsia="宋体" w:cs="Times New Roman"/>
                <w:kern w:val="0"/>
                <w:sz w:val="18"/>
                <w:szCs w:val="18"/>
              </w:rPr>
              <w:t>．属于国家秘密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宋体" w:hAnsi="宋体"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2．其他法律行政法规禁止公开</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3．危及“三安全一稳定”</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4．保护第三方合法权益</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5．属于三类内部事务信息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6．属于四类过程性信息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7．属于行政执法案卷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8．属于行政查询事项</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（四）无法提供</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1．本机关不掌握相关政府信息</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2．没有现成信息需要另行制作</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3．补正后申请内容仍不明确</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（五）</w:t>
            </w:r>
            <w:r>
              <w:rPr>
                <w:rFonts w:hint="eastAsia" w:ascii="宋体" w:hAnsi="宋体" w:eastAsia="宋体" w:cs="Times New Roman"/>
                <w:kern w:val="0"/>
                <w:sz w:val="18"/>
                <w:szCs w:val="18"/>
              </w:rPr>
              <w:t>不予处理</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1．信访举报投诉类申请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2．重复申请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3</w:t>
            </w:r>
            <w:r>
              <w:rPr>
                <w:rFonts w:hint="eastAsia" w:ascii="宋体" w:hAnsi="宋体" w:eastAsia="宋体" w:cs="Times New Roman"/>
                <w:kern w:val="0"/>
                <w:sz w:val="18"/>
                <w:szCs w:val="18"/>
              </w:rPr>
              <w:t>．要求提供公开出版物</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4．无正当理由大量反复申请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ind w:left="180" w:hanging="180" w:hangingChars="100"/>
              <w:rPr>
                <w:rFonts w:ascii="宋体" w:hAnsi="宋体" w:eastAsia="宋体" w:cs="Times New Roman"/>
                <w:kern w:val="0"/>
                <w:sz w:val="18"/>
                <w:szCs w:val="18"/>
              </w:rPr>
            </w:pPr>
            <w:r>
              <w:rPr>
                <w:rFonts w:hint="eastAsia" w:ascii="宋体" w:hAnsi="宋体" w:eastAsia="宋体" w:cs="Times New Roman"/>
                <w:kern w:val="0"/>
                <w:sz w:val="18"/>
                <w:szCs w:val="18"/>
              </w:rPr>
              <w:t>5．要求行政机关确认或重新出具已获取信息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（六）其他处理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（七）总计</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四、结转下年度继续办理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bl>
    <w:p/>
    <w:p>
      <w:pPr>
        <w:widowControl/>
        <w:shd w:val="clear" w:color="auto" w:fill="FFFFFF"/>
        <w:jc w:val="left"/>
        <w:rPr>
          <w:rFonts w:hint="eastAsia" w:ascii="微软雅黑" w:hAnsi="微软雅黑" w:eastAsia="微软雅黑" w:cs="宋体"/>
          <w:color w:val="000000"/>
          <w:kern w:val="0"/>
          <w:sz w:val="27"/>
          <w:szCs w:val="27"/>
        </w:rPr>
      </w:pPr>
    </w:p>
    <w:p>
      <w:pPr>
        <w:widowControl/>
        <w:shd w:val="clear" w:color="auto" w:fill="FFFFFF"/>
        <w:jc w:val="center"/>
        <w:rPr>
          <w:rFonts w:hint="eastAsia" w:ascii="微软雅黑" w:hAnsi="微软雅黑" w:eastAsia="微软雅黑" w:cs="宋体"/>
          <w:color w:val="000000"/>
          <w:kern w:val="0"/>
          <w:sz w:val="27"/>
          <w:szCs w:val="27"/>
        </w:rPr>
      </w:pPr>
    </w:p>
    <w:p>
      <w:pPr>
        <w:widowControl/>
        <w:shd w:val="clear" w:color="auto" w:fill="FFFFFF"/>
        <w:jc w:val="center"/>
        <w:rPr>
          <w:rFonts w:hint="eastAsia" w:ascii="微软雅黑" w:hAnsi="微软雅黑" w:eastAsia="微软雅黑" w:cs="宋体"/>
          <w:color w:val="000000"/>
          <w:kern w:val="0"/>
          <w:sz w:val="27"/>
          <w:szCs w:val="27"/>
        </w:rPr>
      </w:pPr>
    </w:p>
    <w:p>
      <w:pPr>
        <w:widowControl/>
        <w:shd w:val="clear" w:color="auto" w:fill="FFFFFF"/>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6"/>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68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行政复议</w:t>
            </w:r>
          </w:p>
        </w:tc>
        <w:tc>
          <w:tcPr>
            <w:tcW w:w="6804" w:type="dxa"/>
            <w:gridSpan w:val="10"/>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8"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2"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94"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未经复议直接起诉</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Times New Roman" w:hAnsi="Times New Roman" w:eastAsia="宋体" w:cs="Times New Roman"/>
                <w:kern w:val="0"/>
                <w:sz w:val="18"/>
                <w:szCs w:val="18"/>
              </w:rPr>
            </w:pPr>
          </w:p>
        </w:tc>
        <w:tc>
          <w:tcPr>
            <w:tcW w:w="708" w:type="dxa"/>
            <w:vMerge w:val="continue"/>
            <w:vAlign w:val="center"/>
          </w:tcPr>
          <w:p>
            <w:pPr>
              <w:jc w:val="center"/>
              <w:rPr>
                <w:rFonts w:ascii="Times New Roman" w:hAnsi="Times New Roman" w:eastAsia="宋体" w:cs="Times New Roman"/>
                <w:kern w:val="0"/>
                <w:sz w:val="18"/>
                <w:szCs w:val="18"/>
              </w:rPr>
            </w:pPr>
          </w:p>
        </w:tc>
        <w:tc>
          <w:tcPr>
            <w:tcW w:w="709" w:type="dxa"/>
            <w:vMerge w:val="continue"/>
            <w:vAlign w:val="center"/>
          </w:tcPr>
          <w:p>
            <w:pPr>
              <w:jc w:val="center"/>
              <w:rPr>
                <w:rFonts w:ascii="Times New Roman" w:hAnsi="Times New Roman" w:eastAsia="宋体" w:cs="Times New Roman"/>
                <w:kern w:val="0"/>
                <w:sz w:val="18"/>
                <w:szCs w:val="18"/>
              </w:rPr>
            </w:pPr>
          </w:p>
        </w:tc>
        <w:tc>
          <w:tcPr>
            <w:tcW w:w="682" w:type="dxa"/>
            <w:vMerge w:val="continue"/>
            <w:vAlign w:val="center"/>
          </w:tcPr>
          <w:p>
            <w:pPr>
              <w:jc w:val="center"/>
              <w:rPr>
                <w:rFonts w:ascii="Times New Roman" w:hAnsi="Times New Roman" w:eastAsia="宋体" w:cs="Times New Roman"/>
                <w:kern w:val="0"/>
                <w:sz w:val="20"/>
                <w:szCs w:val="21"/>
              </w:rPr>
            </w:pPr>
          </w:p>
        </w:tc>
        <w:tc>
          <w:tcPr>
            <w:tcW w:w="594" w:type="dxa"/>
            <w:vMerge w:val="continue"/>
            <w:vAlign w:val="center"/>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70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851"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65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454"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8"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682"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9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67"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851"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5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67"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8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45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r>
    </w:tbl>
    <w:p>
      <w:pPr>
        <w:widowControl/>
        <w:shd w:val="clear" w:color="auto" w:fill="FFFFFF"/>
        <w:jc w:val="center"/>
        <w:rPr>
          <w:rFonts w:ascii="微软雅黑" w:hAnsi="微软雅黑" w:eastAsia="微软雅黑" w:cs="宋体"/>
          <w:color w:val="000000"/>
          <w:kern w:val="0"/>
          <w:sz w:val="27"/>
          <w:szCs w:val="27"/>
        </w:rPr>
      </w:pPr>
    </w:p>
    <w:p>
      <w:pPr>
        <w:widowControl/>
        <w:shd w:val="clear" w:color="auto" w:fill="FFFFFF"/>
        <w:ind w:firstLine="640" w:firstLineChars="20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局政府信息公开工作，虽然在不断地完善和进步，但还存在一些不足：一是主要是公开内容不够全面；二是信息公开资源整合有待进一步优化；三是信息公开的渠道和形式需要进一步创新，加快使用多媒体渠道公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后，我局将继续严格按照管委会的各项要求和目标，一是努力实现政府信息发布、更新、咨询等工作一体化，确保政府信息公开工作落到实处。二是着力加强与新闻媒体的有效沟通，确保新闻宣传主动、及时、准确、权威。建立政府信息公开保密审查机制。在积极履行公开政府信息义务的同时，确保国家秘密安全。三是加大政务公开宣传力度。积极开展政务公开宣传活动，集中运用报纸、期刊、广播、电视、网络、法制宣传活动等多种媒介和形式，开展全方位、多层次、立体式的宣传报道。推进在线办事，加强网上互动交流，充实网站内容，提升网站政务办理和社会服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黑体" w:hAnsi="黑体" w:eastAsia="黑体" w:cs="宋体"/>
          <w:color w:val="000000"/>
          <w:kern w:val="0"/>
          <w:sz w:val="32"/>
          <w:szCs w:val="32"/>
          <w:lang w:val="en-US" w:eastAsia="zh-CN" w:bidi="ar-SA"/>
        </w:rPr>
      </w:pPr>
      <w:r>
        <w:rPr>
          <w:rFonts w:hint="default" w:ascii="黑体" w:hAnsi="黑体" w:eastAsia="黑体" w:cs="宋体"/>
          <w:color w:val="000000"/>
          <w:kern w:val="0"/>
          <w:sz w:val="32"/>
          <w:szCs w:val="32"/>
          <w:lang w:val="en-US" w:eastAsia="zh-CN" w:bidi="ar-SA"/>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widowControl/>
        <w:shd w:val="clear" w:color="auto" w:fill="FFFFFF"/>
        <w:spacing w:line="560" w:lineRule="atLeast"/>
        <w:ind w:firstLine="640"/>
        <w:jc w:val="left"/>
        <w:rPr>
          <w:rFonts w:hint="default" w:ascii="黑体" w:hAnsi="黑体" w:eastAsia="黑体" w:cs="宋体"/>
          <w:color w:val="000000"/>
          <w:kern w:val="0"/>
          <w:sz w:val="32"/>
          <w:szCs w:val="32"/>
          <w:lang w:val="en-US" w:eastAsia="zh-CN"/>
        </w:rPr>
      </w:pPr>
    </w:p>
    <w:sectPr>
      <w:pgSz w:w="11906" w:h="16838"/>
      <w:pgMar w:top="2041"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3C2D"/>
    <w:multiLevelType w:val="singleLevel"/>
    <w:tmpl w:val="1EBE3C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3E"/>
    <w:rsid w:val="000764B0"/>
    <w:rsid w:val="00316CC9"/>
    <w:rsid w:val="003C6013"/>
    <w:rsid w:val="004C253B"/>
    <w:rsid w:val="005D3B94"/>
    <w:rsid w:val="006255F1"/>
    <w:rsid w:val="009D2C05"/>
    <w:rsid w:val="009F4836"/>
    <w:rsid w:val="00AB573E"/>
    <w:rsid w:val="00BF6C0F"/>
    <w:rsid w:val="00F2364D"/>
    <w:rsid w:val="029348E0"/>
    <w:rsid w:val="037B7621"/>
    <w:rsid w:val="054152C9"/>
    <w:rsid w:val="061720A9"/>
    <w:rsid w:val="0EB658D6"/>
    <w:rsid w:val="0F115D9B"/>
    <w:rsid w:val="103E6F93"/>
    <w:rsid w:val="10BC0031"/>
    <w:rsid w:val="175B2884"/>
    <w:rsid w:val="1CDB27FC"/>
    <w:rsid w:val="1D166084"/>
    <w:rsid w:val="21815E25"/>
    <w:rsid w:val="2B596571"/>
    <w:rsid w:val="358F2C3C"/>
    <w:rsid w:val="363B56B8"/>
    <w:rsid w:val="3B086F25"/>
    <w:rsid w:val="417034CD"/>
    <w:rsid w:val="46A17CA7"/>
    <w:rsid w:val="5AFB4F2A"/>
    <w:rsid w:val="63940340"/>
    <w:rsid w:val="672F6FF4"/>
    <w:rsid w:val="6C00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370</Words>
  <Characters>2113</Characters>
  <Lines>17</Lines>
  <Paragraphs>4</Paragraphs>
  <TotalTime>1</TotalTime>
  <ScaleCrop>false</ScaleCrop>
  <LinksUpToDate>false</LinksUpToDate>
  <CharactersWithSpaces>2479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2021-01-26T00:33:00Z</dcterms:created>
  <dc:creator>Lenovo0001</dc:creator>
  <cp:lastModifiedBy>决策</cp:lastModifiedBy>
  <dcterms:modified xsi:type="dcterms:W3CDTF">2021-05-19T07:36:04Z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C49F693F52BB4D78A96D160424444201</vt:lpwstr>
  </property>
</Properties>
</file>