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国家税务总局淄博经济开发区税务局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根据《中华人民共和国政府信息公开条例》（国务院令第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号）及总局、省局、市局有关制度规定，特向社会公布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度国家税务总局淄博经济开发区税务局（以下简称淄博经开区税务局）政府信息公开工作情况。本报告包括总体情况、主动公开政府信息情况、收到和处理政府信息公开申请情况、政府信息公开行政复议、行政诉讼情况、存在的主要问题及改进情况、其他需要报告的事项共六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如对本报告有疑问，请与国家税务总局淄博经济开发区税务局政府信息公开（政务公开）工作领导小组办公室联系（地址：淄博市张店区重庆路与复兴路交叉口东南角，电话：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0533-6583005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，传真：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0533-6583002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，在省、市局和区党工委、管委会的正确领导下，淄博经开区税务局深入贯彻《中华人民共和国政府信息公开条例》精神，全面落实政府信息公开工作的相关要求，深入推进依法行政，全面推进决策、执行、管理、服务、结果全过程公开，加强政策解读、回应社会关切，保障公众知情权、参与权、表达权和监督权，持续提升税务部门政府信息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按照《中华人民共和国政府信息公开条例》要求的政府信息公开重点，坚持“公开为原则，不公开为例外”，对应当让社会公众广泛知晓或参与的事项，按照规定的程序，做到及时、主动地公开。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年，主动对外公开行政许可处理决定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2745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条，行政处罚处理决定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为提高依申请公开办理质效，规范依申请公开目录和依申请公开流程，在办理依申请公开事项的过程中，相关业务部门共同研究论证，加强依申请公开答复的合法性审核，依法依规做好答复工作。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年全年未收到政府信息依申请公开事项。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“先审查，后公开”原则，健全政府信息公开审查机制和公文公开审核机制，依照规定对拟公开的政府信息进行审查，规范政府信息发布公开流程，确保按照规定时限，及时通过政府信息公开平台发布和更新维护，进一步提升政府信息公开的标准化、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依托淄博市税务局官方网站作为政府信息公开的主要平台，进一步拓展政府信息公开渠道，内容继续保持动态调整更新，方便纳税人更多地了解税收最新动态，不断提高政府信息公开服务水平。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建立政府信息公开内容审查和更新维护、考核评估、培训宣传和工作年报等工作制度，建立和完善政府信息公开审查制度，确保政府信息公开工作制度化、规范化发展。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主动公开政府信息情况</w:t>
      </w:r>
    </w:p>
    <w:tbl>
      <w:tblPr>
        <w:tblStyle w:val="4"/>
        <w:tblW w:w="916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06"/>
        <w:gridCol w:w="213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规章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/>
    <w:p/>
    <w:p/>
    <w:p>
      <w:pPr>
        <w:numPr>
          <w:numId w:val="0"/>
        </w:numPr>
        <w:ind w:leftChars="0" w:firstLine="640" w:firstLineChars="200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425"/>
        <w:gridCol w:w="2580"/>
        <w:gridCol w:w="825"/>
        <w:gridCol w:w="705"/>
        <w:gridCol w:w="680"/>
        <w:gridCol w:w="711"/>
        <w:gridCol w:w="644"/>
        <w:gridCol w:w="749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328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509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（二）部分公开（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区分处理的，只记这一情形，不计其他情形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1.属于国家机密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2.申请人逾期未按收费通知要求缴纳费用、行政机关不再处理其他政府公开申请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（七）总计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ind w:leftChars="0"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290" w:tblpY="300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00"/>
        <w:gridCol w:w="645"/>
        <w:gridCol w:w="670"/>
        <w:gridCol w:w="605"/>
        <w:gridCol w:w="610"/>
        <w:gridCol w:w="585"/>
        <w:gridCol w:w="630"/>
        <w:gridCol w:w="645"/>
        <w:gridCol w:w="615"/>
        <w:gridCol w:w="578"/>
        <w:gridCol w:w="633"/>
        <w:gridCol w:w="633"/>
        <w:gridCol w:w="63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7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308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5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针对政府信息公开工作中存在的信息公开更新还不够及时，公开流程不够规范等问题，淄博经开区税务局重点采取了以下几项措施：一是不断提升政府信息公开工作质效。对照《中华人民共和国政府信息公开条例》的具体要求，认真清理政府信息公开事项，查漏补缺，确保应公开的政务信息全部公开。同时严把质量关、保密审查关，确保政府信息公开不影响国家安全、公共安全、经济安全和社会稳定，真正体现公开、公平、公正。二是加强业务培训。通过开展培训教育，强化工作人员信息公开的责任意识、大局意识、服务意识，确保政务信息公开工作及时、准确。进一步细化信息公开工作流程，自觉接受社会公众对信息公开情况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中数据的统计期限为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日。本单位不存在收取信息处理费情况。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2022-01-28T08:06:12Z</dcterms:created>
  <dc:creator>Lenovo009</dc:creator>
  <cp:lastModifiedBy>一依</cp:lastModifiedBy>
  <dcterms:modified xsi:type="dcterms:W3CDTF">2022-01-28T08:31:55Z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E33AC67273614263AE91C63DC531D924</vt:lpwstr>
  </property>
</Properties>
</file>